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7297E">
      <w:pPr>
        <w:rPr>
          <w:rFonts w:ascii="仿宋_GB2312" w:hAnsi="仿宋_GB2312" w:eastAsia="仿宋_GB2312" w:cs="仿宋_GB2312"/>
          <w:sz w:val="36"/>
          <w:szCs w:val="36"/>
        </w:rPr>
      </w:pPr>
    </w:p>
    <w:p w14:paraId="31693D33">
      <w:pPr>
        <w:rPr>
          <w:rFonts w:ascii="仿宋_GB2312" w:hAnsi="仿宋_GB2312" w:eastAsia="仿宋_GB2312" w:cs="仿宋_GB2312"/>
          <w:sz w:val="36"/>
          <w:szCs w:val="36"/>
        </w:rPr>
      </w:pPr>
    </w:p>
    <w:p w14:paraId="035C244A">
      <w:pPr>
        <w:rPr>
          <w:rFonts w:ascii="仿宋_GB2312" w:hAnsi="仿宋_GB2312" w:eastAsia="仿宋_GB2312" w:cs="仿宋_GB2312"/>
          <w:sz w:val="36"/>
          <w:szCs w:val="36"/>
        </w:rPr>
      </w:pPr>
    </w:p>
    <w:p w14:paraId="62F0D754">
      <w:pPr>
        <w:rPr>
          <w:rFonts w:ascii="仿宋_GB2312" w:hAnsi="仿宋_GB2312" w:eastAsia="仿宋_GB2312" w:cs="仿宋_GB2312"/>
          <w:sz w:val="36"/>
          <w:szCs w:val="36"/>
        </w:rPr>
      </w:pPr>
    </w:p>
    <w:p w14:paraId="1B95BB63">
      <w:pPr>
        <w:rPr>
          <w:rFonts w:ascii="仿宋_GB2312" w:hAnsi="仿宋_GB2312" w:eastAsia="仿宋_GB2312" w:cs="仿宋_GB2312"/>
          <w:sz w:val="36"/>
          <w:szCs w:val="36"/>
        </w:rPr>
      </w:pPr>
    </w:p>
    <w:p w14:paraId="0CF6A5FC">
      <w:pPr>
        <w:adjustRightInd w:val="0"/>
        <w:snapToGrid w:val="0"/>
        <w:jc w:val="center"/>
        <w:outlineLvl w:val="0"/>
        <w:rPr>
          <w:rFonts w:ascii="方正小标宋_GBK" w:eastAsia="方正小标宋_GBK"/>
          <w:bCs/>
          <w:sz w:val="72"/>
          <w:szCs w:val="72"/>
        </w:rPr>
      </w:pPr>
      <w:bookmarkStart w:id="0" w:name="_Toc17954"/>
      <w:bookmarkStart w:id="1" w:name="_Toc21371"/>
      <w:bookmarkStart w:id="2" w:name="_Toc29489"/>
      <w:bookmarkStart w:id="3" w:name="_Toc66883318"/>
      <w:r>
        <w:rPr>
          <w:rFonts w:hint="eastAsia" w:ascii="方正小标宋_GBK" w:eastAsia="方正小标宋_GBK"/>
          <w:bCs/>
          <w:sz w:val="72"/>
          <w:szCs w:val="72"/>
        </w:rPr>
        <w:t>建设项目环境影响报告表</w:t>
      </w:r>
      <w:bookmarkEnd w:id="0"/>
      <w:bookmarkEnd w:id="1"/>
      <w:bookmarkEnd w:id="2"/>
      <w:bookmarkEnd w:id="3"/>
    </w:p>
    <w:p w14:paraId="714C93F2">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3A79AAB0"/>
    <w:p w14:paraId="5A389DCA">
      <w:pPr>
        <w:jc w:val="center"/>
        <w:rPr>
          <w:rFonts w:hint="eastAsia" w:eastAsia="仿宋"/>
          <w:sz w:val="52"/>
          <w:szCs w:val="52"/>
          <w:lang w:eastAsia="zh-CN"/>
        </w:rPr>
      </w:pPr>
      <w:r>
        <w:rPr>
          <w:rFonts w:hint="eastAsia" w:eastAsia="仿宋"/>
          <w:sz w:val="52"/>
          <w:szCs w:val="52"/>
          <w:lang w:eastAsia="zh-CN"/>
        </w:rPr>
        <w:t>（</w:t>
      </w:r>
      <w:r>
        <w:rPr>
          <w:rFonts w:hint="eastAsia" w:eastAsia="仿宋"/>
          <w:sz w:val="52"/>
          <w:szCs w:val="52"/>
          <w:lang w:val="en-US" w:eastAsia="zh-CN"/>
        </w:rPr>
        <w:t>公示本</w:t>
      </w:r>
      <w:r>
        <w:rPr>
          <w:rFonts w:hint="eastAsia" w:eastAsia="仿宋"/>
          <w:sz w:val="52"/>
          <w:szCs w:val="52"/>
          <w:lang w:eastAsia="zh-CN"/>
        </w:rPr>
        <w:t>）</w:t>
      </w:r>
    </w:p>
    <w:p w14:paraId="4A12AF86">
      <w:pPr>
        <w:ind w:firstLine="1040"/>
        <w:rPr>
          <w:rFonts w:eastAsia="仿宋"/>
          <w:sz w:val="44"/>
          <w:szCs w:val="44"/>
        </w:rPr>
      </w:pPr>
    </w:p>
    <w:p w14:paraId="5EAD6AA9">
      <w:pPr>
        <w:ind w:firstLine="1040"/>
        <w:rPr>
          <w:rFonts w:eastAsia="仿宋"/>
          <w:sz w:val="44"/>
          <w:szCs w:val="44"/>
        </w:rPr>
      </w:pPr>
    </w:p>
    <w:p w14:paraId="5E8DEA91">
      <w:pPr>
        <w:ind w:firstLine="1040"/>
        <w:rPr>
          <w:rFonts w:eastAsia="仿宋"/>
          <w:sz w:val="44"/>
          <w:szCs w:val="44"/>
        </w:rPr>
      </w:pPr>
    </w:p>
    <w:p w14:paraId="141499C6">
      <w:pPr>
        <w:ind w:firstLine="1040"/>
        <w:rPr>
          <w:rFonts w:eastAsia="仿宋"/>
          <w:sz w:val="44"/>
          <w:szCs w:val="44"/>
        </w:rPr>
      </w:pPr>
    </w:p>
    <w:p w14:paraId="0FC5260C">
      <w:pPr>
        <w:adjustRightInd w:val="0"/>
        <w:snapToGrid w:val="0"/>
        <w:spacing w:line="288" w:lineRule="auto"/>
        <w:ind w:left="2884" w:leftChars="516" w:hanging="1800" w:hangingChars="500"/>
        <w:rPr>
          <w:rFonts w:asciiTheme="minorEastAsia" w:hAnsiTheme="minorEastAsia" w:eastAsiaTheme="minorEastAsia"/>
          <w:sz w:val="36"/>
          <w:szCs w:val="36"/>
        </w:rPr>
      </w:pPr>
      <w:r>
        <w:rPr>
          <w:rFonts w:hint="eastAsia" w:asciiTheme="minorEastAsia" w:hAnsiTheme="minorEastAsia" w:eastAsiaTheme="minorEastAsia"/>
          <w:sz w:val="36"/>
          <w:szCs w:val="36"/>
        </w:rPr>
        <w:t>项目名称：</w:t>
      </w:r>
      <w:r>
        <w:rPr>
          <w:rFonts w:hint="eastAsia" w:asciiTheme="minorEastAsia" w:hAnsiTheme="minorEastAsia" w:eastAsiaTheme="minorEastAsia"/>
          <w:sz w:val="36"/>
          <w:szCs w:val="36"/>
          <w:u w:val="single"/>
        </w:rPr>
        <w:t>60</w:t>
      </w:r>
      <w:r>
        <w:rPr>
          <w:rFonts w:hint="eastAsia" w:asciiTheme="minorEastAsia" w:hAnsiTheme="minorEastAsia" w:eastAsiaTheme="minorEastAsia"/>
          <w:sz w:val="36"/>
          <w:szCs w:val="36"/>
          <w:u w:val="single"/>
          <w:lang w:val="en-US" w:eastAsia="zh-CN"/>
        </w:rPr>
        <w:t>醋酸</w:t>
      </w:r>
      <w:r>
        <w:rPr>
          <w:rFonts w:hint="eastAsia" w:asciiTheme="minorEastAsia" w:hAnsiTheme="minorEastAsia" w:eastAsiaTheme="minorEastAsia"/>
          <w:sz w:val="36"/>
          <w:szCs w:val="36"/>
          <w:u w:val="single"/>
        </w:rPr>
        <w:t>分离项目</w:t>
      </w:r>
    </w:p>
    <w:p w14:paraId="161CCA7C">
      <w:pPr>
        <w:adjustRightInd w:val="0"/>
        <w:snapToGrid w:val="0"/>
        <w:spacing w:line="288" w:lineRule="auto"/>
        <w:ind w:firstLine="1080" w:firstLineChars="300"/>
        <w:rPr>
          <w:rFonts w:asciiTheme="minorEastAsia" w:hAnsiTheme="minorEastAsia" w:eastAsiaTheme="minorEastAsia"/>
          <w:sz w:val="36"/>
          <w:szCs w:val="36"/>
          <w:u w:val="single"/>
        </w:rPr>
      </w:pPr>
      <w:r>
        <w:rPr>
          <w:rFonts w:hint="eastAsia" w:asciiTheme="minorEastAsia" w:hAnsiTheme="minorEastAsia" w:eastAsiaTheme="minorEastAsia"/>
          <w:sz w:val="36"/>
          <w:szCs w:val="36"/>
        </w:rPr>
        <w:t>建设单位：</w:t>
      </w:r>
      <w:r>
        <w:rPr>
          <w:rFonts w:hint="eastAsia" w:asciiTheme="minorEastAsia" w:hAnsiTheme="minorEastAsia" w:eastAsiaTheme="minorEastAsia"/>
          <w:sz w:val="36"/>
          <w:szCs w:val="36"/>
          <w:u w:val="single"/>
        </w:rPr>
        <w:t>广西华谊能源化工有限公司</w:t>
      </w:r>
    </w:p>
    <w:p w14:paraId="0D5FAFEF">
      <w:pPr>
        <w:adjustRightInd w:val="0"/>
        <w:snapToGrid w:val="0"/>
        <w:spacing w:line="288" w:lineRule="auto"/>
        <w:ind w:firstLine="1080" w:firstLineChars="300"/>
        <w:rPr>
          <w:rFonts w:asciiTheme="minorEastAsia" w:hAnsiTheme="minorEastAsia" w:eastAsiaTheme="minorEastAsia"/>
          <w:sz w:val="36"/>
          <w:szCs w:val="36"/>
          <w:u w:val="single"/>
        </w:rPr>
      </w:pPr>
      <w:r>
        <w:rPr>
          <w:rFonts w:hint="eastAsia" w:asciiTheme="minorEastAsia" w:hAnsiTheme="minorEastAsia" w:eastAsiaTheme="minorEastAsia"/>
          <w:sz w:val="36"/>
          <w:szCs w:val="36"/>
        </w:rPr>
        <w:t>编制日期：</w:t>
      </w:r>
      <w:r>
        <w:rPr>
          <w:rFonts w:hint="eastAsia" w:asciiTheme="minorEastAsia" w:hAnsiTheme="minorEastAsia" w:eastAsiaTheme="minorEastAsia"/>
          <w:sz w:val="36"/>
          <w:szCs w:val="36"/>
          <w:u w:val="single"/>
        </w:rPr>
        <w:t>2025年</w:t>
      </w:r>
      <w:r>
        <w:rPr>
          <w:rFonts w:hint="eastAsia" w:asciiTheme="minorEastAsia" w:hAnsiTheme="minorEastAsia" w:eastAsiaTheme="minorEastAsia"/>
          <w:sz w:val="36"/>
          <w:szCs w:val="36"/>
          <w:u w:val="single"/>
          <w:lang w:val="en-US" w:eastAsia="zh-CN"/>
        </w:rPr>
        <w:t>12</w:t>
      </w:r>
      <w:r>
        <w:rPr>
          <w:rFonts w:hint="eastAsia" w:asciiTheme="minorEastAsia" w:hAnsiTheme="minorEastAsia" w:eastAsiaTheme="minorEastAsia"/>
          <w:sz w:val="36"/>
          <w:szCs w:val="36"/>
          <w:u w:val="single"/>
        </w:rPr>
        <w:t>月</w:t>
      </w:r>
    </w:p>
    <w:p w14:paraId="2E85E217">
      <w:pPr>
        <w:adjustRightInd w:val="0"/>
        <w:snapToGrid w:val="0"/>
        <w:spacing w:line="288" w:lineRule="auto"/>
        <w:ind w:firstLine="1040"/>
        <w:rPr>
          <w:rFonts w:asciiTheme="minorEastAsia" w:hAnsiTheme="minorEastAsia" w:eastAsiaTheme="minorEastAsia"/>
          <w:sz w:val="36"/>
          <w:szCs w:val="36"/>
          <w:u w:val="single"/>
        </w:rPr>
      </w:pPr>
      <w:bookmarkStart w:id="4" w:name="_Hlk57884087"/>
    </w:p>
    <w:p w14:paraId="554E2EBF">
      <w:pPr>
        <w:adjustRightInd w:val="0"/>
        <w:snapToGrid w:val="0"/>
        <w:spacing w:line="288" w:lineRule="auto"/>
        <w:ind w:firstLine="1040"/>
        <w:rPr>
          <w:rFonts w:ascii="仿宋_GB2312" w:eastAsia="仿宋_GB2312"/>
          <w:sz w:val="36"/>
          <w:szCs w:val="36"/>
        </w:rPr>
      </w:pPr>
    </w:p>
    <w:p w14:paraId="25AA3C42">
      <w:pPr>
        <w:adjustRightInd w:val="0"/>
        <w:snapToGrid w:val="0"/>
        <w:spacing w:line="288" w:lineRule="auto"/>
        <w:rPr>
          <w:rFonts w:ascii="仿宋_GB2312" w:eastAsia="仿宋_GB2312"/>
          <w:sz w:val="36"/>
          <w:szCs w:val="36"/>
        </w:rPr>
      </w:pPr>
    </w:p>
    <w:p w14:paraId="0652ED7E">
      <w:pPr>
        <w:adjustRightInd w:val="0"/>
        <w:snapToGrid w:val="0"/>
        <w:spacing w:line="288" w:lineRule="auto"/>
        <w:rPr>
          <w:rFonts w:ascii="仿宋_GB2312" w:eastAsia="仿宋_GB2312"/>
          <w:sz w:val="36"/>
          <w:szCs w:val="36"/>
        </w:rPr>
      </w:pPr>
    </w:p>
    <w:bookmarkEnd w:id="4"/>
    <w:p w14:paraId="639D0997">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240F4168">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72A410F">
      <w:pPr>
        <w:tabs>
          <w:tab w:val="right" w:leader="dot" w:pos="8296"/>
        </w:tabs>
        <w:rPr>
          <w:b/>
          <w:sz w:val="28"/>
          <w:szCs w:val="28"/>
        </w:rPr>
      </w:pPr>
    </w:p>
    <w:p w14:paraId="4DC274C6">
      <w:pPr>
        <w:tabs>
          <w:tab w:val="right" w:leader="dot" w:pos="8296"/>
        </w:tabs>
        <w:jc w:val="center"/>
        <w:rPr>
          <w:b/>
          <w:sz w:val="28"/>
          <w:szCs w:val="28"/>
        </w:rPr>
      </w:pPr>
      <w:r>
        <w:rPr>
          <w:rFonts w:hint="eastAsia"/>
          <w:b/>
          <w:sz w:val="28"/>
          <w:szCs w:val="28"/>
        </w:rPr>
        <w:t>目录</w:t>
      </w:r>
    </w:p>
    <w:p w14:paraId="5A237D2C">
      <w:pPr>
        <w:tabs>
          <w:tab w:val="right" w:leader="dot" w:pos="8296"/>
        </w:tabs>
        <w:rPr>
          <w:b/>
          <w:sz w:val="28"/>
          <w:szCs w:val="28"/>
        </w:rPr>
      </w:pPr>
    </w:p>
    <w:p w14:paraId="630A0DF6">
      <w:pPr>
        <w:pStyle w:val="19"/>
        <w:tabs>
          <w:tab w:val="right" w:leader="dot" w:pos="8844"/>
        </w:tabs>
        <w:rPr>
          <w:rFonts w:hint="default" w:ascii="Times New Roman" w:hAnsi="Times New Roman" w:cs="Times New Roman"/>
          <w:sz w:val="24"/>
          <w:szCs w:val="24"/>
        </w:rPr>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_Toc12432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一、建设项目基本情况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_Toc12432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F101931">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_Toc23155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二、建设项目工程分析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_Toc23155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72BB25B">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_Toc19224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三、区域环境质量现状、环境保护目标及评价标准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_Toc19224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AD36317">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_Toc22830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四、主要环境影响和保护措施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_Toc22830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FB67CC8">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_Toc19978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五、环境保护措施监督检查清单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69C6986">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_Toc5261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六、结论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0541B6A">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_Toc2671 </w:instrText>
      </w:r>
      <w:r>
        <w:rPr>
          <w:rFonts w:hint="default" w:ascii="Times New Roman" w:hAnsi="Times New Roman" w:cs="Times New Roman"/>
          <w:sz w:val="24"/>
          <w:szCs w:val="24"/>
        </w:rPr>
        <w:fldChar w:fldCharType="separate"/>
      </w:r>
      <w:r>
        <w:rPr>
          <w:rFonts w:hint="default" w:ascii="Times New Roman" w:hAnsi="Times New Roman" w:cs="Times New Roman"/>
          <w:kern w:val="44"/>
          <w:sz w:val="24"/>
          <w:szCs w:val="24"/>
        </w:rPr>
        <w:t>附表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FF4B77A">
      <w:pPr>
        <w:pStyle w:val="19"/>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_Toc25203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环境风险专项评价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6644C40">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_Toc8703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1.1. 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2A4E3E6">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_Toc14583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1.2. 现有工程环境风险回顾评价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C49E9CE">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_Toc30344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1.3. 风险调查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B4E8EA9">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_Toc9113 </w:instrText>
      </w:r>
      <w:r>
        <w:rPr>
          <w:rFonts w:hint="default" w:ascii="Times New Roman" w:hAnsi="Times New Roman" w:cs="Times New Roman"/>
          <w:sz w:val="24"/>
          <w:szCs w:val="24"/>
        </w:rPr>
        <w:fldChar w:fldCharType="separate"/>
      </w:r>
      <w:r>
        <w:rPr>
          <w:rFonts w:hint="default" w:ascii="Times New Roman" w:hAnsi="Times New Roman" w:cs="Times New Roman"/>
          <w:bCs/>
          <w:i w:val="0"/>
          <w:kern w:val="0"/>
          <w:sz w:val="24"/>
          <w:szCs w:val="24"/>
        </w:rPr>
        <w:t xml:space="preserve">1.3.1 </w:t>
      </w:r>
      <w:r>
        <w:rPr>
          <w:rFonts w:hint="default" w:ascii="Times New Roman" w:hAnsi="Times New Roman" w:cs="Times New Roman"/>
          <w:bCs/>
          <w:kern w:val="0"/>
          <w:sz w:val="24"/>
          <w:szCs w:val="24"/>
        </w:rPr>
        <w:t>风险源调查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50BE547">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_Toc25482 </w:instrText>
      </w:r>
      <w:r>
        <w:rPr>
          <w:rFonts w:hint="default" w:ascii="Times New Roman" w:hAnsi="Times New Roman" w:cs="Times New Roman"/>
          <w:sz w:val="24"/>
          <w:szCs w:val="24"/>
        </w:rPr>
        <w:fldChar w:fldCharType="separate"/>
      </w:r>
      <w:r>
        <w:rPr>
          <w:rFonts w:hint="default" w:ascii="Times New Roman" w:hAnsi="Times New Roman" w:cs="Times New Roman"/>
          <w:bCs/>
          <w:i w:val="0"/>
          <w:kern w:val="0"/>
          <w:sz w:val="24"/>
          <w:szCs w:val="24"/>
        </w:rPr>
        <w:t xml:space="preserve">1.3.2 </w:t>
      </w:r>
      <w:r>
        <w:rPr>
          <w:rFonts w:hint="default" w:ascii="Times New Roman" w:hAnsi="Times New Roman" w:cs="Times New Roman"/>
          <w:bCs/>
          <w:kern w:val="0"/>
          <w:sz w:val="24"/>
          <w:szCs w:val="24"/>
        </w:rPr>
        <w:t>环境敏感目标调查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B29E70E">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_Toc9463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2.1. 环境风险潜势初判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86A7FE4">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_Toc6373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2.1.1. 危险性P的确定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AD7955">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_Toc8363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2.1.2. 环境敏感程度E的确定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0E10035">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_Toc31257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3.1. 环境风险潜势判定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_Toc31257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697E3342">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_Toc2368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4.1. 评价工作等级和评价范围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DC409EC">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_Toc103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5.1. 风险识别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FA17B25">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_Toc2124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5.1.1. 风险识别内容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0991435">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_Toc22273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5.1.2. 风险识别结果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_Toc22273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071B4BE1">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_Toc27747 </w:instrText>
      </w:r>
      <w:r>
        <w:rPr>
          <w:rFonts w:hint="default" w:ascii="Times New Roman" w:hAnsi="Times New Roman" w:cs="Times New Roman"/>
          <w:sz w:val="24"/>
          <w:szCs w:val="24"/>
        </w:rPr>
        <w:fldChar w:fldCharType="separate"/>
      </w:r>
      <w:r>
        <w:rPr>
          <w:rFonts w:hint="default" w:ascii="Times New Roman" w:hAnsi="Times New Roman" w:cs="Times New Roman"/>
          <w:kern w:val="0"/>
          <w:sz w:val="24"/>
          <w:szCs w:val="24"/>
        </w:rPr>
        <w:t>6.1. 风险事故情形分析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_Toc27747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0CCE924">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_Toc18861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6.1.1. 风险事故情形设定原则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_Toc18861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96859B7">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_Toc13228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6.1.2. 源项分析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_Toc13228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77DE0F85">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_Toc8583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 xml:space="preserve">7.1. </w:t>
      </w:r>
      <w:r>
        <w:rPr>
          <w:rFonts w:hint="default" w:ascii="Times New Roman" w:hAnsi="Times New Roman" w:cs="Times New Roman"/>
          <w:kern w:val="0"/>
          <w:sz w:val="24"/>
          <w:szCs w:val="24"/>
        </w:rPr>
        <w:t>环境风险分析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622370F">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_Toc33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7.1.1. 大气环境影响分析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02473E3">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_Toc10435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7.1.2. 对地表水的风险影响分析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_Toc10435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1F5EDD57">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_Toc27325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7.1.3. 对地下水的风险影响分析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3E70DA22">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_Toc5539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7.1.4. 土壤环境风险影响分析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8749347">
      <w:pPr>
        <w:pStyle w:val="12"/>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_Toc5411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7.1.5. 事故次生/伴生污染影响分析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253A9647">
      <w:pPr>
        <w:pStyle w:val="21"/>
        <w:tabs>
          <w:tab w:val="right" w:leader="dot" w:pos="8844"/>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_Toc24061 </w:instrText>
      </w:r>
      <w:r>
        <w:rPr>
          <w:rFonts w:hint="default" w:ascii="Times New Roman" w:hAnsi="Times New Roman" w:cs="Times New Roman"/>
          <w:sz w:val="24"/>
          <w:szCs w:val="24"/>
        </w:rPr>
        <w:fldChar w:fldCharType="separate"/>
      </w:r>
      <w:r>
        <w:rPr>
          <w:rFonts w:hint="default" w:ascii="Times New Roman" w:hAnsi="Times New Roman" w:eastAsia="宋体" w:cs="Times New Roman"/>
          <w:bCs/>
          <w:kern w:val="0"/>
          <w:sz w:val="24"/>
          <w:szCs w:val="24"/>
          <w:lang w:val="en-US" w:eastAsia="zh-CN"/>
        </w:rPr>
        <w:t xml:space="preserve">7.2. </w:t>
      </w:r>
      <w:r>
        <w:rPr>
          <w:rFonts w:hint="default" w:ascii="Times New Roman" w:hAnsi="Times New Roman" w:cs="Times New Roman"/>
          <w:kern w:val="0"/>
          <w:sz w:val="24"/>
          <w:szCs w:val="24"/>
          <w:lang w:val="en-US" w:eastAsia="zh-CN"/>
        </w:rPr>
        <w:t>风险管理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40627786">
      <w:pPr>
        <w:pStyle w:val="21"/>
        <w:tabs>
          <w:tab w:val="right" w:leader="dot" w:pos="8844"/>
        </w:tabs>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_Toc5514 </w:instrText>
      </w:r>
      <w:r>
        <w:rPr>
          <w:rFonts w:hint="default" w:ascii="Times New Roman" w:hAnsi="Times New Roman" w:cs="Times New Roman"/>
          <w:sz w:val="24"/>
          <w:szCs w:val="24"/>
        </w:rPr>
        <w:fldChar w:fldCharType="separate"/>
      </w:r>
      <w:r>
        <w:rPr>
          <w:rFonts w:hint="default" w:ascii="Times New Roman" w:hAnsi="Times New Roman" w:cs="Times New Roman"/>
          <w:bCs/>
          <w:kern w:val="0"/>
          <w:sz w:val="24"/>
          <w:szCs w:val="24"/>
        </w:rPr>
        <w:t xml:space="preserve">7.3. </w:t>
      </w:r>
      <w:r>
        <w:rPr>
          <w:rFonts w:hint="default" w:ascii="Times New Roman" w:hAnsi="Times New Roman" w:cs="Times New Roman"/>
          <w:kern w:val="0"/>
          <w:sz w:val="24"/>
          <w:szCs w:val="24"/>
          <w:lang w:val="en-US" w:eastAsia="zh-CN"/>
        </w:rPr>
        <w:t>风险评价结论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14:paraId="5EEB9248">
      <w:pPr>
        <w:spacing w:line="400" w:lineRule="exact"/>
        <w:ind w:left="890" w:leftChars="314" w:hanging="231" w:hangingChars="110"/>
        <w:jc w:val="left"/>
        <w:rPr>
          <w:rFonts w:hint="eastAsia" w:hAnsi="宋体"/>
          <w:sz w:val="24"/>
        </w:rPr>
      </w:pPr>
      <w:r>
        <w:rPr>
          <w:rFonts w:ascii="宋体" w:hAnsi="宋体"/>
          <w:szCs w:val="28"/>
        </w:rPr>
        <w:fldChar w:fldCharType="end"/>
      </w:r>
    </w:p>
    <w:p w14:paraId="2C8A68EC">
      <w:pPr>
        <w:tabs>
          <w:tab w:val="left" w:pos="3225"/>
        </w:tabs>
        <w:spacing w:line="500" w:lineRule="exact"/>
        <w:outlineLvl w:val="0"/>
        <w:rPr>
          <w:rFonts w:ascii="Calibri" w:hAnsi="Calibri" w:cs="Arial"/>
          <w:b/>
          <w:kern w:val="44"/>
          <w:sz w:val="28"/>
          <w:szCs w:val="28"/>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260E7F9">
      <w:pPr>
        <w:tabs>
          <w:tab w:val="left" w:pos="3225"/>
        </w:tabs>
        <w:spacing w:line="500" w:lineRule="exact"/>
        <w:outlineLvl w:val="0"/>
        <w:rPr>
          <w:rFonts w:hint="eastAsia" w:ascii="Calibri" w:hAnsi="Calibri" w:cs="Arial"/>
          <w:b/>
          <w:kern w:val="44"/>
          <w:sz w:val="28"/>
          <w:szCs w:val="28"/>
        </w:rPr>
        <w:sectPr>
          <w:headerReference r:id="rId6" w:type="default"/>
          <w:footerReference r:id="rId7" w:type="default"/>
          <w:type w:val="continuous"/>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EB5443F">
      <w:pPr>
        <w:tabs>
          <w:tab w:val="left" w:pos="3225"/>
        </w:tabs>
        <w:spacing w:line="500" w:lineRule="exact"/>
        <w:outlineLvl w:val="0"/>
        <w:rPr>
          <w:rFonts w:ascii="Calibri" w:hAnsi="Calibri" w:cs="Arial"/>
          <w:b/>
          <w:kern w:val="44"/>
          <w:sz w:val="28"/>
          <w:szCs w:val="28"/>
        </w:rPr>
      </w:pPr>
      <w:bookmarkStart w:id="5" w:name="_Toc12432"/>
      <w:bookmarkStart w:id="6" w:name="_Toc6170"/>
      <w:bookmarkStart w:id="7" w:name="_Toc22219"/>
      <w:r>
        <w:rPr>
          <w:rFonts w:hint="eastAsia" w:ascii="Calibri" w:hAnsi="Calibri" w:cs="Arial"/>
          <w:b/>
          <w:kern w:val="44"/>
          <w:sz w:val="28"/>
          <w:szCs w:val="28"/>
        </w:rPr>
        <w:t>一、建设项目基本情况</w:t>
      </w:r>
      <w:bookmarkEnd w:id="5"/>
      <w:bookmarkEnd w:id="6"/>
      <w:bookmarkEnd w:id="7"/>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14:paraId="21D6E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7687A383">
            <w:pPr>
              <w:adjustRightInd w:val="0"/>
              <w:snapToGrid w:val="0"/>
              <w:jc w:val="center"/>
              <w:rPr>
                <w:rFonts w:ascii="宋体" w:hAnsi="宋体" w:cs="宋体"/>
                <w:sz w:val="24"/>
              </w:rPr>
            </w:pPr>
            <w:r>
              <w:rPr>
                <w:rFonts w:hint="eastAsia" w:ascii="宋体" w:hAnsi="宋体" w:cs="宋体"/>
                <w:sz w:val="24"/>
              </w:rPr>
              <w:t>建设项目名称</w:t>
            </w:r>
          </w:p>
        </w:tc>
        <w:tc>
          <w:tcPr>
            <w:tcW w:w="6730" w:type="dxa"/>
            <w:gridSpan w:val="3"/>
            <w:vAlign w:val="center"/>
          </w:tcPr>
          <w:p w14:paraId="660F262C">
            <w:pPr>
              <w:adjustRightInd w:val="0"/>
              <w:snapToGrid w:val="0"/>
              <w:jc w:val="center"/>
              <w:rPr>
                <w:sz w:val="24"/>
              </w:rPr>
            </w:pPr>
            <w:r>
              <w:rPr>
                <w:rFonts w:hint="eastAsia"/>
                <w:sz w:val="24"/>
              </w:rPr>
              <w:t>60醋酸分离项目</w:t>
            </w:r>
          </w:p>
        </w:tc>
      </w:tr>
      <w:tr w14:paraId="2BF44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031AB039">
            <w:pPr>
              <w:adjustRightInd w:val="0"/>
              <w:snapToGrid w:val="0"/>
              <w:jc w:val="center"/>
              <w:rPr>
                <w:rFonts w:ascii="宋体" w:hAnsi="宋体" w:cs="宋体"/>
                <w:sz w:val="24"/>
              </w:rPr>
            </w:pPr>
            <w:r>
              <w:rPr>
                <w:rFonts w:hint="eastAsia" w:ascii="宋体" w:hAnsi="宋体" w:cs="宋体"/>
                <w:sz w:val="24"/>
              </w:rPr>
              <w:t>项目代码</w:t>
            </w:r>
          </w:p>
        </w:tc>
        <w:tc>
          <w:tcPr>
            <w:tcW w:w="6730" w:type="dxa"/>
            <w:gridSpan w:val="3"/>
            <w:vAlign w:val="center"/>
          </w:tcPr>
          <w:p w14:paraId="2C43B084">
            <w:pPr>
              <w:adjustRightInd w:val="0"/>
              <w:snapToGrid w:val="0"/>
              <w:jc w:val="center"/>
              <w:rPr>
                <w:rFonts w:hint="default" w:eastAsia="宋体"/>
                <w:sz w:val="24"/>
                <w:lang w:val="en-US" w:eastAsia="zh-CN"/>
              </w:rPr>
            </w:pPr>
            <w:r>
              <w:rPr>
                <w:rFonts w:hint="eastAsia"/>
                <w:sz w:val="24"/>
                <w:highlight w:val="none"/>
                <w:lang w:val="en-US" w:eastAsia="zh-CN"/>
              </w:rPr>
              <w:t>2510</w:t>
            </w:r>
            <w:r>
              <w:rPr>
                <w:sz w:val="24"/>
                <w:highlight w:val="none"/>
              </w:rPr>
              <w:t>-450704-04-02-</w:t>
            </w:r>
            <w:r>
              <w:rPr>
                <w:rFonts w:hint="eastAsia"/>
                <w:sz w:val="24"/>
                <w:highlight w:val="none"/>
                <w:lang w:val="en-US" w:eastAsia="zh-CN"/>
              </w:rPr>
              <w:t>180992</w:t>
            </w:r>
          </w:p>
        </w:tc>
      </w:tr>
      <w:tr w14:paraId="4D86B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51F6C0D1">
            <w:pPr>
              <w:adjustRightInd w:val="0"/>
              <w:snapToGrid w:val="0"/>
              <w:jc w:val="center"/>
              <w:rPr>
                <w:rFonts w:ascii="宋体" w:hAnsi="宋体" w:cs="宋体"/>
                <w:sz w:val="24"/>
              </w:rPr>
            </w:pPr>
            <w:r>
              <w:rPr>
                <w:rFonts w:hint="eastAsia" w:ascii="宋体" w:hAnsi="宋体" w:cs="宋体"/>
                <w:sz w:val="24"/>
              </w:rPr>
              <w:t>建设单位联系人</w:t>
            </w:r>
          </w:p>
        </w:tc>
        <w:tc>
          <w:tcPr>
            <w:tcW w:w="1879" w:type="dxa"/>
            <w:vAlign w:val="center"/>
          </w:tcPr>
          <w:p w14:paraId="62824269">
            <w:pPr>
              <w:adjustRightInd w:val="0"/>
              <w:snapToGrid w:val="0"/>
              <w:jc w:val="center"/>
              <w:rPr>
                <w:rFonts w:ascii="宋体" w:hAnsi="宋体" w:cs="宋体"/>
                <w:sz w:val="24"/>
              </w:rPr>
            </w:pPr>
            <w:r>
              <w:rPr>
                <w:rFonts w:hint="eastAsia"/>
                <w:color w:val="000000" w:themeColor="text1"/>
                <w:szCs w:val="21"/>
                <w14:textFill>
                  <w14:solidFill>
                    <w14:schemeClr w14:val="tx1"/>
                  </w14:solidFill>
                </w14:textFill>
              </w:rPr>
              <w:t>卢小勇</w:t>
            </w:r>
          </w:p>
        </w:tc>
        <w:tc>
          <w:tcPr>
            <w:tcW w:w="2212" w:type="dxa"/>
            <w:vAlign w:val="center"/>
          </w:tcPr>
          <w:p w14:paraId="758B0221">
            <w:pPr>
              <w:adjustRightInd w:val="0"/>
              <w:snapToGrid w:val="0"/>
              <w:jc w:val="center"/>
              <w:rPr>
                <w:rFonts w:ascii="宋体" w:hAnsi="宋体" w:cs="宋体"/>
                <w:sz w:val="24"/>
              </w:rPr>
            </w:pPr>
            <w:r>
              <w:rPr>
                <w:rFonts w:hint="eastAsia" w:ascii="宋体" w:hAnsi="宋体" w:cs="宋体"/>
                <w:sz w:val="24"/>
              </w:rPr>
              <w:t>联系方式</w:t>
            </w:r>
          </w:p>
        </w:tc>
        <w:tc>
          <w:tcPr>
            <w:tcW w:w="2639" w:type="dxa"/>
            <w:vAlign w:val="center"/>
          </w:tcPr>
          <w:p w14:paraId="4B5D8CA0">
            <w:pPr>
              <w:adjustRightInd w:val="0"/>
              <w:snapToGrid w:val="0"/>
              <w:jc w:val="center"/>
              <w:rPr>
                <w:sz w:val="24"/>
              </w:rPr>
            </w:pPr>
            <w:r>
              <w:rPr>
                <w:sz w:val="24"/>
              </w:rPr>
              <w:t>19978005970</w:t>
            </w:r>
          </w:p>
        </w:tc>
      </w:tr>
      <w:tr w14:paraId="2FF35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3FC0795D">
            <w:pPr>
              <w:adjustRightInd w:val="0"/>
              <w:snapToGrid w:val="0"/>
              <w:jc w:val="center"/>
              <w:rPr>
                <w:rFonts w:ascii="宋体" w:hAnsi="宋体" w:cs="宋体"/>
                <w:sz w:val="24"/>
              </w:rPr>
            </w:pPr>
            <w:r>
              <w:rPr>
                <w:rFonts w:hint="eastAsia" w:ascii="宋体" w:hAnsi="宋体" w:cs="宋体"/>
                <w:sz w:val="24"/>
              </w:rPr>
              <w:t>建设地点</w:t>
            </w:r>
          </w:p>
        </w:tc>
        <w:tc>
          <w:tcPr>
            <w:tcW w:w="6730" w:type="dxa"/>
            <w:gridSpan w:val="3"/>
            <w:vAlign w:val="center"/>
          </w:tcPr>
          <w:p w14:paraId="5F9E10D8">
            <w:pPr>
              <w:adjustRightInd w:val="0"/>
              <w:snapToGrid w:val="0"/>
              <w:jc w:val="center"/>
              <w:rPr>
                <w:rFonts w:hint="eastAsia" w:eastAsia="宋体"/>
                <w:sz w:val="24"/>
                <w:lang w:eastAsia="zh-CN"/>
              </w:rPr>
            </w:pPr>
            <w:r>
              <w:rPr>
                <w:rFonts w:hint="eastAsia"/>
                <w:sz w:val="24"/>
              </w:rPr>
              <w:t>广西壮族自治区钦州市中国（广西）自由贸易试验区钦州港片区钦州港</w:t>
            </w:r>
            <w:r>
              <w:rPr>
                <w:rFonts w:hint="eastAsia"/>
                <w:sz w:val="24"/>
                <w:lang w:val="en-US" w:eastAsia="zh-CN"/>
              </w:rPr>
              <w:t>海豚路1号</w:t>
            </w:r>
            <w:r>
              <w:rPr>
                <w:rFonts w:hint="eastAsia"/>
                <w:sz w:val="24"/>
              </w:rPr>
              <w:t>广西华谊能源化工有限公司</w:t>
            </w:r>
            <w:r>
              <w:rPr>
                <w:rFonts w:hint="eastAsia"/>
                <w:sz w:val="24"/>
                <w:lang w:eastAsia="zh-CN"/>
              </w:rPr>
              <w:t>（</w:t>
            </w:r>
            <w:r>
              <w:rPr>
                <w:rFonts w:hint="eastAsia"/>
                <w:sz w:val="24"/>
                <w:lang w:val="en-US" w:eastAsia="zh-CN"/>
              </w:rPr>
              <w:t>一期</w:t>
            </w:r>
            <w:r>
              <w:rPr>
                <w:rFonts w:hint="eastAsia"/>
                <w:sz w:val="24"/>
                <w:lang w:eastAsia="zh-CN"/>
              </w:rPr>
              <w:t>）</w:t>
            </w:r>
          </w:p>
        </w:tc>
      </w:tr>
      <w:tr w14:paraId="7816C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71433D38">
            <w:pPr>
              <w:adjustRightInd w:val="0"/>
              <w:snapToGrid w:val="0"/>
              <w:jc w:val="center"/>
              <w:rPr>
                <w:rFonts w:ascii="宋体" w:hAnsi="宋体" w:cs="宋体"/>
                <w:sz w:val="24"/>
              </w:rPr>
            </w:pPr>
            <w:r>
              <w:rPr>
                <w:rFonts w:hint="eastAsia" w:ascii="宋体" w:hAnsi="宋体" w:cs="宋体"/>
                <w:sz w:val="24"/>
              </w:rPr>
              <w:t>地理坐标</w:t>
            </w:r>
          </w:p>
        </w:tc>
        <w:tc>
          <w:tcPr>
            <w:tcW w:w="6730" w:type="dxa"/>
            <w:gridSpan w:val="3"/>
            <w:vAlign w:val="center"/>
          </w:tcPr>
          <w:p w14:paraId="58F10EA1">
            <w:pPr>
              <w:jc w:val="center"/>
              <w:rPr>
                <w:sz w:val="24"/>
              </w:rPr>
            </w:pPr>
            <w:r>
              <w:rPr>
                <w:bCs/>
                <w:sz w:val="24"/>
                <w:highlight w:val="none"/>
              </w:rPr>
              <w:t>E</w:t>
            </w:r>
            <w:r>
              <w:rPr>
                <w:rFonts w:hint="eastAsia"/>
                <w:bCs/>
                <w:sz w:val="24"/>
                <w:highlight w:val="none"/>
              </w:rPr>
              <w:t>108.611032</w:t>
            </w:r>
            <w:r>
              <w:rPr>
                <w:bCs/>
                <w:sz w:val="24"/>
                <w:highlight w:val="none"/>
              </w:rPr>
              <w:t>，N</w:t>
            </w:r>
            <w:r>
              <w:rPr>
                <w:rFonts w:hint="eastAsia"/>
                <w:bCs/>
                <w:sz w:val="24"/>
                <w:highlight w:val="none"/>
              </w:rPr>
              <w:t>21.718436</w:t>
            </w:r>
          </w:p>
        </w:tc>
      </w:tr>
      <w:tr w14:paraId="485A0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Mar>
              <w:top w:w="16" w:type="dxa"/>
              <w:left w:w="16" w:type="dxa"/>
              <w:right w:w="16" w:type="dxa"/>
            </w:tcMar>
            <w:vAlign w:val="center"/>
          </w:tcPr>
          <w:p w14:paraId="170FDFF7">
            <w:pPr>
              <w:adjustRightInd w:val="0"/>
              <w:snapToGrid w:val="0"/>
              <w:jc w:val="center"/>
              <w:rPr>
                <w:rFonts w:ascii="宋体" w:hAnsi="宋体" w:cs="宋体"/>
                <w:sz w:val="24"/>
              </w:rPr>
            </w:pPr>
            <w:r>
              <w:rPr>
                <w:rFonts w:hint="eastAsia" w:ascii="宋体" w:hAnsi="宋体" w:cs="宋体"/>
                <w:sz w:val="24"/>
              </w:rPr>
              <w:t>国民经济行业类别</w:t>
            </w:r>
          </w:p>
        </w:tc>
        <w:tc>
          <w:tcPr>
            <w:tcW w:w="1879" w:type="dxa"/>
            <w:vAlign w:val="center"/>
          </w:tcPr>
          <w:p w14:paraId="7648D70D">
            <w:pPr>
              <w:adjustRightInd w:val="0"/>
              <w:snapToGrid w:val="0"/>
              <w:jc w:val="center"/>
              <w:rPr>
                <w:rFonts w:hint="default"/>
                <w:sz w:val="24"/>
                <w:lang w:val="en-US"/>
              </w:rPr>
            </w:pPr>
            <w:r>
              <w:rPr>
                <w:rFonts w:hint="eastAsia"/>
                <w:sz w:val="24"/>
                <w:lang w:val="en-US" w:eastAsia="zh-CN"/>
              </w:rPr>
              <w:t>C2614有机化学原料制造</w:t>
            </w:r>
          </w:p>
        </w:tc>
        <w:tc>
          <w:tcPr>
            <w:tcW w:w="2212" w:type="dxa"/>
            <w:vAlign w:val="center"/>
          </w:tcPr>
          <w:p w14:paraId="3BC7029A">
            <w:pPr>
              <w:adjustRightInd w:val="0"/>
              <w:snapToGrid w:val="0"/>
              <w:jc w:val="center"/>
              <w:rPr>
                <w:sz w:val="24"/>
              </w:rPr>
            </w:pPr>
            <w:bookmarkStart w:id="8" w:name="_Hlk49843745"/>
            <w:r>
              <w:rPr>
                <w:sz w:val="24"/>
              </w:rPr>
              <w:t>建设项目行业类别</w:t>
            </w:r>
            <w:bookmarkEnd w:id="8"/>
          </w:p>
        </w:tc>
        <w:tc>
          <w:tcPr>
            <w:tcW w:w="2639" w:type="dxa"/>
            <w:vAlign w:val="center"/>
          </w:tcPr>
          <w:p w14:paraId="20974CD6">
            <w:pPr>
              <w:adjustRightInd w:val="0"/>
              <w:snapToGrid w:val="0"/>
              <w:jc w:val="center"/>
              <w:rPr>
                <w:rFonts w:hint="eastAsia" w:eastAsia="宋体"/>
                <w:sz w:val="24"/>
                <w:lang w:val="en-US" w:eastAsia="zh-CN"/>
              </w:rPr>
            </w:pPr>
            <w:r>
              <w:rPr>
                <w:rFonts w:hint="eastAsia"/>
                <w:sz w:val="24"/>
              </w:rPr>
              <w:t>二十三、化学原料和化学制品制造业-基础化学原料制造261</w:t>
            </w:r>
            <w:r>
              <w:rPr>
                <w:rFonts w:hint="eastAsia"/>
                <w:sz w:val="24"/>
                <w:lang w:val="en-US" w:eastAsia="zh-CN"/>
              </w:rPr>
              <w:t>-单纯物理分离、物理提纯、混合、分装的（不产生废水或挥发性有机物的除外）</w:t>
            </w:r>
          </w:p>
        </w:tc>
      </w:tr>
      <w:tr w14:paraId="02F20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40" w:type="dxa"/>
            <w:tcMar>
              <w:top w:w="16" w:type="dxa"/>
              <w:left w:w="16" w:type="dxa"/>
              <w:right w:w="16" w:type="dxa"/>
            </w:tcMar>
            <w:vAlign w:val="center"/>
          </w:tcPr>
          <w:p w14:paraId="7A4C61C8">
            <w:pPr>
              <w:adjustRightInd w:val="0"/>
              <w:snapToGrid w:val="0"/>
              <w:jc w:val="center"/>
              <w:rPr>
                <w:rFonts w:ascii="宋体" w:hAnsi="宋体" w:cs="宋体"/>
                <w:sz w:val="24"/>
              </w:rPr>
            </w:pPr>
            <w:r>
              <w:rPr>
                <w:rFonts w:hint="eastAsia" w:ascii="宋体" w:hAnsi="宋体" w:cs="宋体"/>
                <w:sz w:val="24"/>
              </w:rPr>
              <w:t>建设性质</w:t>
            </w:r>
          </w:p>
        </w:tc>
        <w:tc>
          <w:tcPr>
            <w:tcW w:w="1879" w:type="dxa"/>
            <w:vAlign w:val="center"/>
          </w:tcPr>
          <w:p w14:paraId="2D167476">
            <w:pPr>
              <w:jc w:val="left"/>
              <w:rPr>
                <w:rFonts w:ascii="宋体" w:hAnsi="宋体" w:cs="宋体"/>
                <w:sz w:val="24"/>
              </w:rPr>
            </w:pPr>
            <w:r>
              <w:rPr>
                <w:rFonts w:hint="eastAsia" w:ascii="宋体" w:hAnsi="宋体" w:cs="宋体"/>
                <w:sz w:val="24"/>
              </w:rPr>
              <w:t>□新建（迁建）</w:t>
            </w:r>
          </w:p>
          <w:p w14:paraId="65B49809">
            <w:pPr>
              <w:jc w:val="left"/>
              <w:rPr>
                <w:rFonts w:ascii="宋体" w:hAnsi="宋体" w:cs="宋体"/>
                <w:sz w:val="24"/>
              </w:rPr>
            </w:pPr>
            <w:r>
              <w:rPr>
                <w:rFonts w:hint="eastAsia" w:ascii="宋体" w:hAnsi="宋体" w:cs="宋体"/>
                <w:sz w:val="24"/>
                <w:lang w:eastAsia="zh-CN"/>
              </w:rPr>
              <w:t>☑</w:t>
            </w:r>
            <w:r>
              <w:rPr>
                <w:rFonts w:hint="eastAsia" w:ascii="宋体" w:hAnsi="宋体" w:cs="宋体"/>
                <w:sz w:val="24"/>
              </w:rPr>
              <w:t>扩建</w:t>
            </w:r>
          </w:p>
          <w:p w14:paraId="3FE72077">
            <w:pPr>
              <w:jc w:val="left"/>
              <w:rPr>
                <w:rFonts w:ascii="宋体" w:hAnsi="宋体" w:cs="宋体"/>
                <w:sz w:val="24"/>
              </w:rPr>
            </w:pPr>
            <w:r>
              <w:rPr>
                <w:rFonts w:hint="eastAsia" w:ascii="宋体" w:hAnsi="宋体" w:cs="宋体"/>
                <w:sz w:val="24"/>
                <w:lang w:eastAsia="zh-CN"/>
              </w:rPr>
              <w:t>□</w:t>
            </w:r>
            <w:r>
              <w:rPr>
                <w:rFonts w:hint="eastAsia" w:ascii="宋体" w:hAnsi="宋体" w:cs="宋体"/>
                <w:sz w:val="24"/>
              </w:rPr>
              <w:t>改建</w:t>
            </w:r>
          </w:p>
          <w:p w14:paraId="4970C810">
            <w:pPr>
              <w:jc w:val="left"/>
              <w:rPr>
                <w:rFonts w:ascii="宋体" w:hAnsi="宋体" w:cs="宋体"/>
                <w:sz w:val="24"/>
              </w:rPr>
            </w:pPr>
            <w:r>
              <w:rPr>
                <w:rFonts w:hint="eastAsia" w:ascii="宋体" w:hAnsi="宋体" w:cs="宋体"/>
                <w:sz w:val="24"/>
                <w:lang w:eastAsia="zh-CN"/>
              </w:rPr>
              <w:t>□</w:t>
            </w:r>
            <w:r>
              <w:rPr>
                <w:rFonts w:hint="eastAsia" w:ascii="宋体" w:hAnsi="宋体" w:cs="宋体"/>
                <w:sz w:val="24"/>
              </w:rPr>
              <w:t>技术改造</w:t>
            </w:r>
          </w:p>
        </w:tc>
        <w:tc>
          <w:tcPr>
            <w:tcW w:w="2212" w:type="dxa"/>
            <w:vAlign w:val="center"/>
          </w:tcPr>
          <w:p w14:paraId="5ED0950A">
            <w:pPr>
              <w:adjustRightInd w:val="0"/>
              <w:snapToGrid w:val="0"/>
              <w:jc w:val="center"/>
              <w:rPr>
                <w:rFonts w:ascii="宋体" w:hAnsi="宋体" w:cs="宋体"/>
                <w:sz w:val="24"/>
              </w:rPr>
            </w:pPr>
            <w:r>
              <w:rPr>
                <w:rFonts w:hint="eastAsia" w:ascii="宋体" w:hAnsi="宋体" w:cs="宋体"/>
                <w:sz w:val="24"/>
              </w:rPr>
              <w:t>建设项目</w:t>
            </w:r>
          </w:p>
          <w:p w14:paraId="614ADA04">
            <w:pPr>
              <w:adjustRightInd w:val="0"/>
              <w:snapToGrid w:val="0"/>
              <w:jc w:val="center"/>
              <w:rPr>
                <w:rFonts w:ascii="宋体" w:hAnsi="宋体" w:cs="宋体"/>
                <w:sz w:val="24"/>
              </w:rPr>
            </w:pPr>
            <w:r>
              <w:rPr>
                <w:rFonts w:hint="eastAsia" w:ascii="宋体" w:hAnsi="宋体" w:cs="宋体"/>
                <w:sz w:val="24"/>
              </w:rPr>
              <w:t>申报情形</w:t>
            </w:r>
          </w:p>
        </w:tc>
        <w:tc>
          <w:tcPr>
            <w:tcW w:w="2639" w:type="dxa"/>
            <w:vAlign w:val="center"/>
          </w:tcPr>
          <w:p w14:paraId="75D4A8A3">
            <w:pPr>
              <w:jc w:val="left"/>
              <w:rPr>
                <w:rFonts w:ascii="宋体" w:hAnsi="宋体" w:cs="宋体"/>
                <w:sz w:val="24"/>
              </w:rPr>
            </w:pPr>
            <w:r>
              <w:rPr>
                <w:rFonts w:hint="eastAsia" w:ascii="宋体" w:hAnsi="宋体" w:cs="宋体"/>
                <w:sz w:val="24"/>
                <w:lang w:eastAsia="zh-CN"/>
              </w:rPr>
              <w:t>☑</w:t>
            </w:r>
            <w:r>
              <w:rPr>
                <w:rFonts w:hint="eastAsia" w:ascii="宋体" w:hAnsi="宋体" w:cs="宋体"/>
                <w:sz w:val="24"/>
              </w:rPr>
              <w:t>首次申报项目</w:t>
            </w:r>
            <w:r>
              <w:rPr>
                <w:rFonts w:ascii="宋体" w:hAnsi="宋体" w:cs="宋体"/>
                <w:sz w:val="24"/>
              </w:rPr>
              <w:t xml:space="preserve">             </w:t>
            </w:r>
          </w:p>
          <w:p w14:paraId="4F7ABAA7">
            <w:pPr>
              <w:jc w:val="left"/>
              <w:rPr>
                <w:rFonts w:ascii="宋体" w:hAnsi="宋体" w:cs="宋体"/>
                <w:sz w:val="24"/>
              </w:rPr>
            </w:pPr>
            <w:r>
              <w:rPr>
                <w:rFonts w:hint="eastAsia" w:ascii="宋体" w:hAnsi="宋体" w:cs="宋体"/>
                <w:sz w:val="24"/>
              </w:rPr>
              <w:t>□不予批准后再次申报项目</w:t>
            </w:r>
          </w:p>
          <w:p w14:paraId="53C01C44">
            <w:pPr>
              <w:jc w:val="left"/>
              <w:rPr>
                <w:rFonts w:ascii="宋体" w:hAnsi="宋体" w:cs="宋体"/>
                <w:sz w:val="24"/>
              </w:rPr>
            </w:pPr>
            <w:r>
              <w:rPr>
                <w:rFonts w:hint="eastAsia" w:ascii="宋体" w:hAnsi="宋体" w:cs="宋体"/>
                <w:sz w:val="24"/>
              </w:rPr>
              <w:t>□超五年重新审核项目</w:t>
            </w:r>
            <w:r>
              <w:rPr>
                <w:rFonts w:ascii="宋体" w:hAnsi="宋体" w:cs="宋体"/>
                <w:sz w:val="24"/>
              </w:rPr>
              <w:t xml:space="preserve">     </w:t>
            </w:r>
          </w:p>
          <w:p w14:paraId="2AE677D3">
            <w:pPr>
              <w:jc w:val="left"/>
              <w:rPr>
                <w:rFonts w:ascii="宋体" w:hAnsi="宋体" w:cs="宋体"/>
                <w:sz w:val="24"/>
              </w:rPr>
            </w:pPr>
            <w:r>
              <w:rPr>
                <w:rFonts w:hint="eastAsia" w:ascii="宋体" w:hAnsi="宋体" w:cs="宋体"/>
                <w:sz w:val="24"/>
              </w:rPr>
              <w:t>□重大变动重新报批项目</w:t>
            </w:r>
          </w:p>
        </w:tc>
      </w:tr>
      <w:tr w14:paraId="16E77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0" w:type="dxa"/>
            <w:tcMar>
              <w:top w:w="16" w:type="dxa"/>
              <w:left w:w="16" w:type="dxa"/>
              <w:right w:w="16" w:type="dxa"/>
            </w:tcMar>
            <w:vAlign w:val="center"/>
          </w:tcPr>
          <w:p w14:paraId="01509D5A">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31B5EB0F">
            <w:pPr>
              <w:adjustRightInd w:val="0"/>
              <w:snapToGrid w:val="0"/>
              <w:jc w:val="center"/>
              <w:rPr>
                <w:rFonts w:ascii="宋体" w:hAnsi="宋体" w:cs="宋体"/>
                <w:sz w:val="24"/>
              </w:rPr>
            </w:pPr>
            <w:r>
              <w:rPr>
                <w:rFonts w:hint="eastAsia" w:ascii="宋体" w:hAnsi="宋体" w:cs="宋体"/>
                <w:sz w:val="24"/>
              </w:rPr>
              <w:t>备案）部门（选填）</w:t>
            </w:r>
          </w:p>
        </w:tc>
        <w:tc>
          <w:tcPr>
            <w:tcW w:w="1879" w:type="dxa"/>
            <w:vAlign w:val="center"/>
          </w:tcPr>
          <w:p w14:paraId="6BA7D00A">
            <w:pPr>
              <w:adjustRightInd w:val="0"/>
              <w:snapToGrid w:val="0"/>
              <w:jc w:val="center"/>
              <w:rPr>
                <w:rFonts w:ascii="宋体" w:hAnsi="宋体" w:cs="宋体"/>
                <w:sz w:val="24"/>
              </w:rPr>
            </w:pPr>
            <w:r>
              <w:rPr>
                <w:rFonts w:hint="eastAsia" w:ascii="宋体" w:hAnsi="宋体" w:cs="宋体"/>
                <w:sz w:val="24"/>
                <w:lang w:val="en-US" w:eastAsia="zh-CN"/>
              </w:rPr>
              <w:t>中国-马来西亚钦州产业园区</w:t>
            </w:r>
            <w:r>
              <w:rPr>
                <w:rFonts w:hint="eastAsia" w:ascii="宋体" w:hAnsi="宋体" w:cs="宋体"/>
                <w:sz w:val="24"/>
              </w:rPr>
              <w:t>行政审批局</w:t>
            </w:r>
          </w:p>
        </w:tc>
        <w:tc>
          <w:tcPr>
            <w:tcW w:w="2212" w:type="dxa"/>
            <w:vAlign w:val="center"/>
          </w:tcPr>
          <w:p w14:paraId="05F039EB">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14:paraId="1152B846">
            <w:pPr>
              <w:adjustRightInd w:val="0"/>
              <w:snapToGrid w:val="0"/>
              <w:jc w:val="center"/>
              <w:rPr>
                <w:rFonts w:ascii="宋体" w:hAnsi="宋体" w:cs="宋体"/>
                <w:sz w:val="24"/>
              </w:rPr>
            </w:pPr>
            <w:r>
              <w:rPr>
                <w:rFonts w:hint="eastAsia" w:ascii="宋体" w:hAnsi="宋体" w:cs="宋体"/>
                <w:sz w:val="24"/>
              </w:rPr>
              <w:t>备案）文号（选填）</w:t>
            </w:r>
          </w:p>
        </w:tc>
        <w:tc>
          <w:tcPr>
            <w:tcW w:w="2639" w:type="dxa"/>
            <w:vAlign w:val="center"/>
          </w:tcPr>
          <w:p w14:paraId="4F4CCED8">
            <w:pPr>
              <w:adjustRightInd w:val="0"/>
              <w:snapToGrid w:val="0"/>
              <w:jc w:val="center"/>
              <w:rPr>
                <w:sz w:val="24"/>
              </w:rPr>
            </w:pPr>
            <w:r>
              <w:rPr>
                <w:rFonts w:hint="eastAsia"/>
                <w:sz w:val="24"/>
                <w:highlight w:val="none"/>
              </w:rPr>
              <w:t>2510-450704-04-02-180992</w:t>
            </w:r>
          </w:p>
        </w:tc>
      </w:tr>
      <w:tr w14:paraId="68DE0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2E854B3E">
            <w:pPr>
              <w:adjustRightInd w:val="0"/>
              <w:snapToGrid w:val="0"/>
              <w:jc w:val="center"/>
              <w:rPr>
                <w:sz w:val="24"/>
              </w:rPr>
            </w:pPr>
            <w:r>
              <w:rPr>
                <w:sz w:val="24"/>
              </w:rPr>
              <w:t>总投资（万元）</w:t>
            </w:r>
          </w:p>
        </w:tc>
        <w:tc>
          <w:tcPr>
            <w:tcW w:w="1879" w:type="dxa"/>
            <w:vAlign w:val="center"/>
          </w:tcPr>
          <w:p w14:paraId="71DD909E">
            <w:pPr>
              <w:adjustRightInd w:val="0"/>
              <w:snapToGrid w:val="0"/>
              <w:jc w:val="center"/>
              <w:rPr>
                <w:rFonts w:hint="default" w:eastAsia="宋体"/>
                <w:sz w:val="24"/>
                <w:highlight w:val="none"/>
                <w:lang w:val="en-US" w:eastAsia="zh-CN"/>
              </w:rPr>
            </w:pPr>
            <w:r>
              <w:rPr>
                <w:rFonts w:hint="eastAsia"/>
                <w:sz w:val="24"/>
                <w:highlight w:val="none"/>
                <w:lang w:val="en-US" w:eastAsia="zh-CN"/>
              </w:rPr>
              <w:t>961.8</w:t>
            </w:r>
          </w:p>
        </w:tc>
        <w:tc>
          <w:tcPr>
            <w:tcW w:w="2212" w:type="dxa"/>
            <w:tcMar>
              <w:top w:w="16" w:type="dxa"/>
              <w:left w:w="16" w:type="dxa"/>
              <w:right w:w="16" w:type="dxa"/>
            </w:tcMar>
            <w:vAlign w:val="center"/>
          </w:tcPr>
          <w:p w14:paraId="50278717">
            <w:pPr>
              <w:adjustRightInd w:val="0"/>
              <w:snapToGrid w:val="0"/>
              <w:jc w:val="center"/>
              <w:rPr>
                <w:sz w:val="24"/>
              </w:rPr>
            </w:pPr>
            <w:r>
              <w:rPr>
                <w:sz w:val="24"/>
              </w:rPr>
              <w:t>环保投资（万元）</w:t>
            </w:r>
          </w:p>
        </w:tc>
        <w:tc>
          <w:tcPr>
            <w:tcW w:w="2639" w:type="dxa"/>
            <w:vAlign w:val="center"/>
          </w:tcPr>
          <w:p w14:paraId="4C6985A4">
            <w:pPr>
              <w:adjustRightInd w:val="0"/>
              <w:snapToGrid w:val="0"/>
              <w:jc w:val="center"/>
              <w:rPr>
                <w:rFonts w:hint="default" w:eastAsia="宋体"/>
                <w:sz w:val="24"/>
                <w:lang w:val="en-US" w:eastAsia="zh-CN"/>
              </w:rPr>
            </w:pPr>
            <w:r>
              <w:rPr>
                <w:rFonts w:hint="eastAsia"/>
                <w:sz w:val="24"/>
                <w:highlight w:val="none"/>
                <w:lang w:val="en-US" w:eastAsia="zh-CN"/>
              </w:rPr>
              <w:t>57</w:t>
            </w:r>
          </w:p>
        </w:tc>
      </w:tr>
      <w:tr w14:paraId="2BD04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020D8B05">
            <w:pPr>
              <w:adjustRightInd w:val="0"/>
              <w:snapToGrid w:val="0"/>
              <w:jc w:val="center"/>
              <w:rPr>
                <w:sz w:val="24"/>
              </w:rPr>
            </w:pPr>
            <w:r>
              <w:rPr>
                <w:sz w:val="24"/>
              </w:rPr>
              <w:t>环保投资占比（%）</w:t>
            </w:r>
          </w:p>
        </w:tc>
        <w:tc>
          <w:tcPr>
            <w:tcW w:w="1879" w:type="dxa"/>
            <w:vAlign w:val="center"/>
          </w:tcPr>
          <w:p w14:paraId="6627925A">
            <w:pPr>
              <w:adjustRightInd w:val="0"/>
              <w:snapToGrid w:val="0"/>
              <w:jc w:val="center"/>
              <w:rPr>
                <w:rFonts w:hint="default" w:eastAsia="宋体"/>
                <w:sz w:val="24"/>
                <w:highlight w:val="none"/>
                <w:lang w:val="en-US" w:eastAsia="zh-CN"/>
              </w:rPr>
            </w:pPr>
            <w:r>
              <w:rPr>
                <w:rFonts w:hint="eastAsia"/>
                <w:sz w:val="24"/>
                <w:highlight w:val="none"/>
                <w:lang w:val="en-US" w:eastAsia="zh-CN"/>
              </w:rPr>
              <w:t>5.95</w:t>
            </w:r>
          </w:p>
        </w:tc>
        <w:tc>
          <w:tcPr>
            <w:tcW w:w="2212" w:type="dxa"/>
            <w:tcMar>
              <w:top w:w="16" w:type="dxa"/>
              <w:left w:w="16" w:type="dxa"/>
              <w:right w:w="16" w:type="dxa"/>
            </w:tcMar>
            <w:vAlign w:val="center"/>
          </w:tcPr>
          <w:p w14:paraId="46C4C2AE">
            <w:pPr>
              <w:adjustRightInd w:val="0"/>
              <w:snapToGrid w:val="0"/>
              <w:jc w:val="center"/>
              <w:rPr>
                <w:sz w:val="24"/>
              </w:rPr>
            </w:pPr>
            <w:r>
              <w:rPr>
                <w:sz w:val="24"/>
              </w:rPr>
              <w:t>施工工期</w:t>
            </w:r>
          </w:p>
        </w:tc>
        <w:tc>
          <w:tcPr>
            <w:tcW w:w="2639" w:type="dxa"/>
            <w:vAlign w:val="center"/>
          </w:tcPr>
          <w:p w14:paraId="42366405">
            <w:pPr>
              <w:adjustRightInd w:val="0"/>
              <w:snapToGrid w:val="0"/>
              <w:jc w:val="center"/>
              <w:rPr>
                <w:sz w:val="24"/>
                <w:highlight w:val="yellow"/>
              </w:rPr>
            </w:pPr>
            <w:r>
              <w:rPr>
                <w:rFonts w:hint="eastAsia"/>
                <w:sz w:val="24"/>
                <w:lang w:val="en-US" w:eastAsia="zh-CN"/>
              </w:rPr>
              <w:t>3</w:t>
            </w:r>
            <w:r>
              <w:rPr>
                <w:rFonts w:hint="eastAsia"/>
                <w:sz w:val="24"/>
              </w:rPr>
              <w:t>个月</w:t>
            </w:r>
          </w:p>
        </w:tc>
      </w:tr>
      <w:tr w14:paraId="22273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Mar>
              <w:top w:w="16" w:type="dxa"/>
              <w:left w:w="16" w:type="dxa"/>
              <w:right w:w="16" w:type="dxa"/>
            </w:tcMar>
            <w:vAlign w:val="center"/>
          </w:tcPr>
          <w:p w14:paraId="748A2125">
            <w:pPr>
              <w:adjustRightInd w:val="0"/>
              <w:snapToGrid w:val="0"/>
              <w:jc w:val="center"/>
              <w:rPr>
                <w:sz w:val="24"/>
              </w:rPr>
            </w:pPr>
            <w:r>
              <w:rPr>
                <w:sz w:val="24"/>
              </w:rPr>
              <w:t>是否开工建设</w:t>
            </w:r>
          </w:p>
        </w:tc>
        <w:tc>
          <w:tcPr>
            <w:tcW w:w="1879" w:type="dxa"/>
            <w:vAlign w:val="center"/>
          </w:tcPr>
          <w:p w14:paraId="05BF2238">
            <w:pPr>
              <w:adjustRightInd w:val="0"/>
              <w:snapToGrid w:val="0"/>
              <w:rPr>
                <w:sz w:val="24"/>
              </w:rPr>
            </w:pPr>
            <w:r>
              <w:rPr>
                <w:rFonts w:hint="eastAsia" w:ascii="宋体" w:hAnsi="宋体" w:cs="宋体"/>
                <w:sz w:val="24"/>
              </w:rPr>
              <w:t>■</w:t>
            </w:r>
            <w:r>
              <w:rPr>
                <w:sz w:val="24"/>
              </w:rPr>
              <w:t>否</w:t>
            </w:r>
          </w:p>
          <w:p w14:paraId="484533A1">
            <w:pPr>
              <w:adjustRightInd w:val="0"/>
              <w:snapToGrid w:val="0"/>
              <w:rPr>
                <w:sz w:val="24"/>
              </w:rPr>
            </w:pPr>
            <w:r>
              <w:rPr>
                <w:rFonts w:hint="eastAsia" w:ascii="宋体" w:hAnsi="宋体" w:cs="宋体"/>
                <w:sz w:val="24"/>
              </w:rPr>
              <w:t>□</w:t>
            </w:r>
            <w:r>
              <w:rPr>
                <w:sz w:val="24"/>
              </w:rPr>
              <w:t>是</w:t>
            </w:r>
          </w:p>
        </w:tc>
        <w:tc>
          <w:tcPr>
            <w:tcW w:w="2212" w:type="dxa"/>
            <w:tcMar>
              <w:top w:w="16" w:type="dxa"/>
              <w:left w:w="16" w:type="dxa"/>
              <w:right w:w="16" w:type="dxa"/>
            </w:tcMar>
            <w:vAlign w:val="center"/>
          </w:tcPr>
          <w:p w14:paraId="39E9E464">
            <w:pPr>
              <w:adjustRightInd w:val="0"/>
              <w:snapToGrid w:val="0"/>
              <w:jc w:val="center"/>
              <w:rPr>
                <w:spacing w:val="-6"/>
                <w:sz w:val="24"/>
              </w:rPr>
            </w:pPr>
            <w:r>
              <w:rPr>
                <w:spacing w:val="-6"/>
                <w:sz w:val="24"/>
              </w:rPr>
              <w:t>用地面积（m</w:t>
            </w:r>
            <w:r>
              <w:rPr>
                <w:spacing w:val="-6"/>
                <w:sz w:val="24"/>
                <w:vertAlign w:val="superscript"/>
              </w:rPr>
              <w:t>2</w:t>
            </w:r>
            <w:r>
              <w:rPr>
                <w:spacing w:val="-6"/>
                <w:sz w:val="24"/>
              </w:rPr>
              <w:t>）</w:t>
            </w:r>
          </w:p>
        </w:tc>
        <w:tc>
          <w:tcPr>
            <w:tcW w:w="2639" w:type="dxa"/>
            <w:vAlign w:val="center"/>
          </w:tcPr>
          <w:p w14:paraId="300DB7C0">
            <w:pPr>
              <w:adjustRightInd w:val="0"/>
              <w:snapToGrid w:val="0"/>
              <w:jc w:val="center"/>
              <w:rPr>
                <w:rFonts w:hint="default" w:eastAsia="宋体"/>
                <w:sz w:val="24"/>
                <w:lang w:val="en-US" w:eastAsia="zh-CN"/>
              </w:rPr>
            </w:pPr>
            <w:r>
              <w:rPr>
                <w:rFonts w:hint="eastAsia"/>
                <w:sz w:val="24"/>
                <w:highlight w:val="none"/>
                <w:lang w:val="en-US" w:eastAsia="zh-CN"/>
              </w:rPr>
              <w:t>400</w:t>
            </w:r>
          </w:p>
        </w:tc>
      </w:tr>
      <w:tr w14:paraId="623EF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40" w:type="dxa"/>
            <w:vAlign w:val="center"/>
          </w:tcPr>
          <w:p w14:paraId="6F3DE35E">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6730" w:type="dxa"/>
            <w:gridSpan w:val="3"/>
            <w:vAlign w:val="center"/>
          </w:tcPr>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4369"/>
              <w:gridCol w:w="1089"/>
            </w:tblGrid>
            <w:tr w14:paraId="5C77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17C6FD95">
                  <w:pPr>
                    <w:widowControl/>
                    <w:jc w:val="center"/>
                    <w:rPr>
                      <w:bCs/>
                      <w:szCs w:val="21"/>
                    </w:rPr>
                  </w:pPr>
                  <w:r>
                    <w:rPr>
                      <w:rFonts w:hint="eastAsia"/>
                      <w:bCs/>
                      <w:szCs w:val="21"/>
                    </w:rPr>
                    <w:t>专项评价的类别</w:t>
                  </w:r>
                </w:p>
              </w:tc>
              <w:tc>
                <w:tcPr>
                  <w:tcW w:w="4369" w:type="dxa"/>
                  <w:vAlign w:val="center"/>
                </w:tcPr>
                <w:p w14:paraId="5637A42C">
                  <w:pPr>
                    <w:widowControl/>
                    <w:jc w:val="center"/>
                    <w:rPr>
                      <w:bCs/>
                      <w:szCs w:val="21"/>
                    </w:rPr>
                  </w:pPr>
                  <w:r>
                    <w:rPr>
                      <w:rFonts w:hint="eastAsia"/>
                      <w:bCs/>
                      <w:szCs w:val="21"/>
                    </w:rPr>
                    <w:t>设置原则</w:t>
                  </w:r>
                </w:p>
              </w:tc>
              <w:tc>
                <w:tcPr>
                  <w:tcW w:w="1089" w:type="dxa"/>
                  <w:vAlign w:val="center"/>
                </w:tcPr>
                <w:p w14:paraId="28CB812F">
                  <w:pPr>
                    <w:widowControl/>
                    <w:jc w:val="center"/>
                    <w:rPr>
                      <w:bCs/>
                      <w:szCs w:val="21"/>
                    </w:rPr>
                  </w:pPr>
                  <w:r>
                    <w:rPr>
                      <w:rFonts w:hint="eastAsia"/>
                      <w:bCs/>
                      <w:szCs w:val="21"/>
                    </w:rPr>
                    <w:t>本项目情况</w:t>
                  </w:r>
                </w:p>
              </w:tc>
            </w:tr>
            <w:tr w14:paraId="4976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432DC5F6">
                  <w:pPr>
                    <w:widowControl/>
                    <w:jc w:val="center"/>
                    <w:rPr>
                      <w:bCs/>
                      <w:szCs w:val="21"/>
                    </w:rPr>
                  </w:pPr>
                  <w:r>
                    <w:rPr>
                      <w:rFonts w:hint="eastAsia"/>
                      <w:bCs/>
                      <w:szCs w:val="21"/>
                    </w:rPr>
                    <w:t>大气</w:t>
                  </w:r>
                </w:p>
              </w:tc>
              <w:tc>
                <w:tcPr>
                  <w:tcW w:w="4369" w:type="dxa"/>
                  <w:vAlign w:val="center"/>
                </w:tcPr>
                <w:p w14:paraId="3B6865A7">
                  <w:pPr>
                    <w:widowControl/>
                    <w:jc w:val="center"/>
                    <w:rPr>
                      <w:bCs/>
                      <w:szCs w:val="21"/>
                    </w:rPr>
                  </w:pPr>
                  <w:r>
                    <w:rPr>
                      <w:bCs/>
                      <w:szCs w:val="21"/>
                    </w:rPr>
                    <w:t>排放废气含有毒有害污染物、二噁英、苯并[a]芘、氰化物、氯气且厂界外500米范围内有环境空气保护目标的建设项目</w:t>
                  </w:r>
                </w:p>
              </w:tc>
              <w:tc>
                <w:tcPr>
                  <w:tcW w:w="1089" w:type="dxa"/>
                  <w:vAlign w:val="center"/>
                </w:tcPr>
                <w:p w14:paraId="1325019C">
                  <w:pPr>
                    <w:widowControl/>
                    <w:jc w:val="center"/>
                    <w:rPr>
                      <w:bCs/>
                      <w:szCs w:val="21"/>
                    </w:rPr>
                  </w:pPr>
                  <w:r>
                    <w:rPr>
                      <w:rFonts w:hint="eastAsia"/>
                      <w:bCs/>
                      <w:szCs w:val="21"/>
                    </w:rPr>
                    <w:t>不涉及</w:t>
                  </w:r>
                </w:p>
              </w:tc>
            </w:tr>
            <w:tr w14:paraId="5D45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69DFBD62">
                  <w:pPr>
                    <w:widowControl/>
                    <w:jc w:val="center"/>
                    <w:rPr>
                      <w:bCs/>
                      <w:szCs w:val="21"/>
                    </w:rPr>
                  </w:pPr>
                  <w:r>
                    <w:rPr>
                      <w:rFonts w:hint="eastAsia"/>
                      <w:bCs/>
                      <w:szCs w:val="21"/>
                    </w:rPr>
                    <w:t>地表水</w:t>
                  </w:r>
                </w:p>
              </w:tc>
              <w:tc>
                <w:tcPr>
                  <w:tcW w:w="4369" w:type="dxa"/>
                  <w:vAlign w:val="center"/>
                </w:tcPr>
                <w:p w14:paraId="209DCDD7">
                  <w:pPr>
                    <w:widowControl/>
                    <w:jc w:val="center"/>
                    <w:rPr>
                      <w:bCs/>
                      <w:szCs w:val="21"/>
                    </w:rPr>
                  </w:pPr>
                  <w:r>
                    <w:rPr>
                      <w:bCs/>
                      <w:szCs w:val="21"/>
                    </w:rPr>
                    <w:t>新增工业废水直排建设项目（槽罐车外送污水处理厂的除外）；新增废水直排的污水集中处理厂</w:t>
                  </w:r>
                </w:p>
              </w:tc>
              <w:tc>
                <w:tcPr>
                  <w:tcW w:w="1089" w:type="dxa"/>
                  <w:vAlign w:val="center"/>
                </w:tcPr>
                <w:p w14:paraId="1A4B599A">
                  <w:pPr>
                    <w:widowControl/>
                    <w:jc w:val="center"/>
                    <w:rPr>
                      <w:bCs/>
                      <w:szCs w:val="21"/>
                    </w:rPr>
                  </w:pPr>
                  <w:r>
                    <w:rPr>
                      <w:rFonts w:hint="eastAsia"/>
                      <w:bCs/>
                      <w:szCs w:val="21"/>
                    </w:rPr>
                    <w:t>不涉及</w:t>
                  </w:r>
                </w:p>
              </w:tc>
            </w:tr>
            <w:tr w14:paraId="070F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24210BEE">
                  <w:pPr>
                    <w:widowControl/>
                    <w:jc w:val="center"/>
                    <w:rPr>
                      <w:bCs/>
                      <w:szCs w:val="21"/>
                      <w:u w:val="single"/>
                    </w:rPr>
                  </w:pPr>
                  <w:r>
                    <w:rPr>
                      <w:rFonts w:hint="eastAsia"/>
                      <w:bCs/>
                      <w:szCs w:val="21"/>
                      <w:u w:val="single"/>
                    </w:rPr>
                    <w:t>环境风险</w:t>
                  </w:r>
                </w:p>
              </w:tc>
              <w:tc>
                <w:tcPr>
                  <w:tcW w:w="4369" w:type="dxa"/>
                  <w:vAlign w:val="center"/>
                </w:tcPr>
                <w:p w14:paraId="2A00D496">
                  <w:pPr>
                    <w:widowControl/>
                    <w:jc w:val="center"/>
                    <w:rPr>
                      <w:bCs/>
                      <w:szCs w:val="21"/>
                      <w:u w:val="single"/>
                    </w:rPr>
                  </w:pPr>
                  <w:r>
                    <w:rPr>
                      <w:bCs/>
                      <w:szCs w:val="21"/>
                      <w:u w:val="single"/>
                    </w:rPr>
                    <w:t>有毒有害和易燃易爆危险物质存储量超过临界量的建设项目</w:t>
                  </w:r>
                </w:p>
              </w:tc>
              <w:tc>
                <w:tcPr>
                  <w:tcW w:w="1089" w:type="dxa"/>
                  <w:vAlign w:val="center"/>
                </w:tcPr>
                <w:p w14:paraId="12BE462D">
                  <w:pPr>
                    <w:widowControl/>
                    <w:jc w:val="center"/>
                    <w:rPr>
                      <w:rFonts w:hint="default" w:eastAsia="宋体"/>
                      <w:bCs/>
                      <w:szCs w:val="21"/>
                      <w:u w:val="single"/>
                      <w:lang w:val="en-US" w:eastAsia="zh-CN"/>
                    </w:rPr>
                  </w:pPr>
                  <w:r>
                    <w:rPr>
                      <w:rFonts w:hint="eastAsia"/>
                      <w:b/>
                      <w:bCs w:val="0"/>
                      <w:szCs w:val="21"/>
                      <w:u w:val="single"/>
                      <w:lang w:val="en-US" w:eastAsia="zh-CN"/>
                    </w:rPr>
                    <w:t>涉及</w:t>
                  </w:r>
                </w:p>
              </w:tc>
            </w:tr>
            <w:tr w14:paraId="7F8A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662091FF">
                  <w:pPr>
                    <w:widowControl/>
                    <w:jc w:val="center"/>
                    <w:rPr>
                      <w:bCs/>
                      <w:szCs w:val="21"/>
                    </w:rPr>
                  </w:pPr>
                  <w:r>
                    <w:rPr>
                      <w:rFonts w:hint="eastAsia"/>
                      <w:bCs/>
                      <w:szCs w:val="21"/>
                    </w:rPr>
                    <w:t>生态</w:t>
                  </w:r>
                </w:p>
              </w:tc>
              <w:tc>
                <w:tcPr>
                  <w:tcW w:w="4369" w:type="dxa"/>
                  <w:vAlign w:val="center"/>
                </w:tcPr>
                <w:p w14:paraId="5931EEB3">
                  <w:pPr>
                    <w:widowControl/>
                    <w:jc w:val="center"/>
                    <w:rPr>
                      <w:bCs/>
                      <w:szCs w:val="21"/>
                    </w:rPr>
                  </w:pPr>
                  <w:r>
                    <w:rPr>
                      <w:bCs/>
                      <w:szCs w:val="21"/>
                    </w:rPr>
                    <w:t>取水口下游500米范围内有重要水生生物的自然产卵场、索饵场、越冬场和洄游通道的新增河道取水的污染类建设项目</w:t>
                  </w:r>
                </w:p>
              </w:tc>
              <w:tc>
                <w:tcPr>
                  <w:tcW w:w="1089" w:type="dxa"/>
                  <w:vAlign w:val="center"/>
                </w:tcPr>
                <w:p w14:paraId="6DE7697D">
                  <w:pPr>
                    <w:widowControl/>
                    <w:jc w:val="center"/>
                    <w:rPr>
                      <w:bCs/>
                      <w:szCs w:val="21"/>
                    </w:rPr>
                  </w:pPr>
                  <w:r>
                    <w:rPr>
                      <w:rFonts w:hint="eastAsia"/>
                      <w:bCs/>
                      <w:szCs w:val="21"/>
                    </w:rPr>
                    <w:t>不涉及</w:t>
                  </w:r>
                </w:p>
              </w:tc>
            </w:tr>
            <w:tr w14:paraId="6EA6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dxa"/>
                  <w:vAlign w:val="center"/>
                </w:tcPr>
                <w:p w14:paraId="1B4630CD">
                  <w:pPr>
                    <w:widowControl/>
                    <w:jc w:val="center"/>
                    <w:rPr>
                      <w:bCs/>
                      <w:szCs w:val="21"/>
                    </w:rPr>
                  </w:pPr>
                  <w:r>
                    <w:rPr>
                      <w:rFonts w:hint="eastAsia"/>
                      <w:bCs/>
                      <w:szCs w:val="21"/>
                    </w:rPr>
                    <w:t>海洋</w:t>
                  </w:r>
                </w:p>
              </w:tc>
              <w:tc>
                <w:tcPr>
                  <w:tcW w:w="4369" w:type="dxa"/>
                  <w:vAlign w:val="center"/>
                </w:tcPr>
                <w:p w14:paraId="3E6947B5">
                  <w:pPr>
                    <w:widowControl/>
                    <w:jc w:val="center"/>
                    <w:rPr>
                      <w:bCs/>
                      <w:szCs w:val="21"/>
                    </w:rPr>
                  </w:pPr>
                  <w:r>
                    <w:rPr>
                      <w:bCs/>
                      <w:szCs w:val="21"/>
                    </w:rPr>
                    <w:t>直接向海排放污染物的海洋工程建设项目</w:t>
                  </w:r>
                </w:p>
              </w:tc>
              <w:tc>
                <w:tcPr>
                  <w:tcW w:w="1089" w:type="dxa"/>
                  <w:vAlign w:val="center"/>
                </w:tcPr>
                <w:p w14:paraId="0CFAF993">
                  <w:pPr>
                    <w:widowControl/>
                    <w:jc w:val="center"/>
                    <w:rPr>
                      <w:bCs/>
                      <w:szCs w:val="21"/>
                    </w:rPr>
                  </w:pPr>
                  <w:r>
                    <w:rPr>
                      <w:rFonts w:hint="eastAsia"/>
                      <w:bCs/>
                      <w:szCs w:val="21"/>
                    </w:rPr>
                    <w:t>不涉及</w:t>
                  </w:r>
                </w:p>
              </w:tc>
            </w:tr>
          </w:tbl>
          <w:p w14:paraId="2E9BE304">
            <w:pPr>
              <w:autoSpaceDE w:val="0"/>
              <w:autoSpaceDN w:val="0"/>
              <w:adjustRightInd w:val="0"/>
              <w:snapToGrid w:val="0"/>
              <w:jc w:val="center"/>
              <w:rPr>
                <w:kern w:val="0"/>
                <w:sz w:val="24"/>
              </w:rPr>
            </w:pPr>
          </w:p>
        </w:tc>
      </w:tr>
      <w:tr w14:paraId="13E72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40" w:type="dxa"/>
            <w:vAlign w:val="center"/>
          </w:tcPr>
          <w:p w14:paraId="309D519C">
            <w:pPr>
              <w:autoSpaceDE w:val="0"/>
              <w:autoSpaceDN w:val="0"/>
              <w:adjustRightInd w:val="0"/>
              <w:snapToGrid w:val="0"/>
              <w:jc w:val="center"/>
              <w:rPr>
                <w:kern w:val="0"/>
                <w:sz w:val="24"/>
              </w:rPr>
            </w:pPr>
            <w:r>
              <w:rPr>
                <w:rFonts w:hint="eastAsia"/>
                <w:kern w:val="0"/>
                <w:sz w:val="24"/>
              </w:rPr>
              <w:t>规划情况</w:t>
            </w:r>
          </w:p>
        </w:tc>
        <w:tc>
          <w:tcPr>
            <w:tcW w:w="6730" w:type="dxa"/>
            <w:gridSpan w:val="3"/>
            <w:vAlign w:val="center"/>
          </w:tcPr>
          <w:p w14:paraId="4B85843F">
            <w:pPr>
              <w:spacing w:line="500" w:lineRule="atLeast"/>
              <w:ind w:firstLine="480" w:firstLineChars="200"/>
              <w:rPr>
                <w:sz w:val="24"/>
              </w:rPr>
            </w:pPr>
            <w:r>
              <w:rPr>
                <w:rFonts w:hint="eastAsia"/>
                <w:sz w:val="24"/>
              </w:rPr>
              <w:t>规划名称：《广西钦州石化产业园总体发展规划（2020—2035年）》；</w:t>
            </w:r>
          </w:p>
          <w:p w14:paraId="6024B1D9">
            <w:pPr>
              <w:spacing w:line="500" w:lineRule="atLeast"/>
              <w:ind w:firstLine="480" w:firstLineChars="200"/>
              <w:rPr>
                <w:sz w:val="24"/>
              </w:rPr>
            </w:pPr>
            <w:r>
              <w:rPr>
                <w:rFonts w:hint="eastAsia"/>
                <w:sz w:val="24"/>
              </w:rPr>
              <w:t>审批机关：广西壮族自治区人民政府；</w:t>
            </w:r>
          </w:p>
          <w:p w14:paraId="05002BBC">
            <w:pPr>
              <w:spacing w:line="500" w:lineRule="atLeast"/>
              <w:ind w:firstLine="480" w:firstLineChars="200"/>
              <w:rPr>
                <w:kern w:val="0"/>
                <w:sz w:val="24"/>
              </w:rPr>
            </w:pPr>
            <w:r>
              <w:rPr>
                <w:rFonts w:hint="eastAsia"/>
                <w:sz w:val="24"/>
              </w:rPr>
              <w:t>审批文件名称及文号：《广西壮族自治区人民政府关于广西钦州石化产业园总体发展规划（2020—2035年）的批复》（桂政函〔2021〕153号）。</w:t>
            </w:r>
          </w:p>
        </w:tc>
      </w:tr>
      <w:tr w14:paraId="234C7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140" w:type="dxa"/>
            <w:vAlign w:val="center"/>
          </w:tcPr>
          <w:p w14:paraId="1DDE34B4">
            <w:pPr>
              <w:autoSpaceDE w:val="0"/>
              <w:autoSpaceDN w:val="0"/>
              <w:adjustRightInd w:val="0"/>
              <w:snapToGrid w:val="0"/>
              <w:jc w:val="center"/>
              <w:rPr>
                <w:kern w:val="0"/>
                <w:sz w:val="24"/>
              </w:rPr>
            </w:pPr>
            <w:r>
              <w:rPr>
                <w:rFonts w:hint="eastAsia"/>
                <w:kern w:val="0"/>
                <w:sz w:val="24"/>
              </w:rPr>
              <w:t>规划环境影响评价情况</w:t>
            </w:r>
          </w:p>
        </w:tc>
        <w:tc>
          <w:tcPr>
            <w:tcW w:w="6730" w:type="dxa"/>
            <w:gridSpan w:val="3"/>
            <w:vAlign w:val="center"/>
          </w:tcPr>
          <w:p w14:paraId="450053A0">
            <w:pPr>
              <w:spacing w:line="500" w:lineRule="atLeast"/>
              <w:ind w:firstLine="480" w:firstLineChars="200"/>
              <w:rPr>
                <w:sz w:val="24"/>
              </w:rPr>
            </w:pPr>
            <w:r>
              <w:rPr>
                <w:rFonts w:hint="eastAsia"/>
                <w:sz w:val="24"/>
              </w:rPr>
              <w:t>规划环评文件：《广西钦州石化产业园总体发展规划环境影响报告书》；</w:t>
            </w:r>
          </w:p>
          <w:p w14:paraId="08222B25">
            <w:pPr>
              <w:spacing w:line="500" w:lineRule="atLeast"/>
              <w:ind w:firstLine="480" w:firstLineChars="200"/>
              <w:rPr>
                <w:sz w:val="24"/>
              </w:rPr>
            </w:pPr>
            <w:r>
              <w:rPr>
                <w:rFonts w:hint="eastAsia"/>
                <w:sz w:val="24"/>
              </w:rPr>
              <w:t>召集审查机关：广西壮族自治区生态环境厅；</w:t>
            </w:r>
          </w:p>
          <w:p w14:paraId="3F2ACCEB">
            <w:pPr>
              <w:spacing w:line="500" w:lineRule="atLeast"/>
              <w:ind w:firstLine="480" w:firstLineChars="200"/>
              <w:rPr>
                <w:kern w:val="0"/>
                <w:sz w:val="24"/>
              </w:rPr>
            </w:pPr>
            <w:r>
              <w:rPr>
                <w:rFonts w:hint="eastAsia"/>
                <w:sz w:val="24"/>
              </w:rPr>
              <w:t>审查文件名称及文号：《广西壮族自治区生态环境厅关于印发钦州石化产业园总体发展规划环境影响报告书审查意见的函》（桂环函〔2021〕388号）。</w:t>
            </w:r>
          </w:p>
        </w:tc>
      </w:tr>
      <w:tr w14:paraId="37257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40" w:type="dxa"/>
            <w:vAlign w:val="center"/>
          </w:tcPr>
          <w:p w14:paraId="7FF73E15">
            <w:pPr>
              <w:autoSpaceDE w:val="0"/>
              <w:autoSpaceDN w:val="0"/>
              <w:adjustRightInd w:val="0"/>
              <w:snapToGrid w:val="0"/>
              <w:jc w:val="center"/>
              <w:rPr>
                <w:kern w:val="0"/>
                <w:sz w:val="24"/>
              </w:rPr>
            </w:pPr>
            <w:r>
              <w:rPr>
                <w:rFonts w:hint="eastAsia"/>
                <w:kern w:val="0"/>
                <w:sz w:val="24"/>
              </w:rPr>
              <w:t>规划及规划环境影响评价符合性分析</w:t>
            </w:r>
          </w:p>
        </w:tc>
        <w:tc>
          <w:tcPr>
            <w:tcW w:w="6730" w:type="dxa"/>
            <w:gridSpan w:val="3"/>
            <w:vAlign w:val="center"/>
          </w:tcPr>
          <w:p w14:paraId="5578C145">
            <w:pPr>
              <w:spacing w:line="500" w:lineRule="atLeast"/>
              <w:ind w:firstLine="482" w:firstLineChars="200"/>
              <w:rPr>
                <w:b/>
                <w:sz w:val="24"/>
                <w:u w:val="none"/>
              </w:rPr>
            </w:pPr>
            <w:r>
              <w:rPr>
                <w:rFonts w:hint="eastAsia"/>
                <w:b/>
                <w:sz w:val="24"/>
                <w:u w:val="none"/>
              </w:rPr>
              <w:t>1、与广西钦州石化产业园总体发展规划（2020—2035年）符合性分析</w:t>
            </w:r>
          </w:p>
          <w:p w14:paraId="4F6D1F0D">
            <w:pPr>
              <w:spacing w:line="500" w:lineRule="atLeast"/>
              <w:ind w:firstLine="480" w:firstLineChars="200"/>
              <w:rPr>
                <w:sz w:val="24"/>
                <w:u w:val="none"/>
              </w:rPr>
            </w:pPr>
            <w:r>
              <w:rPr>
                <w:rFonts w:hint="eastAsia"/>
                <w:sz w:val="24"/>
                <w:u w:val="none"/>
              </w:rPr>
              <w:t>本项目</w:t>
            </w:r>
            <w:r>
              <w:rPr>
                <w:rFonts w:hint="eastAsia"/>
                <w:sz w:val="24"/>
                <w:u w:val="none"/>
                <w:lang w:val="en-US" w:eastAsia="zh-CN"/>
              </w:rPr>
              <w:t>在现有厂区内新增一套60醋酸分离回收装置用于回收现有工程醋酸装置副产的60醋酸</w:t>
            </w:r>
            <w:r>
              <w:rPr>
                <w:rFonts w:hint="eastAsia"/>
                <w:sz w:val="24"/>
                <w:u w:val="none"/>
              </w:rPr>
              <w:t>，未新增用地且未改变现有工程行业类别，</w:t>
            </w:r>
            <w:r>
              <w:rPr>
                <w:rFonts w:hint="eastAsia"/>
                <w:sz w:val="24"/>
                <w:u w:val="none"/>
                <w:lang w:val="en-US" w:eastAsia="zh-CN"/>
              </w:rPr>
              <w:t>因此</w:t>
            </w:r>
            <w:r>
              <w:rPr>
                <w:rFonts w:hint="eastAsia"/>
                <w:sz w:val="24"/>
                <w:u w:val="none"/>
              </w:rPr>
              <w:t>符合规划目标、发展方案和产业布局。</w:t>
            </w:r>
          </w:p>
          <w:p w14:paraId="3CF7A1E0">
            <w:pPr>
              <w:spacing w:line="500" w:lineRule="atLeast"/>
              <w:ind w:firstLine="482" w:firstLineChars="200"/>
              <w:rPr>
                <w:b/>
                <w:sz w:val="24"/>
                <w:u w:val="none"/>
              </w:rPr>
            </w:pPr>
            <w:r>
              <w:rPr>
                <w:b/>
                <w:sz w:val="24"/>
                <w:u w:val="none"/>
              </w:rPr>
              <w:t>2、与规划环评相关要求及符合性分析</w:t>
            </w:r>
          </w:p>
          <w:p w14:paraId="3808919C">
            <w:pPr>
              <w:spacing w:line="500" w:lineRule="atLeast"/>
              <w:ind w:firstLine="480" w:firstLineChars="200"/>
              <w:rPr>
                <w:sz w:val="24"/>
                <w:u w:val="none"/>
              </w:rPr>
            </w:pPr>
            <w:r>
              <w:rPr>
                <w:rFonts w:hint="eastAsia"/>
                <w:sz w:val="24"/>
                <w:u w:val="none"/>
              </w:rPr>
              <w:t>项目</w:t>
            </w:r>
            <w:r>
              <w:rPr>
                <w:rFonts w:hint="eastAsia"/>
                <w:sz w:val="24"/>
                <w:u w:val="none"/>
                <w:lang w:val="en-US" w:eastAsia="zh-CN"/>
              </w:rPr>
              <w:t>在现有厂区内增设一套装置，</w:t>
            </w:r>
            <w:r>
              <w:rPr>
                <w:rFonts w:hint="eastAsia"/>
                <w:sz w:val="24"/>
                <w:u w:val="none"/>
              </w:rPr>
              <w:t>未新增用地且未改变现有工程行业类别，</w:t>
            </w:r>
            <w:r>
              <w:rPr>
                <w:rFonts w:hint="eastAsia"/>
                <w:sz w:val="24"/>
                <w:u w:val="none"/>
                <w:lang w:val="en-US" w:eastAsia="zh-CN"/>
              </w:rPr>
              <w:t>因此</w:t>
            </w:r>
            <w:r>
              <w:rPr>
                <w:rFonts w:hint="eastAsia"/>
                <w:sz w:val="24"/>
                <w:u w:val="none"/>
              </w:rPr>
              <w:t xml:space="preserve">符合规划环评相关要求。 </w:t>
            </w:r>
          </w:p>
          <w:p w14:paraId="65A62176">
            <w:pPr>
              <w:spacing w:line="500" w:lineRule="atLeast"/>
              <w:ind w:firstLine="482" w:firstLineChars="200"/>
              <w:rPr>
                <w:b/>
                <w:sz w:val="24"/>
                <w:u w:val="none"/>
              </w:rPr>
            </w:pPr>
            <w:r>
              <w:rPr>
                <w:rFonts w:hint="eastAsia"/>
                <w:b/>
                <w:sz w:val="24"/>
                <w:u w:val="none"/>
              </w:rPr>
              <w:t>3、审查意见相关要求及相符性分析</w:t>
            </w:r>
          </w:p>
          <w:p w14:paraId="4EBFE4D6">
            <w:pPr>
              <w:spacing w:line="500" w:lineRule="atLeast"/>
              <w:ind w:firstLine="480" w:firstLineChars="200"/>
              <w:rPr>
                <w:rFonts w:hint="eastAsia"/>
                <w:sz w:val="24"/>
                <w:u w:val="none"/>
              </w:rPr>
            </w:pPr>
            <w:r>
              <w:rPr>
                <w:rFonts w:hint="eastAsia"/>
                <w:sz w:val="24"/>
                <w:u w:val="none"/>
              </w:rPr>
              <w:t>项目</w:t>
            </w:r>
            <w:r>
              <w:rPr>
                <w:rFonts w:hint="eastAsia"/>
                <w:sz w:val="24"/>
                <w:u w:val="none"/>
                <w:lang w:val="en-US" w:eastAsia="zh-CN"/>
              </w:rPr>
              <w:t>在现有厂区内增设一套装置，</w:t>
            </w:r>
            <w:r>
              <w:rPr>
                <w:rFonts w:hint="eastAsia"/>
                <w:sz w:val="24"/>
                <w:u w:val="none"/>
              </w:rPr>
              <w:t>未新增用地且未改变现有工程行业类别，</w:t>
            </w:r>
            <w:r>
              <w:rPr>
                <w:rFonts w:hint="eastAsia"/>
                <w:sz w:val="24"/>
                <w:u w:val="none"/>
                <w:lang w:val="en-US" w:eastAsia="zh-CN"/>
              </w:rPr>
              <w:t>因此</w:t>
            </w:r>
            <w:r>
              <w:rPr>
                <w:rFonts w:hint="eastAsia"/>
                <w:sz w:val="24"/>
                <w:u w:val="none"/>
              </w:rPr>
              <w:t>符合规划环评审查意见的要求。</w:t>
            </w:r>
          </w:p>
          <w:p w14:paraId="35435E81">
            <w:pPr>
              <w:spacing w:line="500" w:lineRule="atLeast"/>
              <w:ind w:firstLine="480" w:firstLineChars="200"/>
              <w:rPr>
                <w:rFonts w:hint="eastAsia"/>
                <w:sz w:val="24"/>
                <w:u w:val="none"/>
              </w:rPr>
            </w:pPr>
          </w:p>
          <w:p w14:paraId="105E2074">
            <w:pPr>
              <w:spacing w:line="500" w:lineRule="atLeast"/>
              <w:ind w:firstLine="480" w:firstLineChars="200"/>
              <w:rPr>
                <w:rFonts w:hint="eastAsia"/>
                <w:sz w:val="24"/>
                <w:u w:val="none"/>
              </w:rPr>
            </w:pPr>
          </w:p>
        </w:tc>
      </w:tr>
      <w:tr w14:paraId="378AA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5" w:hRule="atLeast"/>
          <w:jc w:val="center"/>
        </w:trPr>
        <w:tc>
          <w:tcPr>
            <w:tcW w:w="2140" w:type="dxa"/>
            <w:vAlign w:val="center"/>
          </w:tcPr>
          <w:p w14:paraId="332572FF">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6730" w:type="dxa"/>
            <w:gridSpan w:val="3"/>
            <w:vAlign w:val="center"/>
          </w:tcPr>
          <w:p w14:paraId="59E25C7E">
            <w:pPr>
              <w:spacing w:line="500" w:lineRule="atLeast"/>
              <w:ind w:firstLine="482" w:firstLineChars="200"/>
              <w:rPr>
                <w:b/>
                <w:sz w:val="24"/>
              </w:rPr>
            </w:pPr>
            <w:r>
              <w:rPr>
                <w:rFonts w:hint="eastAsia"/>
                <w:b/>
                <w:sz w:val="24"/>
              </w:rPr>
              <w:t>一、选址合理性分析</w:t>
            </w:r>
          </w:p>
          <w:p w14:paraId="4B912FDE">
            <w:pPr>
              <w:spacing w:line="500" w:lineRule="atLeast"/>
              <w:ind w:firstLine="480" w:firstLineChars="200"/>
              <w:rPr>
                <w:sz w:val="24"/>
              </w:rPr>
            </w:pPr>
            <w:r>
              <w:rPr>
                <w:rFonts w:hint="eastAsia"/>
                <w:sz w:val="24"/>
              </w:rPr>
              <w:t>项目拟在</w:t>
            </w:r>
            <w:r>
              <w:rPr>
                <w:rFonts w:hint="eastAsia"/>
                <w:sz w:val="24"/>
                <w:lang w:val="en-US" w:eastAsia="zh-CN"/>
              </w:rPr>
              <w:t>现有</w:t>
            </w:r>
            <w:r>
              <w:rPr>
                <w:rFonts w:hint="eastAsia"/>
                <w:sz w:val="24"/>
              </w:rPr>
              <w:t>厂区内新增60</w:t>
            </w:r>
            <w:r>
              <w:rPr>
                <w:rFonts w:hint="eastAsia"/>
                <w:sz w:val="24"/>
                <w:lang w:eastAsia="zh-CN"/>
              </w:rPr>
              <w:t>醋酸分离</w:t>
            </w:r>
            <w:r>
              <w:rPr>
                <w:rFonts w:hint="eastAsia"/>
                <w:sz w:val="24"/>
              </w:rPr>
              <w:t>回收装置，不涉及厂区外的新增用地，不改变原有用地性质及用途，符合园区土地利用规划。</w:t>
            </w:r>
            <w:r>
              <w:rPr>
                <w:rFonts w:hint="eastAsia"/>
                <w:sz w:val="24"/>
                <w:lang w:val="en-US" w:eastAsia="zh-CN"/>
              </w:rPr>
              <w:t>项目</w:t>
            </w:r>
            <w:r>
              <w:rPr>
                <w:rFonts w:hint="eastAsia"/>
                <w:sz w:val="24"/>
              </w:rPr>
              <w:t>不涉及风景名胜区、自然保护区、饮用水源保护区等环境敏感区</w:t>
            </w:r>
            <w:r>
              <w:rPr>
                <w:rFonts w:hint="eastAsia"/>
                <w:sz w:val="24"/>
                <w:lang w:eastAsia="zh-CN"/>
              </w:rPr>
              <w:t>，</w:t>
            </w:r>
            <w:r>
              <w:rPr>
                <w:rFonts w:hint="eastAsia"/>
                <w:sz w:val="24"/>
              </w:rPr>
              <w:t>不占用基本农田，不违反《限制用地项目目录（2012年本）》和《禁止用地项目目录（2012年本）》，项目用地符合国家土地政策、用地政策。项目在施工期和运营期认真落实本环评提出的环境保护措施后，环境影响可接受，因此，从环境保护角度分析，项目选址可行。</w:t>
            </w:r>
          </w:p>
          <w:p w14:paraId="62B39E51">
            <w:pPr>
              <w:spacing w:line="500" w:lineRule="atLeast"/>
              <w:ind w:firstLine="482" w:firstLineChars="200"/>
              <w:rPr>
                <w:b/>
                <w:sz w:val="24"/>
              </w:rPr>
            </w:pPr>
            <w:r>
              <w:rPr>
                <w:rFonts w:hint="eastAsia"/>
                <w:b/>
                <w:sz w:val="24"/>
              </w:rPr>
              <w:t>二、产业政策符合性分析</w:t>
            </w:r>
          </w:p>
          <w:p w14:paraId="12DA1095">
            <w:pPr>
              <w:spacing w:line="500" w:lineRule="atLeast"/>
              <w:ind w:firstLine="480" w:firstLineChars="200"/>
              <w:rPr>
                <w:sz w:val="24"/>
              </w:rPr>
            </w:pPr>
            <w:r>
              <w:rPr>
                <w:rFonts w:hint="eastAsia"/>
                <w:sz w:val="24"/>
              </w:rPr>
              <w:t>根据《产业结构调整指导目录（2024年本）》，项目</w:t>
            </w:r>
            <w:r>
              <w:rPr>
                <w:rFonts w:hint="eastAsia"/>
                <w:sz w:val="24"/>
                <w:lang w:val="en-US" w:eastAsia="zh-CN"/>
              </w:rPr>
              <w:t>类别和使用的设备</w:t>
            </w:r>
            <w:r>
              <w:rPr>
                <w:rFonts w:hint="eastAsia"/>
                <w:sz w:val="24"/>
              </w:rPr>
              <w:t>均不在鼓励类、限制类和淘汰类产业之中，</w:t>
            </w:r>
            <w:r>
              <w:rPr>
                <w:rFonts w:hint="eastAsia"/>
                <w:sz w:val="24"/>
                <w:lang w:val="en-US" w:eastAsia="zh-CN"/>
              </w:rPr>
              <w:t>属于</w:t>
            </w:r>
            <w:r>
              <w:rPr>
                <w:rFonts w:hint="eastAsia"/>
                <w:sz w:val="24"/>
              </w:rPr>
              <w:t>允许类。根据《北钦防一体化产业协同发展负面清单（工业类2021年本）》，项目位于钦州港片区钦州港经济技术开发区石化产业园区内，</w:t>
            </w:r>
            <w:r>
              <w:rPr>
                <w:rFonts w:hint="eastAsia"/>
                <w:sz w:val="24"/>
                <w:lang w:val="en-US" w:eastAsia="zh-CN"/>
              </w:rPr>
              <w:t>为现有工程醋酸装置副产品60醋酸的分离回收项目，</w:t>
            </w:r>
            <w:r>
              <w:rPr>
                <w:rFonts w:hint="eastAsia"/>
                <w:sz w:val="24"/>
              </w:rPr>
              <w:t>不属于钦州市全市限制的炼铁、炼钢、铝冶炼、平板玻璃制造及重点园区限制行业类型。综上，项目符合国家、地方产业政策。且项目已获得广西自贸区钦州港片区行政审批局批准的备案证明，详见附件2。</w:t>
            </w:r>
          </w:p>
          <w:p w14:paraId="4F370DE2">
            <w:pPr>
              <w:spacing w:line="500" w:lineRule="atLeast"/>
              <w:ind w:firstLine="482" w:firstLineChars="200"/>
              <w:rPr>
                <w:b/>
                <w:sz w:val="24"/>
              </w:rPr>
            </w:pPr>
            <w:r>
              <w:rPr>
                <w:rFonts w:hint="eastAsia"/>
                <w:b/>
                <w:sz w:val="24"/>
              </w:rPr>
              <w:t>三、生态环境分区管控相符性分析</w:t>
            </w:r>
          </w:p>
          <w:p w14:paraId="22F7F739">
            <w:pPr>
              <w:spacing w:line="500" w:lineRule="atLeast"/>
              <w:ind w:firstLine="480" w:firstLineChars="200"/>
              <w:rPr>
                <w:rFonts w:hint="eastAsia"/>
                <w:sz w:val="24"/>
                <w:u w:val="none"/>
              </w:rPr>
            </w:pPr>
            <w:r>
              <w:rPr>
                <w:rFonts w:hint="eastAsia"/>
                <w:sz w:val="24"/>
                <w:u w:val="none"/>
              </w:rPr>
              <w:t>根据《广西壮族自治区生态环境厅关于印发实施广西壮族自治区生态环境分区管控动态更新成果（2023年）的通知》（桂环规范〔2024〕3号），本项目不涉及自然保护区、饮用水水源保护区、水产种质资源保护区、重要湿地、湿地公园、地质公园、自治区级以上森林公园、世界文化和自然遗产地、风景名胜区、自治区级以上公益林、天然林、水源涵养功能（极）重要区、（极）重度石漠化区和生物多样性维护功能（极）重要区，不属于优先保护单元、重点保护单元中禁止建设项目，符合生态环境准入及管控要求。</w:t>
            </w:r>
          </w:p>
          <w:p w14:paraId="3C344591">
            <w:pPr>
              <w:spacing w:line="500" w:lineRule="atLeast"/>
              <w:ind w:firstLine="480" w:firstLineChars="200"/>
              <w:rPr>
                <w:rFonts w:hint="eastAsia"/>
                <w:sz w:val="24"/>
                <w:u w:val="none"/>
              </w:rPr>
            </w:pPr>
            <w:r>
              <w:rPr>
                <w:rFonts w:hint="eastAsia"/>
                <w:sz w:val="24"/>
                <w:u w:val="none"/>
              </w:rPr>
              <w:t>根据《钦州市生态环境分区管控动态更新成果（2023年）》，全市陆域共划分为 64 个环境管控单元。其中，优先保护单元 34 个，面积占比 16.32%；重点管控单元 26 个，面积占比 25.28%；一般管控单元 4 个，面积占比 58.41%。近岸海域共划分为 63 个环境管控单元，其中，优先保护单元 25 个，面积占比 10.78%；重点管控单元 31 个，面积占比 6.74%；一般管控单元 7 个，面积占比 82.48%。</w:t>
            </w:r>
          </w:p>
          <w:p w14:paraId="123A60B4">
            <w:pPr>
              <w:spacing w:line="500" w:lineRule="atLeast"/>
              <w:ind w:firstLine="480" w:firstLineChars="200"/>
              <w:rPr>
                <w:rFonts w:hint="eastAsia"/>
                <w:sz w:val="24"/>
                <w:u w:val="none"/>
              </w:rPr>
            </w:pPr>
            <w:r>
              <w:rPr>
                <w:rFonts w:hint="eastAsia"/>
                <w:sz w:val="24"/>
                <w:u w:val="none"/>
              </w:rPr>
              <w:t>项目与钦州市环境准入及管控要求清单相符性分析详见下表。</w:t>
            </w:r>
          </w:p>
          <w:p w14:paraId="364416A1">
            <w:pPr>
              <w:spacing w:line="500" w:lineRule="atLeast"/>
              <w:jc w:val="center"/>
              <w:rPr>
                <w:b/>
                <w:sz w:val="24"/>
                <w:u w:val="none"/>
              </w:rPr>
            </w:pPr>
            <w:r>
              <w:rPr>
                <w:rFonts w:hint="eastAsia"/>
                <w:b/>
                <w:sz w:val="24"/>
                <w:u w:val="none"/>
              </w:rPr>
              <w:t>表1-1 与钦州市生态环境准入及管控要求相符性分析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575"/>
              <w:gridCol w:w="1871"/>
              <w:gridCol w:w="578"/>
            </w:tblGrid>
            <w:tr w14:paraId="2359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0" w:type="dxa"/>
                  <w:tcBorders>
                    <w:top w:val="single" w:color="auto" w:sz="4" w:space="0"/>
                    <w:left w:val="single" w:color="auto" w:sz="4" w:space="0"/>
                    <w:bottom w:val="single" w:color="auto" w:sz="4" w:space="0"/>
                    <w:right w:val="single" w:color="auto" w:sz="4" w:space="0"/>
                  </w:tcBorders>
                  <w:vAlign w:val="center"/>
                </w:tcPr>
                <w:p w14:paraId="78B9394B">
                  <w:pPr>
                    <w:adjustRightInd w:val="0"/>
                    <w:snapToGrid w:val="0"/>
                    <w:jc w:val="center"/>
                    <w:rPr>
                      <w:szCs w:val="21"/>
                      <w:u w:val="none"/>
                    </w:rPr>
                  </w:pPr>
                  <w:r>
                    <w:rPr>
                      <w:szCs w:val="21"/>
                      <w:u w:val="none"/>
                    </w:rPr>
                    <w:t>管控类别</w:t>
                  </w:r>
                </w:p>
              </w:tc>
              <w:tc>
                <w:tcPr>
                  <w:tcW w:w="3575" w:type="dxa"/>
                  <w:tcBorders>
                    <w:top w:val="single" w:color="auto" w:sz="4" w:space="0"/>
                    <w:left w:val="nil"/>
                    <w:bottom w:val="single" w:color="auto" w:sz="4" w:space="0"/>
                    <w:right w:val="single" w:color="auto" w:sz="4" w:space="0"/>
                  </w:tcBorders>
                  <w:vAlign w:val="center"/>
                </w:tcPr>
                <w:p w14:paraId="1536C5A7">
                  <w:pPr>
                    <w:adjustRightInd w:val="0"/>
                    <w:snapToGrid w:val="0"/>
                    <w:jc w:val="center"/>
                    <w:rPr>
                      <w:szCs w:val="21"/>
                      <w:u w:val="none"/>
                    </w:rPr>
                  </w:pPr>
                  <w:r>
                    <w:rPr>
                      <w:szCs w:val="21"/>
                      <w:u w:val="none"/>
                    </w:rPr>
                    <w:t>生态环境准入及管控要求</w:t>
                  </w:r>
                </w:p>
              </w:tc>
              <w:tc>
                <w:tcPr>
                  <w:tcW w:w="1871" w:type="dxa"/>
                  <w:tcBorders>
                    <w:top w:val="single" w:color="auto" w:sz="4" w:space="0"/>
                    <w:left w:val="nil"/>
                    <w:bottom w:val="single" w:color="auto" w:sz="4" w:space="0"/>
                    <w:right w:val="single" w:color="auto" w:sz="4" w:space="0"/>
                  </w:tcBorders>
                  <w:vAlign w:val="center"/>
                </w:tcPr>
                <w:p w14:paraId="168F5526">
                  <w:pPr>
                    <w:adjustRightInd w:val="0"/>
                    <w:snapToGrid w:val="0"/>
                    <w:jc w:val="center"/>
                    <w:rPr>
                      <w:szCs w:val="21"/>
                      <w:u w:val="none"/>
                    </w:rPr>
                  </w:pPr>
                  <w:r>
                    <w:rPr>
                      <w:szCs w:val="21"/>
                      <w:u w:val="none"/>
                    </w:rPr>
                    <w:t>本项目</w:t>
                  </w:r>
                </w:p>
              </w:tc>
              <w:tc>
                <w:tcPr>
                  <w:tcW w:w="578" w:type="dxa"/>
                  <w:tcBorders>
                    <w:top w:val="single" w:color="auto" w:sz="4" w:space="0"/>
                    <w:left w:val="nil"/>
                    <w:bottom w:val="single" w:color="auto" w:sz="4" w:space="0"/>
                    <w:right w:val="single" w:color="auto" w:sz="4" w:space="0"/>
                  </w:tcBorders>
                  <w:vAlign w:val="center"/>
                </w:tcPr>
                <w:p w14:paraId="3E540E91">
                  <w:pPr>
                    <w:adjustRightInd w:val="0"/>
                    <w:snapToGrid w:val="0"/>
                    <w:jc w:val="center"/>
                    <w:rPr>
                      <w:szCs w:val="21"/>
                      <w:u w:val="none"/>
                    </w:rPr>
                  </w:pPr>
                  <w:r>
                    <w:rPr>
                      <w:szCs w:val="21"/>
                      <w:u w:val="none"/>
                    </w:rPr>
                    <w:t>相符性</w:t>
                  </w:r>
                </w:p>
              </w:tc>
            </w:tr>
            <w:tr w14:paraId="198F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1A30A567">
                  <w:pPr>
                    <w:adjustRightInd w:val="0"/>
                    <w:snapToGrid w:val="0"/>
                    <w:jc w:val="center"/>
                    <w:rPr>
                      <w:szCs w:val="21"/>
                      <w:u w:val="none"/>
                    </w:rPr>
                  </w:pPr>
                  <w:r>
                    <w:rPr>
                      <w:bCs/>
                      <w:szCs w:val="21"/>
                      <w:u w:val="none"/>
                    </w:rPr>
                    <w:t>空间布局约束</w:t>
                  </w:r>
                </w:p>
              </w:tc>
              <w:tc>
                <w:tcPr>
                  <w:tcW w:w="3575" w:type="dxa"/>
                  <w:tcBorders>
                    <w:top w:val="single" w:color="auto" w:sz="4" w:space="0"/>
                    <w:left w:val="nil"/>
                    <w:bottom w:val="single" w:color="auto" w:sz="4" w:space="0"/>
                    <w:right w:val="single" w:color="auto" w:sz="4" w:space="0"/>
                  </w:tcBorders>
                  <w:vAlign w:val="center"/>
                </w:tcPr>
                <w:p w14:paraId="44C1C819">
                  <w:pPr>
                    <w:widowControl/>
                    <w:adjustRightInd w:val="0"/>
                    <w:snapToGrid w:val="0"/>
                    <w:textAlignment w:val="center"/>
                    <w:rPr>
                      <w:kern w:val="0"/>
                      <w:szCs w:val="21"/>
                      <w:u w:val="none"/>
                    </w:rPr>
                  </w:pPr>
                  <w:r>
                    <w:rPr>
                      <w:rFonts w:hint="eastAsia"/>
                      <w:kern w:val="0"/>
                      <w:szCs w:val="21"/>
                      <w:u w:val="none"/>
                      <w:lang w:bidi="ar"/>
                    </w:rPr>
                    <w:t>1.自然保护地、森林公园、湿地公园、水源保护区、风景名胜区、公益林、天然林等具有法律地位，有管理条例、规定、办法管控的各类保护地，其管控要求原则上按照各类保护地的现行规定进行管理，重叠区域以最严格的要求进行管理。纳入生态保护红线管理的各类自然保护地，还应执行《关于在国土空间规划中统筹划定落实三条控制线的指导意见》相关要求以及国家、自治区有关生态保护红线内各类开发活动的准入及管控规定和要求。</w:t>
                  </w:r>
                </w:p>
              </w:tc>
              <w:tc>
                <w:tcPr>
                  <w:tcW w:w="1871" w:type="dxa"/>
                  <w:tcBorders>
                    <w:top w:val="single" w:color="auto" w:sz="4" w:space="0"/>
                    <w:left w:val="nil"/>
                    <w:bottom w:val="single" w:color="auto" w:sz="4" w:space="0"/>
                    <w:right w:val="single" w:color="auto" w:sz="4" w:space="0"/>
                  </w:tcBorders>
                  <w:vAlign w:val="center"/>
                </w:tcPr>
                <w:p w14:paraId="4EFF9AB4">
                  <w:pPr>
                    <w:widowControl/>
                    <w:adjustRightInd w:val="0"/>
                    <w:snapToGrid w:val="0"/>
                    <w:textAlignment w:val="center"/>
                    <w:rPr>
                      <w:kern w:val="0"/>
                      <w:szCs w:val="21"/>
                      <w:u w:val="none"/>
                    </w:rPr>
                  </w:pPr>
                  <w:r>
                    <w:rPr>
                      <w:rFonts w:hint="eastAsia"/>
                      <w:kern w:val="0"/>
                      <w:szCs w:val="21"/>
                      <w:u w:val="none"/>
                    </w:rPr>
                    <w:t>项目不在自然保护地、森林公园、湿地公园、水源保护区、风景名胜区、公益林、天然林等</w:t>
                  </w:r>
                  <w:r>
                    <w:rPr>
                      <w:rFonts w:hint="eastAsia"/>
                      <w:kern w:val="0"/>
                      <w:szCs w:val="21"/>
                      <w:u w:val="none"/>
                      <w:lang w:bidi="ar"/>
                    </w:rPr>
                    <w:t>生态保护红线内。</w:t>
                  </w:r>
                </w:p>
              </w:tc>
              <w:tc>
                <w:tcPr>
                  <w:tcW w:w="578" w:type="dxa"/>
                  <w:tcBorders>
                    <w:top w:val="single" w:color="auto" w:sz="4" w:space="0"/>
                    <w:left w:val="nil"/>
                    <w:bottom w:val="single" w:color="auto" w:sz="4" w:space="0"/>
                    <w:right w:val="single" w:color="auto" w:sz="4" w:space="0"/>
                  </w:tcBorders>
                  <w:vAlign w:val="center"/>
                </w:tcPr>
                <w:p w14:paraId="2A079494">
                  <w:pPr>
                    <w:widowControl/>
                    <w:adjustRightInd w:val="0"/>
                    <w:snapToGrid w:val="0"/>
                    <w:jc w:val="center"/>
                    <w:textAlignment w:val="center"/>
                    <w:rPr>
                      <w:kern w:val="0"/>
                      <w:szCs w:val="21"/>
                      <w:u w:val="none"/>
                    </w:rPr>
                  </w:pPr>
                  <w:r>
                    <w:rPr>
                      <w:rFonts w:hint="eastAsia"/>
                      <w:kern w:val="0"/>
                      <w:szCs w:val="21"/>
                      <w:u w:val="none"/>
                    </w:rPr>
                    <w:t>—</w:t>
                  </w:r>
                </w:p>
              </w:tc>
            </w:tr>
            <w:tr w14:paraId="60A1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E3874B6">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65EAB1AF">
                  <w:pPr>
                    <w:widowControl/>
                    <w:adjustRightInd w:val="0"/>
                    <w:snapToGrid w:val="0"/>
                    <w:textAlignment w:val="center"/>
                    <w:rPr>
                      <w:szCs w:val="21"/>
                      <w:u w:val="none"/>
                    </w:rPr>
                  </w:pPr>
                  <w:r>
                    <w:rPr>
                      <w:rFonts w:hint="eastAsia"/>
                      <w:kern w:val="0"/>
                      <w:szCs w:val="21"/>
                      <w:u w:val="none"/>
                      <w:lang w:bidi="ar"/>
                    </w:rPr>
                    <w:t>2.红树林依据《广西壮族自治区红树林资源保护条例》进行管理。开展红树林修复要依法依规进行，并符合红树林资源保护规划等相关要求。</w:t>
                  </w:r>
                </w:p>
              </w:tc>
              <w:tc>
                <w:tcPr>
                  <w:tcW w:w="1871" w:type="dxa"/>
                  <w:tcBorders>
                    <w:top w:val="single" w:color="auto" w:sz="4" w:space="0"/>
                    <w:left w:val="nil"/>
                    <w:bottom w:val="single" w:color="auto" w:sz="4" w:space="0"/>
                    <w:right w:val="single" w:color="auto" w:sz="4" w:space="0"/>
                  </w:tcBorders>
                  <w:vAlign w:val="center"/>
                </w:tcPr>
                <w:p w14:paraId="3D7DBB80">
                  <w:pPr>
                    <w:widowControl/>
                    <w:adjustRightInd w:val="0"/>
                    <w:snapToGrid w:val="0"/>
                    <w:textAlignment w:val="center"/>
                    <w:rPr>
                      <w:kern w:val="0"/>
                      <w:szCs w:val="21"/>
                      <w:u w:val="none"/>
                    </w:rPr>
                  </w:pPr>
                  <w:r>
                    <w:rPr>
                      <w:rFonts w:hint="eastAsia"/>
                      <w:kern w:val="0"/>
                      <w:szCs w:val="21"/>
                      <w:u w:val="none"/>
                    </w:rPr>
                    <w:t>项目占地不涉及</w:t>
                  </w:r>
                  <w:r>
                    <w:rPr>
                      <w:rFonts w:hint="eastAsia"/>
                      <w:kern w:val="0"/>
                      <w:szCs w:val="21"/>
                      <w:u w:val="none"/>
                      <w:lang w:bidi="ar"/>
                    </w:rPr>
                    <w:t>红树林。</w:t>
                  </w:r>
                </w:p>
              </w:tc>
              <w:tc>
                <w:tcPr>
                  <w:tcW w:w="578" w:type="dxa"/>
                  <w:tcBorders>
                    <w:top w:val="single" w:color="auto" w:sz="4" w:space="0"/>
                    <w:left w:val="nil"/>
                    <w:bottom w:val="single" w:color="auto" w:sz="4" w:space="0"/>
                    <w:right w:val="single" w:color="auto" w:sz="4" w:space="0"/>
                  </w:tcBorders>
                  <w:vAlign w:val="center"/>
                </w:tcPr>
                <w:p w14:paraId="2A20D744">
                  <w:pPr>
                    <w:widowControl/>
                    <w:adjustRightInd w:val="0"/>
                    <w:snapToGrid w:val="0"/>
                    <w:jc w:val="center"/>
                    <w:textAlignment w:val="center"/>
                    <w:rPr>
                      <w:kern w:val="0"/>
                      <w:szCs w:val="21"/>
                      <w:u w:val="none"/>
                    </w:rPr>
                  </w:pPr>
                  <w:r>
                    <w:rPr>
                      <w:rFonts w:hint="eastAsia"/>
                      <w:kern w:val="0"/>
                      <w:szCs w:val="21"/>
                      <w:u w:val="none"/>
                    </w:rPr>
                    <w:t>—</w:t>
                  </w:r>
                </w:p>
              </w:tc>
            </w:tr>
            <w:tr w14:paraId="609A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A6A8F9F">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FA008B5">
                  <w:pPr>
                    <w:widowControl/>
                    <w:adjustRightInd w:val="0"/>
                    <w:snapToGrid w:val="0"/>
                    <w:textAlignment w:val="center"/>
                    <w:rPr>
                      <w:kern w:val="0"/>
                      <w:szCs w:val="21"/>
                      <w:u w:val="none"/>
                    </w:rPr>
                  </w:pPr>
                  <w:r>
                    <w:rPr>
                      <w:rFonts w:hint="eastAsia"/>
                      <w:kern w:val="0"/>
                      <w:szCs w:val="21"/>
                      <w:u w:val="none"/>
                      <w:lang w:bidi="ar"/>
                    </w:rPr>
                    <w:t>3.重要湿地依据《中华人民共和国湿地保护法》《国家湿地公园管理办法》《广西壮族自治区湿地保护条例》进行管理。</w:t>
                  </w:r>
                </w:p>
              </w:tc>
              <w:tc>
                <w:tcPr>
                  <w:tcW w:w="1871" w:type="dxa"/>
                  <w:tcBorders>
                    <w:top w:val="single" w:color="auto" w:sz="4" w:space="0"/>
                    <w:left w:val="nil"/>
                    <w:bottom w:val="single" w:color="auto" w:sz="4" w:space="0"/>
                    <w:right w:val="single" w:color="auto" w:sz="4" w:space="0"/>
                  </w:tcBorders>
                  <w:vAlign w:val="center"/>
                </w:tcPr>
                <w:p w14:paraId="5653A897">
                  <w:pPr>
                    <w:widowControl/>
                    <w:adjustRightInd w:val="0"/>
                    <w:snapToGrid w:val="0"/>
                    <w:textAlignment w:val="center"/>
                    <w:rPr>
                      <w:kern w:val="0"/>
                      <w:szCs w:val="21"/>
                      <w:u w:val="none"/>
                    </w:rPr>
                  </w:pPr>
                  <w:r>
                    <w:rPr>
                      <w:rFonts w:hint="eastAsia"/>
                      <w:kern w:val="0"/>
                      <w:szCs w:val="21"/>
                      <w:u w:val="none"/>
                    </w:rPr>
                    <w:t>项目不涉及</w:t>
                  </w:r>
                  <w:r>
                    <w:rPr>
                      <w:rFonts w:hint="eastAsia"/>
                      <w:kern w:val="0"/>
                      <w:szCs w:val="21"/>
                      <w:u w:val="none"/>
                      <w:lang w:bidi="ar"/>
                    </w:rPr>
                    <w:t>重要湿地。</w:t>
                  </w:r>
                </w:p>
              </w:tc>
              <w:tc>
                <w:tcPr>
                  <w:tcW w:w="578" w:type="dxa"/>
                  <w:tcBorders>
                    <w:top w:val="single" w:color="auto" w:sz="4" w:space="0"/>
                    <w:left w:val="nil"/>
                    <w:bottom w:val="single" w:color="auto" w:sz="4" w:space="0"/>
                    <w:right w:val="single" w:color="auto" w:sz="4" w:space="0"/>
                  </w:tcBorders>
                  <w:vAlign w:val="center"/>
                </w:tcPr>
                <w:p w14:paraId="67F853AD">
                  <w:pPr>
                    <w:widowControl/>
                    <w:adjustRightInd w:val="0"/>
                    <w:snapToGrid w:val="0"/>
                    <w:jc w:val="center"/>
                    <w:textAlignment w:val="center"/>
                    <w:rPr>
                      <w:kern w:val="0"/>
                      <w:szCs w:val="21"/>
                      <w:u w:val="none"/>
                    </w:rPr>
                  </w:pPr>
                  <w:r>
                    <w:rPr>
                      <w:rFonts w:hint="eastAsia"/>
                      <w:kern w:val="0"/>
                      <w:szCs w:val="21"/>
                      <w:u w:val="none"/>
                    </w:rPr>
                    <w:t>—</w:t>
                  </w:r>
                </w:p>
              </w:tc>
            </w:tr>
            <w:tr w14:paraId="7AF2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D5E0D9A">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F1D4DF4">
                  <w:pPr>
                    <w:widowControl/>
                    <w:numPr>
                      <w:ilvl w:val="0"/>
                      <w:numId w:val="2"/>
                    </w:numPr>
                    <w:adjustRightInd w:val="0"/>
                    <w:snapToGrid w:val="0"/>
                    <w:textAlignment w:val="center"/>
                    <w:rPr>
                      <w:kern w:val="0"/>
                      <w:szCs w:val="21"/>
                      <w:u w:val="none"/>
                    </w:rPr>
                  </w:pPr>
                  <w:r>
                    <w:rPr>
                      <w:rFonts w:hint="eastAsia"/>
                      <w:kern w:val="0"/>
                      <w:szCs w:val="21"/>
                      <w:u w:val="none"/>
                      <w:lang w:bidi="ar"/>
                    </w:rPr>
                    <w:t>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871" w:type="dxa"/>
                  <w:tcBorders>
                    <w:top w:val="single" w:color="auto" w:sz="4" w:space="0"/>
                    <w:left w:val="nil"/>
                    <w:bottom w:val="single" w:color="auto" w:sz="4" w:space="0"/>
                    <w:right w:val="single" w:color="auto" w:sz="4" w:space="0"/>
                  </w:tcBorders>
                  <w:vAlign w:val="center"/>
                </w:tcPr>
                <w:p w14:paraId="681A1A7D">
                  <w:pPr>
                    <w:widowControl/>
                    <w:adjustRightInd w:val="0"/>
                    <w:snapToGrid w:val="0"/>
                    <w:textAlignment w:val="center"/>
                    <w:rPr>
                      <w:kern w:val="0"/>
                      <w:szCs w:val="21"/>
                      <w:u w:val="none"/>
                    </w:rPr>
                  </w:pPr>
                  <w:r>
                    <w:rPr>
                      <w:rFonts w:hint="eastAsia"/>
                      <w:kern w:val="0"/>
                      <w:szCs w:val="21"/>
                      <w:u w:val="none"/>
                    </w:rPr>
                    <w:t>项目不占用</w:t>
                  </w:r>
                  <w:r>
                    <w:rPr>
                      <w:rFonts w:hint="eastAsia"/>
                      <w:kern w:val="0"/>
                      <w:szCs w:val="21"/>
                      <w:u w:val="none"/>
                      <w:lang w:bidi="ar"/>
                    </w:rPr>
                    <w:t>自然保护区、湿地保护区及生态环境极为敏感地区，不在水源保护区、湿地、永久基本农田、陡坡区、地质灾害高易发区内。</w:t>
                  </w:r>
                </w:p>
              </w:tc>
              <w:tc>
                <w:tcPr>
                  <w:tcW w:w="578" w:type="dxa"/>
                  <w:tcBorders>
                    <w:top w:val="single" w:color="auto" w:sz="4" w:space="0"/>
                    <w:left w:val="nil"/>
                    <w:bottom w:val="single" w:color="auto" w:sz="4" w:space="0"/>
                    <w:right w:val="single" w:color="auto" w:sz="4" w:space="0"/>
                  </w:tcBorders>
                  <w:vAlign w:val="center"/>
                </w:tcPr>
                <w:p w14:paraId="6F69FF19">
                  <w:pPr>
                    <w:widowControl/>
                    <w:adjustRightInd w:val="0"/>
                    <w:snapToGrid w:val="0"/>
                    <w:jc w:val="center"/>
                    <w:textAlignment w:val="center"/>
                    <w:rPr>
                      <w:kern w:val="0"/>
                      <w:szCs w:val="21"/>
                      <w:u w:val="none"/>
                    </w:rPr>
                  </w:pPr>
                  <w:r>
                    <w:rPr>
                      <w:rFonts w:hint="eastAsia"/>
                      <w:kern w:val="0"/>
                      <w:szCs w:val="21"/>
                      <w:u w:val="none"/>
                    </w:rPr>
                    <w:t>—</w:t>
                  </w:r>
                </w:p>
              </w:tc>
            </w:tr>
            <w:tr w14:paraId="245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FDA77DD">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03EB7E2F">
                  <w:pPr>
                    <w:widowControl/>
                    <w:numPr>
                      <w:ilvl w:val="0"/>
                      <w:numId w:val="2"/>
                    </w:numPr>
                    <w:adjustRightInd w:val="0"/>
                    <w:snapToGrid w:val="0"/>
                    <w:textAlignment w:val="center"/>
                    <w:rPr>
                      <w:kern w:val="0"/>
                      <w:szCs w:val="21"/>
                      <w:u w:val="none"/>
                    </w:rPr>
                  </w:pPr>
                  <w:r>
                    <w:rPr>
                      <w:rFonts w:hint="eastAsia"/>
                      <w:kern w:val="0"/>
                      <w:szCs w:val="21"/>
                      <w:u w:val="none"/>
                      <w:lang w:bidi="ar"/>
                    </w:rPr>
                    <w:t>以供给侧结构性改革为导向，坚持培育新增产能与淘汰落后产能相结合，严格审批，防止新增落后产能。严格控制“两高”和产能过剩行业新上项目，遏制高耗能产业无序发展和低水平扩张。</w:t>
                  </w:r>
                </w:p>
              </w:tc>
              <w:tc>
                <w:tcPr>
                  <w:tcW w:w="1871" w:type="dxa"/>
                  <w:tcBorders>
                    <w:top w:val="single" w:color="auto" w:sz="4" w:space="0"/>
                    <w:left w:val="nil"/>
                    <w:bottom w:val="single" w:color="auto" w:sz="4" w:space="0"/>
                    <w:right w:val="single" w:color="auto" w:sz="4" w:space="0"/>
                  </w:tcBorders>
                  <w:vAlign w:val="center"/>
                </w:tcPr>
                <w:p w14:paraId="2796A01A">
                  <w:pPr>
                    <w:widowControl/>
                    <w:adjustRightInd w:val="0"/>
                    <w:snapToGrid w:val="0"/>
                    <w:textAlignment w:val="center"/>
                    <w:rPr>
                      <w:kern w:val="0"/>
                      <w:szCs w:val="21"/>
                      <w:u w:val="none"/>
                    </w:rPr>
                  </w:pPr>
                  <w:r>
                    <w:rPr>
                      <w:rFonts w:hint="eastAsia"/>
                      <w:szCs w:val="21"/>
                      <w:u w:val="none"/>
                    </w:rPr>
                    <w:t>项目</w:t>
                  </w:r>
                  <w:r>
                    <w:rPr>
                      <w:rFonts w:hint="eastAsia"/>
                      <w:kern w:val="0"/>
                      <w:szCs w:val="21"/>
                      <w:u w:val="none"/>
                    </w:rPr>
                    <w:t>不属于“两高”项目。</w:t>
                  </w:r>
                </w:p>
              </w:tc>
              <w:tc>
                <w:tcPr>
                  <w:tcW w:w="578" w:type="dxa"/>
                  <w:tcBorders>
                    <w:top w:val="single" w:color="auto" w:sz="4" w:space="0"/>
                    <w:left w:val="nil"/>
                    <w:bottom w:val="single" w:color="auto" w:sz="4" w:space="0"/>
                    <w:right w:val="single" w:color="auto" w:sz="4" w:space="0"/>
                  </w:tcBorders>
                  <w:vAlign w:val="center"/>
                </w:tcPr>
                <w:p w14:paraId="37C08C26">
                  <w:pPr>
                    <w:widowControl/>
                    <w:adjustRightInd w:val="0"/>
                    <w:snapToGrid w:val="0"/>
                    <w:jc w:val="center"/>
                    <w:textAlignment w:val="center"/>
                    <w:rPr>
                      <w:kern w:val="0"/>
                      <w:szCs w:val="21"/>
                      <w:u w:val="none"/>
                    </w:rPr>
                  </w:pPr>
                  <w:r>
                    <w:rPr>
                      <w:rFonts w:hint="eastAsia"/>
                      <w:kern w:val="0"/>
                      <w:szCs w:val="21"/>
                      <w:u w:val="none"/>
                    </w:rPr>
                    <w:t>—</w:t>
                  </w:r>
                </w:p>
              </w:tc>
            </w:tr>
            <w:tr w14:paraId="6E43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184035B">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1DEB3075">
                  <w:pPr>
                    <w:widowControl/>
                    <w:numPr>
                      <w:ilvl w:val="0"/>
                      <w:numId w:val="2"/>
                    </w:numPr>
                    <w:adjustRightInd w:val="0"/>
                    <w:snapToGrid w:val="0"/>
                    <w:textAlignment w:val="center"/>
                    <w:rPr>
                      <w:kern w:val="0"/>
                      <w:szCs w:val="21"/>
                      <w:u w:val="none"/>
                    </w:rPr>
                  </w:pPr>
                  <w:r>
                    <w:rPr>
                      <w:rFonts w:hint="eastAsia"/>
                      <w:kern w:val="0"/>
                      <w:szCs w:val="21"/>
                      <w:u w:val="none"/>
                      <w:lang w:bidi="ar"/>
                    </w:rPr>
                    <w:t>全市产业准入执行《广西壮族自治区人民政府办公厅关于印发北钦防一体化产业协同发展限制布局清单（工业类2021年版）的通知》（桂政办函〔2021〕4号）要求，限制布局炼铁、炼钢、铝冶炼、平板玻璃制造。</w:t>
                  </w:r>
                </w:p>
              </w:tc>
              <w:tc>
                <w:tcPr>
                  <w:tcW w:w="1871" w:type="dxa"/>
                  <w:tcBorders>
                    <w:top w:val="single" w:color="auto" w:sz="4" w:space="0"/>
                    <w:left w:val="nil"/>
                    <w:bottom w:val="single" w:color="auto" w:sz="4" w:space="0"/>
                    <w:right w:val="single" w:color="auto" w:sz="4" w:space="0"/>
                  </w:tcBorders>
                  <w:vAlign w:val="center"/>
                </w:tcPr>
                <w:p w14:paraId="7456AE01">
                  <w:pPr>
                    <w:widowControl/>
                    <w:adjustRightInd w:val="0"/>
                    <w:snapToGrid w:val="0"/>
                    <w:textAlignment w:val="center"/>
                    <w:rPr>
                      <w:kern w:val="0"/>
                      <w:szCs w:val="21"/>
                      <w:u w:val="none"/>
                    </w:rPr>
                  </w:pPr>
                  <w:r>
                    <w:rPr>
                      <w:rFonts w:hint="eastAsia"/>
                      <w:kern w:val="0"/>
                      <w:szCs w:val="21"/>
                      <w:u w:val="none"/>
                    </w:rPr>
                    <w:t>项目不属于炼铁、炼钢、铝冶炼、平板玻璃制造</w:t>
                  </w:r>
                  <w:r>
                    <w:rPr>
                      <w:rFonts w:hint="eastAsia"/>
                      <w:kern w:val="0"/>
                      <w:szCs w:val="21"/>
                      <w:u w:val="none"/>
                      <w:lang w:bidi="ar"/>
                    </w:rPr>
                    <w:t>类项目</w:t>
                  </w:r>
                  <w:r>
                    <w:rPr>
                      <w:rFonts w:hint="eastAsia"/>
                      <w:kern w:val="0"/>
                      <w:szCs w:val="21"/>
                      <w:u w:val="none"/>
                    </w:rPr>
                    <w:t>。</w:t>
                  </w:r>
                </w:p>
              </w:tc>
              <w:tc>
                <w:tcPr>
                  <w:tcW w:w="578" w:type="dxa"/>
                  <w:tcBorders>
                    <w:top w:val="single" w:color="auto" w:sz="4" w:space="0"/>
                    <w:left w:val="nil"/>
                    <w:bottom w:val="single" w:color="auto" w:sz="4" w:space="0"/>
                    <w:right w:val="single" w:color="auto" w:sz="4" w:space="0"/>
                  </w:tcBorders>
                  <w:vAlign w:val="center"/>
                </w:tcPr>
                <w:p w14:paraId="697EC9A2">
                  <w:pPr>
                    <w:widowControl/>
                    <w:adjustRightInd w:val="0"/>
                    <w:snapToGrid w:val="0"/>
                    <w:jc w:val="center"/>
                    <w:textAlignment w:val="center"/>
                    <w:rPr>
                      <w:kern w:val="0"/>
                      <w:szCs w:val="21"/>
                      <w:u w:val="none"/>
                    </w:rPr>
                  </w:pPr>
                  <w:r>
                    <w:rPr>
                      <w:rFonts w:hint="eastAsia"/>
                      <w:kern w:val="0"/>
                      <w:szCs w:val="21"/>
                      <w:u w:val="none"/>
                    </w:rPr>
                    <w:t>—</w:t>
                  </w:r>
                </w:p>
              </w:tc>
            </w:tr>
            <w:tr w14:paraId="7327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AFE9007">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528C0955">
                  <w:pPr>
                    <w:widowControl/>
                    <w:numPr>
                      <w:ilvl w:val="0"/>
                      <w:numId w:val="2"/>
                    </w:numPr>
                    <w:adjustRightInd w:val="0"/>
                    <w:snapToGrid w:val="0"/>
                    <w:textAlignment w:val="center"/>
                    <w:rPr>
                      <w:kern w:val="0"/>
                      <w:szCs w:val="21"/>
                      <w:u w:val="none"/>
                    </w:rPr>
                  </w:pPr>
                  <w:r>
                    <w:rPr>
                      <w:rFonts w:hint="eastAsia"/>
                      <w:kern w:val="0"/>
                      <w:szCs w:val="21"/>
                      <w:u w:val="none"/>
                      <w:lang w:bidi="ar"/>
                    </w:rPr>
                    <w:t>新建、扩建的石化、化工、焦化项目应按照《关于加强高耗能、高排放建设项目生态环境源头防控的指导意见》布设在依法合规设立并经规划环评的产业园区。</w:t>
                  </w:r>
                </w:p>
              </w:tc>
              <w:tc>
                <w:tcPr>
                  <w:tcW w:w="1871" w:type="dxa"/>
                  <w:tcBorders>
                    <w:top w:val="single" w:color="auto" w:sz="4" w:space="0"/>
                    <w:left w:val="nil"/>
                    <w:bottom w:val="single" w:color="auto" w:sz="4" w:space="0"/>
                    <w:right w:val="single" w:color="auto" w:sz="4" w:space="0"/>
                  </w:tcBorders>
                  <w:vAlign w:val="center"/>
                </w:tcPr>
                <w:p w14:paraId="65D5B0B0">
                  <w:pPr>
                    <w:widowControl/>
                    <w:adjustRightInd w:val="0"/>
                    <w:snapToGrid w:val="0"/>
                    <w:textAlignment w:val="center"/>
                    <w:rPr>
                      <w:rFonts w:hint="default" w:eastAsia="宋体"/>
                      <w:kern w:val="0"/>
                      <w:szCs w:val="21"/>
                      <w:u w:val="none"/>
                      <w:lang w:val="en-US" w:eastAsia="zh-CN"/>
                    </w:rPr>
                  </w:pPr>
                  <w:r>
                    <w:rPr>
                      <w:rFonts w:hint="eastAsia"/>
                      <w:szCs w:val="21"/>
                      <w:u w:val="none"/>
                    </w:rPr>
                    <w:t>项目</w:t>
                  </w:r>
                  <w:r>
                    <w:rPr>
                      <w:rFonts w:hint="eastAsia"/>
                      <w:szCs w:val="21"/>
                      <w:u w:val="none"/>
                      <w:lang w:val="en-US" w:eastAsia="zh-CN"/>
                    </w:rPr>
                    <w:t>位于产业园区内。</w:t>
                  </w:r>
                </w:p>
              </w:tc>
              <w:tc>
                <w:tcPr>
                  <w:tcW w:w="578" w:type="dxa"/>
                  <w:tcBorders>
                    <w:top w:val="single" w:color="auto" w:sz="4" w:space="0"/>
                    <w:left w:val="nil"/>
                    <w:bottom w:val="single" w:color="auto" w:sz="4" w:space="0"/>
                    <w:right w:val="single" w:color="auto" w:sz="4" w:space="0"/>
                  </w:tcBorders>
                  <w:vAlign w:val="center"/>
                </w:tcPr>
                <w:p w14:paraId="36215DAC">
                  <w:pPr>
                    <w:widowControl/>
                    <w:adjustRightInd w:val="0"/>
                    <w:snapToGrid w:val="0"/>
                    <w:jc w:val="center"/>
                    <w:textAlignment w:val="center"/>
                    <w:rPr>
                      <w:kern w:val="0"/>
                      <w:szCs w:val="21"/>
                      <w:u w:val="none"/>
                    </w:rPr>
                  </w:pPr>
                  <w:r>
                    <w:rPr>
                      <w:rFonts w:hint="eastAsia"/>
                      <w:kern w:val="0"/>
                      <w:szCs w:val="21"/>
                      <w:u w:val="none"/>
                    </w:rPr>
                    <w:t>—</w:t>
                  </w:r>
                </w:p>
              </w:tc>
            </w:tr>
            <w:tr w14:paraId="158D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505EDF5">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4DB75BE">
                  <w:pPr>
                    <w:widowControl/>
                    <w:numPr>
                      <w:ilvl w:val="0"/>
                      <w:numId w:val="2"/>
                    </w:numPr>
                    <w:adjustRightInd w:val="0"/>
                    <w:snapToGrid w:val="0"/>
                    <w:textAlignment w:val="center"/>
                    <w:rPr>
                      <w:kern w:val="0"/>
                      <w:szCs w:val="21"/>
                      <w:u w:val="none"/>
                    </w:rPr>
                  </w:pPr>
                  <w:r>
                    <w:rPr>
                      <w:rFonts w:hint="eastAsia"/>
                      <w:kern w:val="0"/>
                      <w:szCs w:val="21"/>
                      <w:u w:val="none"/>
                      <w:lang w:bidi="ar"/>
                    </w:rPr>
                    <w:t>海洋开发和海岸开发各类活动，大陆自然岸线保有率标准不低于35%、无居民海岛岸线长度保有率标准不低于85%。</w:t>
                  </w:r>
                </w:p>
              </w:tc>
              <w:tc>
                <w:tcPr>
                  <w:tcW w:w="1871" w:type="dxa"/>
                  <w:tcBorders>
                    <w:top w:val="single" w:color="auto" w:sz="4" w:space="0"/>
                    <w:left w:val="nil"/>
                    <w:bottom w:val="single" w:color="auto" w:sz="4" w:space="0"/>
                    <w:right w:val="single" w:color="auto" w:sz="4" w:space="0"/>
                  </w:tcBorders>
                  <w:vAlign w:val="center"/>
                </w:tcPr>
                <w:p w14:paraId="5B3DECDC">
                  <w:pPr>
                    <w:widowControl/>
                    <w:adjustRightInd w:val="0"/>
                    <w:snapToGrid w:val="0"/>
                    <w:textAlignment w:val="center"/>
                    <w:rPr>
                      <w:kern w:val="0"/>
                      <w:szCs w:val="21"/>
                      <w:u w:val="none"/>
                    </w:rPr>
                  </w:pPr>
                  <w:r>
                    <w:rPr>
                      <w:rFonts w:hint="eastAsia"/>
                      <w:kern w:val="0"/>
                      <w:szCs w:val="21"/>
                      <w:u w:val="none"/>
                    </w:rPr>
                    <w:t>项目不涉及水域养殖活动。</w:t>
                  </w:r>
                </w:p>
              </w:tc>
              <w:tc>
                <w:tcPr>
                  <w:tcW w:w="578" w:type="dxa"/>
                  <w:tcBorders>
                    <w:top w:val="single" w:color="auto" w:sz="4" w:space="0"/>
                    <w:left w:val="nil"/>
                    <w:bottom w:val="single" w:color="auto" w:sz="4" w:space="0"/>
                    <w:right w:val="single" w:color="auto" w:sz="4" w:space="0"/>
                  </w:tcBorders>
                  <w:vAlign w:val="center"/>
                </w:tcPr>
                <w:p w14:paraId="3F381FF2">
                  <w:pPr>
                    <w:widowControl/>
                    <w:adjustRightInd w:val="0"/>
                    <w:snapToGrid w:val="0"/>
                    <w:jc w:val="center"/>
                    <w:textAlignment w:val="center"/>
                    <w:rPr>
                      <w:kern w:val="0"/>
                      <w:szCs w:val="21"/>
                      <w:u w:val="none"/>
                    </w:rPr>
                  </w:pPr>
                  <w:r>
                    <w:rPr>
                      <w:rFonts w:hint="eastAsia"/>
                      <w:kern w:val="0"/>
                      <w:szCs w:val="21"/>
                      <w:u w:val="none"/>
                    </w:rPr>
                    <w:t>—</w:t>
                  </w:r>
                </w:p>
              </w:tc>
            </w:tr>
            <w:tr w14:paraId="1DF4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61050A7F">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FCEE1D1">
                  <w:pPr>
                    <w:numPr>
                      <w:ilvl w:val="0"/>
                      <w:numId w:val="2"/>
                    </w:numPr>
                    <w:adjustRightInd w:val="0"/>
                    <w:snapToGrid w:val="0"/>
                    <w:rPr>
                      <w:kern w:val="0"/>
                      <w:szCs w:val="21"/>
                      <w:u w:val="none"/>
                    </w:rPr>
                  </w:pPr>
                  <w:r>
                    <w:rPr>
                      <w:rFonts w:hint="eastAsia"/>
                      <w:kern w:val="0"/>
                      <w:szCs w:val="21"/>
                      <w:u w:val="none"/>
                    </w:rPr>
                    <w:t>推进海域资源市场化配置，严控新增围填海造地，完善围填海总量管控，除国家重大战略项目外，全面停止新增围填海项目审批，全面清理非法占用海洋生态保护红线区域的围填海项目。</w:t>
                  </w:r>
                </w:p>
              </w:tc>
              <w:tc>
                <w:tcPr>
                  <w:tcW w:w="1871" w:type="dxa"/>
                  <w:tcBorders>
                    <w:top w:val="single" w:color="auto" w:sz="4" w:space="0"/>
                    <w:left w:val="nil"/>
                    <w:bottom w:val="single" w:color="auto" w:sz="4" w:space="0"/>
                    <w:right w:val="single" w:color="auto" w:sz="4" w:space="0"/>
                  </w:tcBorders>
                  <w:vAlign w:val="center"/>
                </w:tcPr>
                <w:p w14:paraId="2DBA32BA">
                  <w:pPr>
                    <w:widowControl/>
                    <w:adjustRightInd w:val="0"/>
                    <w:snapToGrid w:val="0"/>
                    <w:textAlignment w:val="center"/>
                    <w:rPr>
                      <w:kern w:val="0"/>
                      <w:szCs w:val="21"/>
                      <w:u w:val="none"/>
                    </w:rPr>
                  </w:pPr>
                  <w:r>
                    <w:rPr>
                      <w:rFonts w:hint="eastAsia"/>
                      <w:kern w:val="0"/>
                      <w:szCs w:val="21"/>
                      <w:u w:val="none"/>
                    </w:rPr>
                    <w:t>项目不在海洋生态保护红线内。</w:t>
                  </w:r>
                </w:p>
              </w:tc>
              <w:tc>
                <w:tcPr>
                  <w:tcW w:w="578" w:type="dxa"/>
                  <w:tcBorders>
                    <w:top w:val="single" w:color="auto" w:sz="4" w:space="0"/>
                    <w:left w:val="nil"/>
                    <w:bottom w:val="single" w:color="auto" w:sz="4" w:space="0"/>
                    <w:right w:val="single" w:color="auto" w:sz="4" w:space="0"/>
                  </w:tcBorders>
                  <w:vAlign w:val="center"/>
                </w:tcPr>
                <w:p w14:paraId="2E6ADF3F">
                  <w:pPr>
                    <w:widowControl/>
                    <w:adjustRightInd w:val="0"/>
                    <w:snapToGrid w:val="0"/>
                    <w:jc w:val="center"/>
                    <w:textAlignment w:val="center"/>
                    <w:rPr>
                      <w:kern w:val="0"/>
                      <w:szCs w:val="21"/>
                      <w:u w:val="none"/>
                    </w:rPr>
                  </w:pPr>
                  <w:r>
                    <w:rPr>
                      <w:rFonts w:hint="eastAsia"/>
                      <w:kern w:val="0"/>
                      <w:szCs w:val="21"/>
                      <w:u w:val="none"/>
                    </w:rPr>
                    <w:t>—</w:t>
                  </w:r>
                </w:p>
              </w:tc>
            </w:tr>
            <w:tr w14:paraId="5D2A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433687F">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71856B07">
                  <w:pPr>
                    <w:adjustRightInd w:val="0"/>
                    <w:snapToGrid w:val="0"/>
                    <w:rPr>
                      <w:kern w:val="0"/>
                      <w:szCs w:val="21"/>
                      <w:u w:val="none"/>
                    </w:rPr>
                  </w:pPr>
                  <w:r>
                    <w:rPr>
                      <w:rFonts w:hint="eastAsia"/>
                      <w:kern w:val="0"/>
                      <w:szCs w:val="21"/>
                      <w:u w:val="none"/>
                    </w:rPr>
                    <w:t xml:space="preserve">10 </w:t>
                  </w:r>
                  <w:r>
                    <w:rPr>
                      <w:rFonts w:hint="eastAsia"/>
                      <w:kern w:val="0"/>
                      <w:szCs w:val="21"/>
                      <w:u w:val="none"/>
                      <w:lang w:bidi="ar"/>
                    </w:rPr>
                    <w:t>科学论证在三娘湾海洋保护区、茅尾海中部海洋保护区及周边区域的开发利用活动，严格落实保护区管理要求。</w:t>
                  </w:r>
                </w:p>
              </w:tc>
              <w:tc>
                <w:tcPr>
                  <w:tcW w:w="1871" w:type="dxa"/>
                  <w:tcBorders>
                    <w:top w:val="single" w:color="auto" w:sz="4" w:space="0"/>
                    <w:left w:val="nil"/>
                    <w:bottom w:val="single" w:color="auto" w:sz="4" w:space="0"/>
                    <w:right w:val="single" w:color="auto" w:sz="4" w:space="0"/>
                  </w:tcBorders>
                  <w:vAlign w:val="center"/>
                </w:tcPr>
                <w:p w14:paraId="2C94BE7F">
                  <w:pPr>
                    <w:widowControl/>
                    <w:adjustRightInd w:val="0"/>
                    <w:snapToGrid w:val="0"/>
                    <w:textAlignment w:val="center"/>
                    <w:rPr>
                      <w:kern w:val="0"/>
                      <w:szCs w:val="21"/>
                      <w:u w:val="none"/>
                    </w:rPr>
                  </w:pPr>
                  <w:r>
                    <w:rPr>
                      <w:rFonts w:hint="eastAsia"/>
                      <w:kern w:val="0"/>
                      <w:szCs w:val="21"/>
                      <w:u w:val="none"/>
                    </w:rPr>
                    <w:t>项目不占用三娘湾海洋保护区、茅尾海中部海洋保护区及周边区域。</w:t>
                  </w:r>
                </w:p>
              </w:tc>
              <w:tc>
                <w:tcPr>
                  <w:tcW w:w="578" w:type="dxa"/>
                  <w:tcBorders>
                    <w:top w:val="single" w:color="auto" w:sz="4" w:space="0"/>
                    <w:left w:val="nil"/>
                    <w:bottom w:val="single" w:color="auto" w:sz="4" w:space="0"/>
                    <w:right w:val="single" w:color="auto" w:sz="4" w:space="0"/>
                  </w:tcBorders>
                  <w:vAlign w:val="center"/>
                </w:tcPr>
                <w:p w14:paraId="41A1ABDB">
                  <w:pPr>
                    <w:widowControl/>
                    <w:adjustRightInd w:val="0"/>
                    <w:snapToGrid w:val="0"/>
                    <w:jc w:val="center"/>
                    <w:textAlignment w:val="center"/>
                    <w:rPr>
                      <w:kern w:val="0"/>
                      <w:szCs w:val="21"/>
                      <w:u w:val="none"/>
                    </w:rPr>
                  </w:pPr>
                  <w:r>
                    <w:rPr>
                      <w:rFonts w:hint="eastAsia"/>
                      <w:kern w:val="0"/>
                      <w:szCs w:val="21"/>
                      <w:u w:val="none"/>
                    </w:rPr>
                    <w:t>—</w:t>
                  </w:r>
                </w:p>
              </w:tc>
            </w:tr>
            <w:tr w14:paraId="3F11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0807987">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27FDAC5F">
                  <w:pPr>
                    <w:adjustRightInd w:val="0"/>
                    <w:snapToGrid w:val="0"/>
                    <w:rPr>
                      <w:kern w:val="0"/>
                      <w:szCs w:val="21"/>
                      <w:u w:val="none"/>
                    </w:rPr>
                  </w:pPr>
                  <w:r>
                    <w:rPr>
                      <w:rFonts w:hint="eastAsia"/>
                      <w:kern w:val="0"/>
                      <w:szCs w:val="21"/>
                      <w:u w:val="none"/>
                    </w:rPr>
                    <w:t>11 严格按照相关法律法规及海洋国土空间规划等要求，规范设置和监管入海排污口。禁止采挖海砂、设置直排排污口及其他破坏河口生态功能的开发活动。</w:t>
                  </w:r>
                </w:p>
              </w:tc>
              <w:tc>
                <w:tcPr>
                  <w:tcW w:w="1871" w:type="dxa"/>
                  <w:tcBorders>
                    <w:top w:val="single" w:color="auto" w:sz="4" w:space="0"/>
                    <w:left w:val="nil"/>
                    <w:bottom w:val="single" w:color="auto" w:sz="4" w:space="0"/>
                    <w:right w:val="single" w:color="auto" w:sz="4" w:space="0"/>
                  </w:tcBorders>
                  <w:vAlign w:val="center"/>
                </w:tcPr>
                <w:p w14:paraId="5C23AB13">
                  <w:pPr>
                    <w:widowControl/>
                    <w:adjustRightInd w:val="0"/>
                    <w:snapToGrid w:val="0"/>
                    <w:textAlignment w:val="center"/>
                    <w:rPr>
                      <w:kern w:val="0"/>
                      <w:szCs w:val="21"/>
                      <w:u w:val="none"/>
                    </w:rPr>
                  </w:pPr>
                  <w:r>
                    <w:rPr>
                      <w:rFonts w:hint="eastAsia"/>
                      <w:kern w:val="0"/>
                      <w:szCs w:val="21"/>
                      <w:u w:val="none"/>
                    </w:rPr>
                    <w:t>项目不新增入海排污口；不涉及采挖海砂及其他破坏河口生态功能的开发活动。</w:t>
                  </w:r>
                </w:p>
              </w:tc>
              <w:tc>
                <w:tcPr>
                  <w:tcW w:w="578" w:type="dxa"/>
                  <w:tcBorders>
                    <w:top w:val="single" w:color="auto" w:sz="4" w:space="0"/>
                    <w:left w:val="nil"/>
                    <w:bottom w:val="single" w:color="auto" w:sz="4" w:space="0"/>
                    <w:right w:val="single" w:color="auto" w:sz="4" w:space="0"/>
                  </w:tcBorders>
                  <w:vAlign w:val="center"/>
                </w:tcPr>
                <w:p w14:paraId="7979564A">
                  <w:pPr>
                    <w:widowControl/>
                    <w:adjustRightInd w:val="0"/>
                    <w:snapToGrid w:val="0"/>
                    <w:jc w:val="center"/>
                    <w:textAlignment w:val="center"/>
                    <w:rPr>
                      <w:kern w:val="0"/>
                      <w:szCs w:val="21"/>
                      <w:u w:val="none"/>
                    </w:rPr>
                  </w:pPr>
                  <w:r>
                    <w:rPr>
                      <w:rFonts w:hint="eastAsia"/>
                      <w:kern w:val="0"/>
                      <w:szCs w:val="21"/>
                      <w:u w:val="none"/>
                    </w:rPr>
                    <w:t>符合</w:t>
                  </w:r>
                </w:p>
              </w:tc>
            </w:tr>
            <w:tr w14:paraId="5F93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F642E1E">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3F877CD4">
                  <w:pPr>
                    <w:adjustRightInd w:val="0"/>
                    <w:snapToGrid w:val="0"/>
                    <w:rPr>
                      <w:kern w:val="0"/>
                      <w:szCs w:val="21"/>
                      <w:u w:val="none"/>
                    </w:rPr>
                  </w:pPr>
                  <w:r>
                    <w:rPr>
                      <w:rFonts w:hint="eastAsia"/>
                      <w:kern w:val="0"/>
                      <w:szCs w:val="21"/>
                      <w:u w:val="none"/>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871" w:type="dxa"/>
                  <w:tcBorders>
                    <w:top w:val="single" w:color="auto" w:sz="4" w:space="0"/>
                    <w:left w:val="nil"/>
                    <w:bottom w:val="single" w:color="auto" w:sz="4" w:space="0"/>
                    <w:right w:val="single" w:color="auto" w:sz="4" w:space="0"/>
                  </w:tcBorders>
                  <w:vAlign w:val="center"/>
                </w:tcPr>
                <w:p w14:paraId="1FFE26DA">
                  <w:pPr>
                    <w:widowControl/>
                    <w:adjustRightInd w:val="0"/>
                    <w:snapToGrid w:val="0"/>
                    <w:textAlignment w:val="center"/>
                    <w:rPr>
                      <w:kern w:val="0"/>
                      <w:szCs w:val="21"/>
                      <w:u w:val="none"/>
                    </w:rPr>
                  </w:pPr>
                  <w:r>
                    <w:rPr>
                      <w:rFonts w:hint="eastAsia"/>
                      <w:kern w:val="0"/>
                      <w:szCs w:val="21"/>
                      <w:u w:val="none"/>
                    </w:rPr>
                    <w:t>本项目不涉及沙滩和红树林，不涉及滨海海岸线。</w:t>
                  </w:r>
                </w:p>
              </w:tc>
              <w:tc>
                <w:tcPr>
                  <w:tcW w:w="578" w:type="dxa"/>
                  <w:tcBorders>
                    <w:top w:val="single" w:color="auto" w:sz="4" w:space="0"/>
                    <w:left w:val="nil"/>
                    <w:bottom w:val="single" w:color="auto" w:sz="4" w:space="0"/>
                    <w:right w:val="single" w:color="auto" w:sz="4" w:space="0"/>
                  </w:tcBorders>
                  <w:vAlign w:val="center"/>
                </w:tcPr>
                <w:p w14:paraId="77914057">
                  <w:pPr>
                    <w:widowControl/>
                    <w:adjustRightInd w:val="0"/>
                    <w:snapToGrid w:val="0"/>
                    <w:jc w:val="center"/>
                    <w:textAlignment w:val="center"/>
                    <w:rPr>
                      <w:kern w:val="0"/>
                      <w:szCs w:val="21"/>
                      <w:u w:val="none"/>
                    </w:rPr>
                  </w:pPr>
                  <w:r>
                    <w:rPr>
                      <w:rFonts w:hint="eastAsia"/>
                      <w:kern w:val="0"/>
                      <w:szCs w:val="21"/>
                      <w:u w:val="none"/>
                    </w:rPr>
                    <w:t>—</w:t>
                  </w:r>
                </w:p>
              </w:tc>
            </w:tr>
            <w:tr w14:paraId="01E6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7D380AD">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5DE0D169">
                  <w:pPr>
                    <w:adjustRightInd w:val="0"/>
                    <w:snapToGrid w:val="0"/>
                    <w:rPr>
                      <w:rFonts w:hint="eastAsia"/>
                      <w:kern w:val="0"/>
                      <w:szCs w:val="21"/>
                      <w:u w:val="none"/>
                    </w:rPr>
                  </w:pPr>
                  <w:r>
                    <w:rPr>
                      <w:rFonts w:hint="eastAsia"/>
                      <w:u w:val="none"/>
                    </w:rPr>
                    <w:t>13.严格用途管制，坚持陆海统筹，严禁国家产业政策淘汰类、限制类项目在滨海湿地布局，实现山水林田湖草整体保护、系统修复、综合治理。</w:t>
                  </w:r>
                </w:p>
              </w:tc>
              <w:tc>
                <w:tcPr>
                  <w:tcW w:w="1871" w:type="dxa"/>
                  <w:tcBorders>
                    <w:top w:val="single" w:color="auto" w:sz="4" w:space="0"/>
                    <w:left w:val="nil"/>
                    <w:bottom w:val="single" w:color="auto" w:sz="4" w:space="0"/>
                    <w:right w:val="single" w:color="auto" w:sz="4" w:space="0"/>
                  </w:tcBorders>
                  <w:vAlign w:val="center"/>
                </w:tcPr>
                <w:p w14:paraId="60DAE6F6">
                  <w:pPr>
                    <w:widowControl/>
                    <w:adjustRightInd w:val="0"/>
                    <w:snapToGrid w:val="0"/>
                    <w:textAlignment w:val="center"/>
                    <w:rPr>
                      <w:rFonts w:hint="eastAsia"/>
                      <w:kern w:val="0"/>
                      <w:szCs w:val="21"/>
                      <w:u w:val="none"/>
                    </w:rPr>
                  </w:pPr>
                  <w:r>
                    <w:rPr>
                      <w:rFonts w:hint="eastAsia"/>
                      <w:kern w:val="0"/>
                      <w:szCs w:val="21"/>
                      <w:u w:val="none"/>
                    </w:rPr>
                    <w:t>项目不在滨海湿地布局内。</w:t>
                  </w:r>
                </w:p>
              </w:tc>
              <w:tc>
                <w:tcPr>
                  <w:tcW w:w="578" w:type="dxa"/>
                  <w:tcBorders>
                    <w:top w:val="single" w:color="auto" w:sz="4" w:space="0"/>
                    <w:left w:val="nil"/>
                    <w:bottom w:val="single" w:color="auto" w:sz="4" w:space="0"/>
                    <w:right w:val="single" w:color="auto" w:sz="4" w:space="0"/>
                  </w:tcBorders>
                  <w:vAlign w:val="center"/>
                </w:tcPr>
                <w:p w14:paraId="6F11D95E">
                  <w:pPr>
                    <w:widowControl/>
                    <w:adjustRightInd w:val="0"/>
                    <w:snapToGrid w:val="0"/>
                    <w:jc w:val="center"/>
                    <w:textAlignment w:val="center"/>
                    <w:rPr>
                      <w:rFonts w:hint="eastAsia"/>
                      <w:kern w:val="0"/>
                      <w:szCs w:val="21"/>
                      <w:u w:val="none"/>
                    </w:rPr>
                  </w:pPr>
                  <w:r>
                    <w:rPr>
                      <w:rFonts w:hint="eastAsia"/>
                      <w:kern w:val="0"/>
                      <w:szCs w:val="21"/>
                      <w:u w:val="none"/>
                    </w:rPr>
                    <w:t>符合</w:t>
                  </w:r>
                </w:p>
              </w:tc>
            </w:tr>
            <w:tr w14:paraId="4208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28C404A">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26C36357">
                  <w:pPr>
                    <w:adjustRightInd w:val="0"/>
                    <w:snapToGrid w:val="0"/>
                    <w:rPr>
                      <w:rFonts w:hint="eastAsia"/>
                      <w:kern w:val="0"/>
                      <w:szCs w:val="21"/>
                      <w:u w:val="none"/>
                    </w:rPr>
                  </w:pPr>
                  <w:r>
                    <w:rPr>
                      <w:rFonts w:hint="eastAsia"/>
                      <w:kern w:val="0"/>
                      <w:szCs w:val="21"/>
                      <w:u w:val="none"/>
                    </w:rPr>
                    <w:t>14.禁止在氮磷浓度严重超标的近岸海域新增或者扩大投饵、投肥海水养殖规模。</w:t>
                  </w:r>
                </w:p>
              </w:tc>
              <w:tc>
                <w:tcPr>
                  <w:tcW w:w="1871" w:type="dxa"/>
                  <w:tcBorders>
                    <w:top w:val="single" w:color="auto" w:sz="4" w:space="0"/>
                    <w:left w:val="nil"/>
                    <w:bottom w:val="single" w:color="auto" w:sz="4" w:space="0"/>
                    <w:right w:val="single" w:color="auto" w:sz="4" w:space="0"/>
                  </w:tcBorders>
                  <w:vAlign w:val="center"/>
                </w:tcPr>
                <w:p w14:paraId="15853351">
                  <w:pPr>
                    <w:widowControl/>
                    <w:adjustRightInd w:val="0"/>
                    <w:snapToGrid w:val="0"/>
                    <w:textAlignment w:val="center"/>
                    <w:rPr>
                      <w:rFonts w:hint="eastAsia"/>
                      <w:kern w:val="0"/>
                      <w:szCs w:val="21"/>
                      <w:u w:val="none"/>
                    </w:rPr>
                  </w:pPr>
                  <w:r>
                    <w:rPr>
                      <w:rFonts w:hint="eastAsia"/>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1C2A5DEB">
                  <w:pPr>
                    <w:widowControl/>
                    <w:adjustRightInd w:val="0"/>
                    <w:snapToGrid w:val="0"/>
                    <w:jc w:val="center"/>
                    <w:textAlignment w:val="center"/>
                    <w:rPr>
                      <w:rFonts w:hint="eastAsia"/>
                      <w:kern w:val="0"/>
                      <w:szCs w:val="21"/>
                      <w:u w:val="none"/>
                    </w:rPr>
                  </w:pPr>
                  <w:r>
                    <w:rPr>
                      <w:rFonts w:hint="eastAsia"/>
                      <w:kern w:val="0"/>
                      <w:szCs w:val="21"/>
                      <w:u w:val="none"/>
                    </w:rPr>
                    <w:t>—</w:t>
                  </w:r>
                </w:p>
              </w:tc>
            </w:tr>
            <w:tr w14:paraId="133F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6D5345D">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734622C8">
                  <w:pPr>
                    <w:adjustRightInd w:val="0"/>
                    <w:snapToGrid w:val="0"/>
                    <w:rPr>
                      <w:rFonts w:hint="eastAsia"/>
                      <w:kern w:val="0"/>
                      <w:szCs w:val="21"/>
                      <w:u w:val="none"/>
                    </w:rPr>
                  </w:pPr>
                  <w:r>
                    <w:rPr>
                      <w:rFonts w:hint="eastAsia"/>
                      <w:kern w:val="0"/>
                      <w:szCs w:val="21"/>
                      <w:u w:val="none"/>
                    </w:rPr>
                    <w:t>15.平陆运河沿线两岸原则上预留 1 公里作为生态廊道构建用地，将平陆运河沿线建设成为维护当地自然与文化特色的区域生物廊道、生境走廊、休闲绿道、风景廊道和绿色运河经济带等。</w:t>
                  </w:r>
                </w:p>
              </w:tc>
              <w:tc>
                <w:tcPr>
                  <w:tcW w:w="1871" w:type="dxa"/>
                  <w:tcBorders>
                    <w:top w:val="single" w:color="auto" w:sz="4" w:space="0"/>
                    <w:left w:val="nil"/>
                    <w:bottom w:val="single" w:color="auto" w:sz="4" w:space="0"/>
                    <w:right w:val="single" w:color="auto" w:sz="4" w:space="0"/>
                  </w:tcBorders>
                  <w:vAlign w:val="center"/>
                </w:tcPr>
                <w:p w14:paraId="215C09F6">
                  <w:pPr>
                    <w:widowControl/>
                    <w:adjustRightInd w:val="0"/>
                    <w:snapToGrid w:val="0"/>
                    <w:textAlignment w:val="center"/>
                    <w:rPr>
                      <w:rFonts w:hint="eastAsia"/>
                      <w:kern w:val="0"/>
                      <w:szCs w:val="21"/>
                      <w:u w:val="none"/>
                    </w:rPr>
                  </w:pPr>
                  <w:r>
                    <w:rPr>
                      <w:rFonts w:hint="eastAsia"/>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69412800">
                  <w:pPr>
                    <w:widowControl/>
                    <w:adjustRightInd w:val="0"/>
                    <w:snapToGrid w:val="0"/>
                    <w:jc w:val="center"/>
                    <w:textAlignment w:val="center"/>
                    <w:rPr>
                      <w:rFonts w:hint="eastAsia"/>
                      <w:kern w:val="0"/>
                      <w:szCs w:val="21"/>
                      <w:u w:val="none"/>
                    </w:rPr>
                  </w:pPr>
                  <w:r>
                    <w:rPr>
                      <w:rFonts w:hint="eastAsia"/>
                      <w:kern w:val="0"/>
                      <w:szCs w:val="21"/>
                      <w:u w:val="none"/>
                    </w:rPr>
                    <w:t>—</w:t>
                  </w:r>
                </w:p>
              </w:tc>
            </w:tr>
            <w:tr w14:paraId="6259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5C9ACDB">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52CD2D7A">
                  <w:pPr>
                    <w:adjustRightInd w:val="0"/>
                    <w:snapToGrid w:val="0"/>
                    <w:rPr>
                      <w:rFonts w:hint="eastAsia"/>
                      <w:kern w:val="0"/>
                      <w:szCs w:val="21"/>
                      <w:u w:val="none"/>
                    </w:rPr>
                  </w:pPr>
                  <w:r>
                    <w:rPr>
                      <w:rFonts w:hint="eastAsia"/>
                      <w:kern w:val="0"/>
                      <w:szCs w:val="21"/>
                      <w:u w:val="none"/>
                    </w:rPr>
                    <w:t>16.禁止平陆运河建设违规占用环评批复范围之外的红树林，严格落实红树林生态恢复和管护要求。</w:t>
                  </w:r>
                </w:p>
              </w:tc>
              <w:tc>
                <w:tcPr>
                  <w:tcW w:w="1871" w:type="dxa"/>
                  <w:tcBorders>
                    <w:top w:val="single" w:color="auto" w:sz="4" w:space="0"/>
                    <w:left w:val="nil"/>
                    <w:bottom w:val="single" w:color="auto" w:sz="4" w:space="0"/>
                    <w:right w:val="single" w:color="auto" w:sz="4" w:space="0"/>
                  </w:tcBorders>
                  <w:vAlign w:val="center"/>
                </w:tcPr>
                <w:p w14:paraId="7B75F8D9">
                  <w:pPr>
                    <w:widowControl/>
                    <w:adjustRightInd w:val="0"/>
                    <w:snapToGrid w:val="0"/>
                    <w:textAlignment w:val="center"/>
                    <w:rPr>
                      <w:rFonts w:hint="eastAsia"/>
                      <w:kern w:val="0"/>
                      <w:szCs w:val="21"/>
                      <w:u w:val="none"/>
                    </w:rPr>
                  </w:pPr>
                  <w:r>
                    <w:rPr>
                      <w:rFonts w:hint="eastAsia"/>
                      <w:kern w:val="0"/>
                      <w:szCs w:val="21"/>
                      <w:u w:val="none"/>
                    </w:rPr>
                    <w:t>项目不涉及。</w:t>
                  </w:r>
                </w:p>
              </w:tc>
              <w:tc>
                <w:tcPr>
                  <w:tcW w:w="578" w:type="dxa"/>
                  <w:tcBorders>
                    <w:top w:val="single" w:color="auto" w:sz="4" w:space="0"/>
                    <w:left w:val="nil"/>
                    <w:bottom w:val="single" w:color="auto" w:sz="4" w:space="0"/>
                    <w:right w:val="single" w:color="auto" w:sz="4" w:space="0"/>
                  </w:tcBorders>
                  <w:vAlign w:val="center"/>
                </w:tcPr>
                <w:p w14:paraId="07E7E76B">
                  <w:pPr>
                    <w:widowControl/>
                    <w:adjustRightInd w:val="0"/>
                    <w:snapToGrid w:val="0"/>
                    <w:jc w:val="center"/>
                    <w:textAlignment w:val="center"/>
                    <w:rPr>
                      <w:rFonts w:hint="eastAsia"/>
                      <w:kern w:val="0"/>
                      <w:szCs w:val="21"/>
                      <w:u w:val="none"/>
                    </w:rPr>
                  </w:pPr>
                  <w:r>
                    <w:rPr>
                      <w:rFonts w:hint="eastAsia"/>
                      <w:kern w:val="0"/>
                      <w:szCs w:val="21"/>
                      <w:u w:val="none"/>
                    </w:rPr>
                    <w:t>—</w:t>
                  </w:r>
                </w:p>
              </w:tc>
            </w:tr>
            <w:tr w14:paraId="04A7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A570F11">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3A98A187">
                  <w:pPr>
                    <w:adjustRightInd w:val="0"/>
                    <w:snapToGrid w:val="0"/>
                    <w:rPr>
                      <w:u w:val="none"/>
                    </w:rPr>
                  </w:pPr>
                  <w:r>
                    <w:rPr>
                      <w:rFonts w:hint="eastAsia"/>
                      <w:u w:val="none"/>
                    </w:rPr>
                    <w:t>17.除上述空间布局约束外，还应遵循国土空间规划管控要求。</w:t>
                  </w:r>
                </w:p>
              </w:tc>
              <w:tc>
                <w:tcPr>
                  <w:tcW w:w="1871" w:type="dxa"/>
                  <w:tcBorders>
                    <w:top w:val="single" w:color="auto" w:sz="4" w:space="0"/>
                    <w:left w:val="nil"/>
                    <w:bottom w:val="single" w:color="auto" w:sz="4" w:space="0"/>
                    <w:right w:val="single" w:color="auto" w:sz="4" w:space="0"/>
                  </w:tcBorders>
                  <w:vAlign w:val="center"/>
                </w:tcPr>
                <w:p w14:paraId="46F03B36">
                  <w:pPr>
                    <w:widowControl/>
                    <w:adjustRightInd w:val="0"/>
                    <w:snapToGrid w:val="0"/>
                    <w:textAlignment w:val="center"/>
                    <w:rPr>
                      <w:kern w:val="0"/>
                      <w:szCs w:val="21"/>
                      <w:u w:val="none"/>
                    </w:rPr>
                  </w:pPr>
                  <w:r>
                    <w:rPr>
                      <w:kern w:val="0"/>
                      <w:szCs w:val="21"/>
                      <w:u w:val="none"/>
                    </w:rPr>
                    <w:t>项目不新增用地，符合规划要求。</w:t>
                  </w:r>
                </w:p>
              </w:tc>
              <w:tc>
                <w:tcPr>
                  <w:tcW w:w="578" w:type="dxa"/>
                  <w:tcBorders>
                    <w:top w:val="single" w:color="auto" w:sz="4" w:space="0"/>
                    <w:left w:val="nil"/>
                    <w:bottom w:val="single" w:color="auto" w:sz="4" w:space="0"/>
                    <w:right w:val="single" w:color="auto" w:sz="4" w:space="0"/>
                  </w:tcBorders>
                  <w:vAlign w:val="center"/>
                </w:tcPr>
                <w:p w14:paraId="4CC6BD36">
                  <w:pPr>
                    <w:widowControl/>
                    <w:adjustRightInd w:val="0"/>
                    <w:snapToGrid w:val="0"/>
                    <w:jc w:val="center"/>
                    <w:textAlignment w:val="center"/>
                    <w:rPr>
                      <w:kern w:val="0"/>
                      <w:szCs w:val="21"/>
                      <w:u w:val="none"/>
                    </w:rPr>
                  </w:pPr>
                  <w:r>
                    <w:rPr>
                      <w:kern w:val="0"/>
                      <w:szCs w:val="21"/>
                      <w:u w:val="none"/>
                    </w:rPr>
                    <w:t>—</w:t>
                  </w:r>
                </w:p>
              </w:tc>
            </w:tr>
            <w:tr w14:paraId="4943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43092D74">
                  <w:pPr>
                    <w:adjustRightInd w:val="0"/>
                    <w:snapToGrid w:val="0"/>
                    <w:jc w:val="center"/>
                    <w:rPr>
                      <w:kern w:val="0"/>
                      <w:szCs w:val="21"/>
                      <w:u w:val="none"/>
                    </w:rPr>
                  </w:pPr>
                  <w:r>
                    <w:rPr>
                      <w:kern w:val="0"/>
                      <w:szCs w:val="21"/>
                      <w:u w:val="none"/>
                    </w:rPr>
                    <w:t>污染物</w:t>
                  </w:r>
                </w:p>
                <w:p w14:paraId="513465EC">
                  <w:pPr>
                    <w:adjustRightInd w:val="0"/>
                    <w:snapToGrid w:val="0"/>
                    <w:jc w:val="center"/>
                    <w:rPr>
                      <w:szCs w:val="21"/>
                      <w:u w:val="none"/>
                    </w:rPr>
                  </w:pPr>
                  <w:r>
                    <w:rPr>
                      <w:kern w:val="0"/>
                      <w:szCs w:val="21"/>
                      <w:u w:val="none"/>
                    </w:rPr>
                    <w:t>排放管控</w:t>
                  </w:r>
                </w:p>
              </w:tc>
              <w:tc>
                <w:tcPr>
                  <w:tcW w:w="3575" w:type="dxa"/>
                  <w:tcBorders>
                    <w:top w:val="single" w:color="auto" w:sz="4" w:space="0"/>
                    <w:left w:val="nil"/>
                    <w:bottom w:val="single" w:color="auto" w:sz="4" w:space="0"/>
                    <w:right w:val="single" w:color="auto" w:sz="4" w:space="0"/>
                  </w:tcBorders>
                  <w:vAlign w:val="center"/>
                </w:tcPr>
                <w:p w14:paraId="2A709244">
                  <w:pPr>
                    <w:widowControl/>
                    <w:adjustRightInd w:val="0"/>
                    <w:snapToGrid w:val="0"/>
                    <w:textAlignment w:val="center"/>
                    <w:rPr>
                      <w:kern w:val="0"/>
                      <w:szCs w:val="21"/>
                      <w:u w:val="none"/>
                      <w:lang w:bidi="ar"/>
                    </w:rPr>
                  </w:pPr>
                  <w:r>
                    <w:rPr>
                      <w:rFonts w:hint="eastAsia"/>
                      <w:kern w:val="0"/>
                      <w:szCs w:val="21"/>
                      <w:u w:val="none"/>
                      <w:lang w:bidi="ar"/>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tc>
              <w:tc>
                <w:tcPr>
                  <w:tcW w:w="1871" w:type="dxa"/>
                  <w:tcBorders>
                    <w:top w:val="single" w:color="auto" w:sz="4" w:space="0"/>
                    <w:left w:val="nil"/>
                    <w:bottom w:val="single" w:color="auto" w:sz="4" w:space="0"/>
                    <w:right w:val="single" w:color="auto" w:sz="4" w:space="0"/>
                  </w:tcBorders>
                  <w:vAlign w:val="center"/>
                </w:tcPr>
                <w:p w14:paraId="41FBF30C">
                  <w:pPr>
                    <w:widowControl/>
                    <w:adjustRightInd w:val="0"/>
                    <w:snapToGrid w:val="0"/>
                    <w:textAlignment w:val="center"/>
                    <w:rPr>
                      <w:kern w:val="0"/>
                      <w:szCs w:val="21"/>
                      <w:u w:val="none"/>
                    </w:rPr>
                  </w:pPr>
                  <w:r>
                    <w:rPr>
                      <w:rFonts w:hint="eastAsia"/>
                      <w:kern w:val="0"/>
                      <w:szCs w:val="21"/>
                      <w:u w:val="none"/>
                      <w:lang w:val="en-US" w:eastAsia="zh-CN"/>
                    </w:rPr>
                    <w:t>本项目运营期污染物排放量较少，不会造成环境质量超标。</w:t>
                  </w:r>
                </w:p>
              </w:tc>
              <w:tc>
                <w:tcPr>
                  <w:tcW w:w="578" w:type="dxa"/>
                  <w:tcBorders>
                    <w:top w:val="single" w:color="auto" w:sz="4" w:space="0"/>
                    <w:left w:val="nil"/>
                    <w:bottom w:val="single" w:color="auto" w:sz="4" w:space="0"/>
                    <w:right w:val="single" w:color="auto" w:sz="4" w:space="0"/>
                  </w:tcBorders>
                  <w:vAlign w:val="center"/>
                </w:tcPr>
                <w:p w14:paraId="681ADFD3">
                  <w:pPr>
                    <w:widowControl/>
                    <w:adjustRightInd w:val="0"/>
                    <w:snapToGrid w:val="0"/>
                    <w:jc w:val="center"/>
                    <w:textAlignment w:val="center"/>
                    <w:rPr>
                      <w:kern w:val="0"/>
                      <w:szCs w:val="21"/>
                      <w:u w:val="none"/>
                    </w:rPr>
                  </w:pPr>
                  <w:r>
                    <w:rPr>
                      <w:rFonts w:hint="eastAsia"/>
                      <w:kern w:val="0"/>
                      <w:szCs w:val="21"/>
                      <w:u w:val="none"/>
                    </w:rPr>
                    <w:t>—</w:t>
                  </w:r>
                </w:p>
              </w:tc>
            </w:tr>
            <w:tr w14:paraId="3BD7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D222F1E">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2D5FA970">
                  <w:pPr>
                    <w:widowControl/>
                    <w:adjustRightInd w:val="0"/>
                    <w:snapToGrid w:val="0"/>
                    <w:textAlignment w:val="center"/>
                    <w:rPr>
                      <w:kern w:val="0"/>
                      <w:szCs w:val="21"/>
                      <w:u w:val="none"/>
                      <w:lang w:bidi="ar"/>
                    </w:rPr>
                  </w:pPr>
                  <w:r>
                    <w:rPr>
                      <w:rFonts w:hint="eastAsia"/>
                      <w:kern w:val="0"/>
                      <w:szCs w:val="21"/>
                      <w:u w:val="none"/>
                      <w:lang w:bidi="ar"/>
                    </w:rPr>
                    <w:t>2.持续加强工业集聚区污水集中处理设施建设，提高工业企业水循环利用率、污染物预处理能力及污染集中治理能力，补齐基础设施短板，按照“清污分流、雨污分流”原则，实施废水分类收集、分质处理，入园企业在达到国家或地方规定的排放标准后接入园区集中式污水处理设施稳定达标排放；加快推进深海排放基础设施建设。</w:t>
                  </w:r>
                </w:p>
              </w:tc>
              <w:tc>
                <w:tcPr>
                  <w:tcW w:w="1871" w:type="dxa"/>
                  <w:tcBorders>
                    <w:top w:val="single" w:color="auto" w:sz="4" w:space="0"/>
                    <w:left w:val="nil"/>
                    <w:bottom w:val="single" w:color="auto" w:sz="4" w:space="0"/>
                    <w:right w:val="single" w:color="auto" w:sz="4" w:space="0"/>
                  </w:tcBorders>
                  <w:vAlign w:val="center"/>
                </w:tcPr>
                <w:p w14:paraId="36A81917">
                  <w:pPr>
                    <w:widowControl/>
                    <w:adjustRightInd w:val="0"/>
                    <w:snapToGrid w:val="0"/>
                    <w:textAlignment w:val="center"/>
                    <w:rPr>
                      <w:kern w:val="0"/>
                      <w:szCs w:val="21"/>
                      <w:u w:val="none"/>
                    </w:rPr>
                  </w:pPr>
                  <w:r>
                    <w:rPr>
                      <w:rFonts w:hint="eastAsia"/>
                      <w:color w:val="000000"/>
                      <w:szCs w:val="21"/>
                      <w:u w:val="none"/>
                    </w:rPr>
                    <w:t>本项目</w:t>
                  </w:r>
                  <w:r>
                    <w:rPr>
                      <w:rFonts w:hint="eastAsia"/>
                      <w:color w:val="000000"/>
                      <w:szCs w:val="21"/>
                      <w:u w:val="none"/>
                      <w:lang w:val="en-US" w:eastAsia="zh-CN"/>
                    </w:rPr>
                    <w:t>无废水产生</w:t>
                  </w:r>
                  <w:r>
                    <w:rPr>
                      <w:rFonts w:hint="eastAsia"/>
                      <w:kern w:val="0"/>
                      <w:szCs w:val="21"/>
                      <w:u w:val="none"/>
                      <w:lang w:bidi="ar"/>
                    </w:rPr>
                    <w:t>。</w:t>
                  </w:r>
                </w:p>
              </w:tc>
              <w:tc>
                <w:tcPr>
                  <w:tcW w:w="578" w:type="dxa"/>
                  <w:tcBorders>
                    <w:top w:val="single" w:color="auto" w:sz="4" w:space="0"/>
                    <w:left w:val="nil"/>
                    <w:bottom w:val="single" w:color="auto" w:sz="4" w:space="0"/>
                    <w:right w:val="single" w:color="auto" w:sz="4" w:space="0"/>
                  </w:tcBorders>
                  <w:vAlign w:val="center"/>
                </w:tcPr>
                <w:p w14:paraId="2169A79F">
                  <w:pPr>
                    <w:widowControl/>
                    <w:adjustRightInd w:val="0"/>
                    <w:snapToGrid w:val="0"/>
                    <w:jc w:val="center"/>
                    <w:textAlignment w:val="center"/>
                    <w:rPr>
                      <w:kern w:val="0"/>
                      <w:szCs w:val="21"/>
                      <w:u w:val="none"/>
                    </w:rPr>
                  </w:pPr>
                  <w:r>
                    <w:rPr>
                      <w:rFonts w:hint="eastAsia"/>
                      <w:kern w:val="0"/>
                      <w:szCs w:val="21"/>
                      <w:u w:val="none"/>
                    </w:rPr>
                    <w:t>符合</w:t>
                  </w:r>
                </w:p>
              </w:tc>
            </w:tr>
            <w:tr w14:paraId="7B33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1480976">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56441199">
                  <w:pPr>
                    <w:widowControl/>
                    <w:adjustRightInd w:val="0"/>
                    <w:snapToGrid w:val="0"/>
                    <w:textAlignment w:val="center"/>
                    <w:rPr>
                      <w:kern w:val="0"/>
                      <w:szCs w:val="21"/>
                      <w:u w:val="none"/>
                      <w:lang w:bidi="ar"/>
                    </w:rPr>
                  </w:pPr>
                  <w:r>
                    <w:rPr>
                      <w:rFonts w:hint="eastAsia"/>
                      <w:kern w:val="0"/>
                      <w:szCs w:val="21"/>
                      <w:u w:val="none"/>
                      <w:lang w:bidi="ar"/>
                    </w:rPr>
                    <w:t>3.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871" w:type="dxa"/>
                  <w:tcBorders>
                    <w:top w:val="single" w:color="auto" w:sz="4" w:space="0"/>
                    <w:left w:val="nil"/>
                    <w:bottom w:val="single" w:color="auto" w:sz="4" w:space="0"/>
                    <w:right w:val="single" w:color="auto" w:sz="4" w:space="0"/>
                  </w:tcBorders>
                  <w:vAlign w:val="center"/>
                </w:tcPr>
                <w:p w14:paraId="074F275B">
                  <w:pPr>
                    <w:widowControl/>
                    <w:adjustRightInd w:val="0"/>
                    <w:snapToGrid w:val="0"/>
                    <w:textAlignment w:val="center"/>
                    <w:rPr>
                      <w:kern w:val="0"/>
                      <w:szCs w:val="21"/>
                      <w:u w:val="none"/>
                    </w:rPr>
                  </w:pPr>
                  <w:r>
                    <w:rPr>
                      <w:rFonts w:hint="eastAsia"/>
                      <w:color w:val="000000"/>
                      <w:szCs w:val="21"/>
                      <w:u w:val="none"/>
                    </w:rPr>
                    <w:t>本项目</w:t>
                  </w:r>
                  <w:r>
                    <w:rPr>
                      <w:rFonts w:hint="eastAsia"/>
                      <w:szCs w:val="21"/>
                      <w:u w:val="none"/>
                    </w:rPr>
                    <w:t>不涉及用海抽砂、海洋养殖活动。</w:t>
                  </w:r>
                </w:p>
              </w:tc>
              <w:tc>
                <w:tcPr>
                  <w:tcW w:w="578" w:type="dxa"/>
                  <w:tcBorders>
                    <w:top w:val="single" w:color="auto" w:sz="4" w:space="0"/>
                    <w:left w:val="nil"/>
                    <w:bottom w:val="single" w:color="auto" w:sz="4" w:space="0"/>
                    <w:right w:val="single" w:color="auto" w:sz="4" w:space="0"/>
                  </w:tcBorders>
                  <w:vAlign w:val="center"/>
                </w:tcPr>
                <w:p w14:paraId="041E6650">
                  <w:pPr>
                    <w:widowControl/>
                    <w:adjustRightInd w:val="0"/>
                    <w:snapToGrid w:val="0"/>
                    <w:jc w:val="center"/>
                    <w:textAlignment w:val="center"/>
                    <w:rPr>
                      <w:kern w:val="0"/>
                      <w:szCs w:val="21"/>
                      <w:u w:val="none"/>
                    </w:rPr>
                  </w:pPr>
                  <w:r>
                    <w:rPr>
                      <w:rFonts w:hint="eastAsia"/>
                      <w:kern w:val="0"/>
                      <w:szCs w:val="21"/>
                      <w:u w:val="none"/>
                    </w:rPr>
                    <w:t>符合</w:t>
                  </w:r>
                </w:p>
              </w:tc>
            </w:tr>
            <w:tr w14:paraId="6AFF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E31D55F">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699A53A4">
                  <w:pPr>
                    <w:widowControl/>
                    <w:adjustRightInd w:val="0"/>
                    <w:snapToGrid w:val="0"/>
                    <w:textAlignment w:val="center"/>
                    <w:rPr>
                      <w:kern w:val="0"/>
                      <w:szCs w:val="21"/>
                      <w:u w:val="none"/>
                      <w:lang w:bidi="ar"/>
                    </w:rPr>
                  </w:pPr>
                  <w:r>
                    <w:rPr>
                      <w:rFonts w:hint="eastAsia"/>
                      <w:kern w:val="0"/>
                      <w:szCs w:val="21"/>
                      <w:u w:val="none"/>
                      <w:lang w:bidi="ar"/>
                    </w:rPr>
                    <w:t>4.</w:t>
                  </w:r>
                  <w:r>
                    <w:rPr>
                      <w:rFonts w:hint="eastAsia"/>
                      <w:u w:val="none"/>
                    </w:rPr>
                    <w:t xml:space="preserve"> </w:t>
                  </w:r>
                  <w:r>
                    <w:rPr>
                      <w:rFonts w:hint="eastAsia"/>
                      <w:kern w:val="0"/>
                      <w:szCs w:val="21"/>
                      <w:u w:val="none"/>
                      <w:lang w:bidi="ar"/>
                    </w:rPr>
                    <w:t>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871" w:type="dxa"/>
                  <w:tcBorders>
                    <w:top w:val="single" w:color="auto" w:sz="4" w:space="0"/>
                    <w:left w:val="nil"/>
                    <w:bottom w:val="single" w:color="auto" w:sz="4" w:space="0"/>
                    <w:right w:val="single" w:color="auto" w:sz="4" w:space="0"/>
                  </w:tcBorders>
                  <w:vAlign w:val="center"/>
                </w:tcPr>
                <w:p w14:paraId="3280A266">
                  <w:pPr>
                    <w:widowControl/>
                    <w:adjustRightInd w:val="0"/>
                    <w:snapToGrid w:val="0"/>
                    <w:textAlignment w:val="center"/>
                    <w:rPr>
                      <w:kern w:val="0"/>
                      <w:szCs w:val="21"/>
                      <w:u w:val="none"/>
                    </w:rPr>
                  </w:pPr>
                  <w:r>
                    <w:rPr>
                      <w:rFonts w:hint="eastAsia"/>
                      <w:kern w:val="0"/>
                      <w:szCs w:val="21"/>
                      <w:u w:val="none"/>
                    </w:rPr>
                    <w:t>本项目不涉及城市、城镇生活污水处理设施及配套管网相关内容，不涉及</w:t>
                  </w:r>
                  <w:r>
                    <w:rPr>
                      <w:rFonts w:hint="eastAsia"/>
                      <w:kern w:val="0"/>
                      <w:szCs w:val="21"/>
                      <w:u w:val="none"/>
                      <w:lang w:bidi="ar"/>
                    </w:rPr>
                    <w:t>黑臭水体整治工程。</w:t>
                  </w:r>
                </w:p>
              </w:tc>
              <w:tc>
                <w:tcPr>
                  <w:tcW w:w="578" w:type="dxa"/>
                  <w:tcBorders>
                    <w:top w:val="single" w:color="auto" w:sz="4" w:space="0"/>
                    <w:left w:val="nil"/>
                    <w:bottom w:val="single" w:color="auto" w:sz="4" w:space="0"/>
                    <w:right w:val="single" w:color="auto" w:sz="4" w:space="0"/>
                  </w:tcBorders>
                  <w:vAlign w:val="center"/>
                </w:tcPr>
                <w:p w14:paraId="2004B318">
                  <w:pPr>
                    <w:widowControl/>
                    <w:adjustRightInd w:val="0"/>
                    <w:snapToGrid w:val="0"/>
                    <w:jc w:val="center"/>
                    <w:textAlignment w:val="center"/>
                    <w:rPr>
                      <w:kern w:val="0"/>
                      <w:szCs w:val="21"/>
                      <w:u w:val="none"/>
                    </w:rPr>
                  </w:pPr>
                  <w:r>
                    <w:rPr>
                      <w:rFonts w:hint="eastAsia"/>
                      <w:kern w:val="0"/>
                      <w:szCs w:val="21"/>
                      <w:u w:val="none"/>
                    </w:rPr>
                    <w:t>—</w:t>
                  </w:r>
                </w:p>
              </w:tc>
            </w:tr>
            <w:tr w14:paraId="1156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9BB78FB">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2675FD4B">
                  <w:pPr>
                    <w:widowControl/>
                    <w:adjustRightInd w:val="0"/>
                    <w:snapToGrid w:val="0"/>
                    <w:textAlignment w:val="center"/>
                    <w:rPr>
                      <w:color w:val="000000"/>
                      <w:kern w:val="0"/>
                      <w:szCs w:val="21"/>
                      <w:u w:val="none"/>
                      <w:lang w:bidi="ar"/>
                    </w:rPr>
                  </w:pPr>
                  <w:r>
                    <w:rPr>
                      <w:rFonts w:hint="eastAsia"/>
                      <w:color w:val="000000"/>
                      <w:kern w:val="0"/>
                      <w:szCs w:val="21"/>
                      <w:u w:val="none"/>
                      <w:lang w:bidi="ar"/>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1871" w:type="dxa"/>
                  <w:tcBorders>
                    <w:top w:val="single" w:color="auto" w:sz="4" w:space="0"/>
                    <w:left w:val="nil"/>
                    <w:bottom w:val="single" w:color="auto" w:sz="4" w:space="0"/>
                    <w:right w:val="single" w:color="auto" w:sz="4" w:space="0"/>
                  </w:tcBorders>
                  <w:vAlign w:val="center"/>
                </w:tcPr>
                <w:p w14:paraId="052FDB3B">
                  <w:pPr>
                    <w:widowControl/>
                    <w:adjustRightInd w:val="0"/>
                    <w:snapToGrid w:val="0"/>
                    <w:textAlignment w:val="center"/>
                    <w:rPr>
                      <w:color w:val="000000"/>
                      <w:kern w:val="0"/>
                      <w:szCs w:val="21"/>
                      <w:u w:val="none"/>
                    </w:rPr>
                  </w:pPr>
                  <w:r>
                    <w:rPr>
                      <w:rFonts w:hint="eastAsia"/>
                      <w:color w:val="000000"/>
                      <w:kern w:val="0"/>
                      <w:szCs w:val="21"/>
                      <w:u w:val="none"/>
                    </w:rPr>
                    <w:t>项目不涉及</w:t>
                  </w:r>
                  <w:r>
                    <w:rPr>
                      <w:rFonts w:hint="eastAsia"/>
                      <w:color w:val="000000"/>
                      <w:kern w:val="0"/>
                      <w:szCs w:val="21"/>
                      <w:u w:val="none"/>
                      <w:lang w:bidi="ar"/>
                    </w:rPr>
                    <w:t>挥发性有机物物质贮存。</w:t>
                  </w:r>
                </w:p>
              </w:tc>
              <w:tc>
                <w:tcPr>
                  <w:tcW w:w="578" w:type="dxa"/>
                  <w:tcBorders>
                    <w:top w:val="single" w:color="auto" w:sz="4" w:space="0"/>
                    <w:left w:val="nil"/>
                    <w:bottom w:val="single" w:color="auto" w:sz="4" w:space="0"/>
                    <w:right w:val="single" w:color="auto" w:sz="4" w:space="0"/>
                  </w:tcBorders>
                  <w:vAlign w:val="center"/>
                </w:tcPr>
                <w:p w14:paraId="3C54DFF9">
                  <w:pPr>
                    <w:widowControl/>
                    <w:adjustRightInd w:val="0"/>
                    <w:snapToGrid w:val="0"/>
                    <w:jc w:val="center"/>
                    <w:textAlignment w:val="center"/>
                    <w:rPr>
                      <w:kern w:val="0"/>
                      <w:szCs w:val="21"/>
                      <w:u w:val="none"/>
                    </w:rPr>
                  </w:pPr>
                  <w:r>
                    <w:rPr>
                      <w:rFonts w:hint="eastAsia"/>
                      <w:kern w:val="0"/>
                      <w:szCs w:val="21"/>
                      <w:u w:val="none"/>
                    </w:rPr>
                    <w:t>—</w:t>
                  </w:r>
                </w:p>
              </w:tc>
            </w:tr>
            <w:tr w14:paraId="153A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1E54343">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AD1E918">
                  <w:pPr>
                    <w:widowControl/>
                    <w:adjustRightInd w:val="0"/>
                    <w:snapToGrid w:val="0"/>
                    <w:textAlignment w:val="center"/>
                    <w:rPr>
                      <w:kern w:val="0"/>
                      <w:szCs w:val="21"/>
                      <w:u w:val="none"/>
                      <w:lang w:bidi="ar"/>
                    </w:rPr>
                  </w:pPr>
                  <w:r>
                    <w:rPr>
                      <w:rFonts w:hint="eastAsia"/>
                      <w:kern w:val="0"/>
                      <w:szCs w:val="21"/>
                      <w:u w:val="none"/>
                      <w:lang w:bidi="ar"/>
                    </w:rPr>
                    <w:t>6.完善园区集中供热设施，积极推广集中供热，有条件的工业聚集区建设集中喷涂工程中心，配备高效治污设施，替代企业独立喷涂工序。</w:t>
                  </w:r>
                </w:p>
              </w:tc>
              <w:tc>
                <w:tcPr>
                  <w:tcW w:w="1871" w:type="dxa"/>
                  <w:tcBorders>
                    <w:top w:val="single" w:color="auto" w:sz="4" w:space="0"/>
                    <w:left w:val="nil"/>
                    <w:bottom w:val="single" w:color="auto" w:sz="4" w:space="0"/>
                    <w:right w:val="single" w:color="auto" w:sz="4" w:space="0"/>
                  </w:tcBorders>
                  <w:vAlign w:val="center"/>
                </w:tcPr>
                <w:p w14:paraId="2276DD39">
                  <w:pPr>
                    <w:widowControl/>
                    <w:adjustRightInd w:val="0"/>
                    <w:snapToGrid w:val="0"/>
                    <w:textAlignment w:val="center"/>
                    <w:rPr>
                      <w:kern w:val="0"/>
                      <w:szCs w:val="21"/>
                      <w:u w:val="none"/>
                    </w:rPr>
                  </w:pPr>
                  <w:r>
                    <w:rPr>
                      <w:rFonts w:hint="eastAsia"/>
                      <w:kern w:val="0"/>
                      <w:szCs w:val="21"/>
                      <w:u w:val="none"/>
                    </w:rPr>
                    <w:t>本项目不涉及园区集中供热工程。</w:t>
                  </w:r>
                </w:p>
              </w:tc>
              <w:tc>
                <w:tcPr>
                  <w:tcW w:w="578" w:type="dxa"/>
                  <w:tcBorders>
                    <w:top w:val="single" w:color="auto" w:sz="4" w:space="0"/>
                    <w:left w:val="nil"/>
                    <w:bottom w:val="single" w:color="auto" w:sz="4" w:space="0"/>
                    <w:right w:val="single" w:color="auto" w:sz="4" w:space="0"/>
                  </w:tcBorders>
                  <w:vAlign w:val="center"/>
                </w:tcPr>
                <w:p w14:paraId="0C60D335">
                  <w:pPr>
                    <w:widowControl/>
                    <w:adjustRightInd w:val="0"/>
                    <w:snapToGrid w:val="0"/>
                    <w:jc w:val="center"/>
                    <w:textAlignment w:val="center"/>
                    <w:rPr>
                      <w:kern w:val="0"/>
                      <w:szCs w:val="21"/>
                      <w:u w:val="none"/>
                    </w:rPr>
                  </w:pPr>
                  <w:r>
                    <w:rPr>
                      <w:rFonts w:hint="eastAsia"/>
                      <w:kern w:val="0"/>
                      <w:szCs w:val="21"/>
                      <w:u w:val="none"/>
                    </w:rPr>
                    <w:t>—</w:t>
                  </w:r>
                </w:p>
              </w:tc>
            </w:tr>
            <w:tr w14:paraId="2A6F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804EC84">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7E535C4E">
                  <w:pPr>
                    <w:widowControl/>
                    <w:adjustRightInd w:val="0"/>
                    <w:snapToGrid w:val="0"/>
                    <w:textAlignment w:val="center"/>
                    <w:rPr>
                      <w:kern w:val="0"/>
                      <w:szCs w:val="21"/>
                      <w:u w:val="none"/>
                      <w:lang w:bidi="ar"/>
                    </w:rPr>
                  </w:pPr>
                  <w:r>
                    <w:rPr>
                      <w:rFonts w:hint="eastAsia"/>
                      <w:kern w:val="0"/>
                      <w:szCs w:val="21"/>
                      <w:u w:val="none"/>
                      <w:lang w:bidi="ar"/>
                    </w:rPr>
                    <w:t>7.推进城镇生活垃圾处理基础设施扩能建设，强化渗滤液处理设施运营管理，防止渗滤液积存或违规倾倒垃圾渗滤液至市政管网；加强农村生活垃圾收运、处理体系建设，降低农村垃圾焚烧污染。</w:t>
                  </w:r>
                </w:p>
              </w:tc>
              <w:tc>
                <w:tcPr>
                  <w:tcW w:w="1871" w:type="dxa"/>
                  <w:tcBorders>
                    <w:top w:val="single" w:color="auto" w:sz="4" w:space="0"/>
                    <w:left w:val="nil"/>
                    <w:bottom w:val="single" w:color="auto" w:sz="4" w:space="0"/>
                    <w:right w:val="single" w:color="auto" w:sz="4" w:space="0"/>
                  </w:tcBorders>
                  <w:vAlign w:val="center"/>
                </w:tcPr>
                <w:p w14:paraId="31D8AE90">
                  <w:pPr>
                    <w:widowControl/>
                    <w:adjustRightInd w:val="0"/>
                    <w:snapToGrid w:val="0"/>
                    <w:textAlignment w:val="center"/>
                    <w:rPr>
                      <w:kern w:val="0"/>
                      <w:szCs w:val="21"/>
                      <w:u w:val="none"/>
                    </w:rPr>
                  </w:pPr>
                  <w:r>
                    <w:rPr>
                      <w:rFonts w:hint="eastAsia"/>
                      <w:kern w:val="0"/>
                      <w:szCs w:val="21"/>
                      <w:u w:val="none"/>
                    </w:rPr>
                    <w:t>本项目不涉及城镇、农村生活垃圾处理基础设施建设。</w:t>
                  </w:r>
                </w:p>
              </w:tc>
              <w:tc>
                <w:tcPr>
                  <w:tcW w:w="578" w:type="dxa"/>
                  <w:tcBorders>
                    <w:top w:val="single" w:color="auto" w:sz="4" w:space="0"/>
                    <w:left w:val="nil"/>
                    <w:bottom w:val="single" w:color="auto" w:sz="4" w:space="0"/>
                    <w:right w:val="single" w:color="auto" w:sz="4" w:space="0"/>
                  </w:tcBorders>
                  <w:vAlign w:val="center"/>
                </w:tcPr>
                <w:p w14:paraId="41628BD2">
                  <w:pPr>
                    <w:widowControl/>
                    <w:adjustRightInd w:val="0"/>
                    <w:snapToGrid w:val="0"/>
                    <w:jc w:val="center"/>
                    <w:textAlignment w:val="center"/>
                    <w:rPr>
                      <w:kern w:val="0"/>
                      <w:szCs w:val="21"/>
                      <w:u w:val="none"/>
                    </w:rPr>
                  </w:pPr>
                  <w:r>
                    <w:rPr>
                      <w:rFonts w:hint="eastAsia"/>
                      <w:kern w:val="0"/>
                      <w:szCs w:val="21"/>
                      <w:u w:val="none"/>
                    </w:rPr>
                    <w:t>—</w:t>
                  </w:r>
                </w:p>
              </w:tc>
            </w:tr>
            <w:tr w14:paraId="3090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776D2AB">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6BAA660E">
                  <w:pPr>
                    <w:widowControl/>
                    <w:adjustRightInd w:val="0"/>
                    <w:snapToGrid w:val="0"/>
                    <w:textAlignment w:val="center"/>
                    <w:rPr>
                      <w:kern w:val="0"/>
                      <w:szCs w:val="21"/>
                      <w:u w:val="none"/>
                      <w:lang w:bidi="ar"/>
                    </w:rPr>
                  </w:pPr>
                  <w:r>
                    <w:rPr>
                      <w:rFonts w:hint="eastAsia"/>
                      <w:kern w:val="0"/>
                      <w:szCs w:val="21"/>
                      <w:u w:val="none"/>
                      <w:lang w:bidi="ar"/>
                    </w:rPr>
                    <w:t>8.新建、改建、扩建涉及重点重金属排放建设项目依照相关规定实行总量控制。</w:t>
                  </w:r>
                </w:p>
              </w:tc>
              <w:tc>
                <w:tcPr>
                  <w:tcW w:w="1871" w:type="dxa"/>
                  <w:tcBorders>
                    <w:top w:val="single" w:color="auto" w:sz="4" w:space="0"/>
                    <w:left w:val="nil"/>
                    <w:bottom w:val="single" w:color="auto" w:sz="4" w:space="0"/>
                    <w:right w:val="single" w:color="auto" w:sz="4" w:space="0"/>
                  </w:tcBorders>
                  <w:vAlign w:val="center"/>
                </w:tcPr>
                <w:p w14:paraId="5566EF74">
                  <w:pPr>
                    <w:widowControl/>
                    <w:adjustRightInd w:val="0"/>
                    <w:snapToGrid w:val="0"/>
                    <w:textAlignment w:val="center"/>
                    <w:rPr>
                      <w:kern w:val="0"/>
                      <w:szCs w:val="21"/>
                      <w:u w:val="none"/>
                    </w:rPr>
                  </w:pPr>
                  <w:r>
                    <w:rPr>
                      <w:rFonts w:hint="eastAsia"/>
                      <w:kern w:val="0"/>
                      <w:szCs w:val="21"/>
                      <w:u w:val="none"/>
                    </w:rPr>
                    <w:t>本项目不涉及重金属排放。</w:t>
                  </w:r>
                </w:p>
              </w:tc>
              <w:tc>
                <w:tcPr>
                  <w:tcW w:w="578" w:type="dxa"/>
                  <w:tcBorders>
                    <w:top w:val="single" w:color="auto" w:sz="4" w:space="0"/>
                    <w:left w:val="nil"/>
                    <w:bottom w:val="single" w:color="auto" w:sz="4" w:space="0"/>
                    <w:right w:val="single" w:color="auto" w:sz="4" w:space="0"/>
                  </w:tcBorders>
                  <w:vAlign w:val="center"/>
                </w:tcPr>
                <w:p w14:paraId="0DFEA8DD">
                  <w:pPr>
                    <w:widowControl/>
                    <w:adjustRightInd w:val="0"/>
                    <w:snapToGrid w:val="0"/>
                    <w:jc w:val="center"/>
                    <w:textAlignment w:val="center"/>
                    <w:rPr>
                      <w:kern w:val="0"/>
                      <w:szCs w:val="21"/>
                      <w:u w:val="none"/>
                    </w:rPr>
                  </w:pPr>
                  <w:r>
                    <w:rPr>
                      <w:rFonts w:hint="eastAsia"/>
                      <w:kern w:val="0"/>
                      <w:szCs w:val="21"/>
                      <w:u w:val="none"/>
                    </w:rPr>
                    <w:t>符合</w:t>
                  </w:r>
                </w:p>
              </w:tc>
            </w:tr>
            <w:tr w14:paraId="7E28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48465FA">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7C81583">
                  <w:pPr>
                    <w:widowControl/>
                    <w:adjustRightInd w:val="0"/>
                    <w:snapToGrid w:val="0"/>
                    <w:textAlignment w:val="center"/>
                    <w:rPr>
                      <w:kern w:val="0"/>
                      <w:szCs w:val="21"/>
                      <w:u w:val="none"/>
                      <w:lang w:bidi="ar"/>
                    </w:rPr>
                  </w:pPr>
                  <w:r>
                    <w:rPr>
                      <w:rFonts w:hint="eastAsia"/>
                      <w:kern w:val="0"/>
                      <w:szCs w:val="21"/>
                      <w:u w:val="none"/>
                      <w:lang w:bidi="ar"/>
                    </w:rPr>
                    <w:t>9.</w:t>
                  </w:r>
                  <w:r>
                    <w:rPr>
                      <w:kern w:val="0"/>
                      <w:szCs w:val="21"/>
                      <w:u w:val="none"/>
                      <w:lang w:bidi="ar"/>
                    </w:rPr>
                    <w:t>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871" w:type="dxa"/>
                  <w:tcBorders>
                    <w:top w:val="single" w:color="auto" w:sz="4" w:space="0"/>
                    <w:left w:val="nil"/>
                    <w:bottom w:val="single" w:color="auto" w:sz="4" w:space="0"/>
                    <w:right w:val="single" w:color="auto" w:sz="4" w:space="0"/>
                  </w:tcBorders>
                  <w:vAlign w:val="center"/>
                </w:tcPr>
                <w:p w14:paraId="22262848">
                  <w:pPr>
                    <w:widowControl/>
                    <w:adjustRightInd w:val="0"/>
                    <w:snapToGrid w:val="0"/>
                    <w:textAlignment w:val="center"/>
                    <w:rPr>
                      <w:szCs w:val="21"/>
                      <w:u w:val="none"/>
                    </w:rPr>
                  </w:pPr>
                  <w:r>
                    <w:rPr>
                      <w:rFonts w:hint="eastAsia"/>
                      <w:szCs w:val="21"/>
                      <w:u w:val="none"/>
                    </w:rPr>
                    <w:t>本项目</w:t>
                  </w:r>
                  <w:r>
                    <w:rPr>
                      <w:rFonts w:hint="eastAsia"/>
                      <w:szCs w:val="21"/>
                      <w:u w:val="none"/>
                      <w:lang w:val="en-US" w:eastAsia="zh-CN"/>
                    </w:rPr>
                    <w:t>不属于</w:t>
                  </w:r>
                  <w:r>
                    <w:rPr>
                      <w:rFonts w:hint="eastAsia"/>
                      <w:kern w:val="0"/>
                      <w:szCs w:val="21"/>
                      <w:u w:val="none"/>
                      <w:lang w:bidi="ar"/>
                    </w:rPr>
                    <w:t>“两高”项目。</w:t>
                  </w:r>
                </w:p>
              </w:tc>
              <w:tc>
                <w:tcPr>
                  <w:tcW w:w="578" w:type="dxa"/>
                  <w:tcBorders>
                    <w:top w:val="single" w:color="auto" w:sz="4" w:space="0"/>
                    <w:left w:val="nil"/>
                    <w:bottom w:val="single" w:color="auto" w:sz="4" w:space="0"/>
                    <w:right w:val="single" w:color="auto" w:sz="4" w:space="0"/>
                  </w:tcBorders>
                  <w:vAlign w:val="center"/>
                </w:tcPr>
                <w:p w14:paraId="4E756547">
                  <w:pPr>
                    <w:widowControl/>
                    <w:adjustRightInd w:val="0"/>
                    <w:snapToGrid w:val="0"/>
                    <w:jc w:val="center"/>
                    <w:textAlignment w:val="center"/>
                    <w:rPr>
                      <w:szCs w:val="21"/>
                      <w:u w:val="none"/>
                    </w:rPr>
                  </w:pPr>
                  <w:r>
                    <w:rPr>
                      <w:rFonts w:hint="eastAsia"/>
                      <w:kern w:val="0"/>
                      <w:szCs w:val="21"/>
                      <w:u w:val="none"/>
                    </w:rPr>
                    <w:t>—</w:t>
                  </w:r>
                </w:p>
              </w:tc>
            </w:tr>
            <w:tr w14:paraId="0293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21CB5BE">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7F179915">
                  <w:pPr>
                    <w:widowControl/>
                    <w:adjustRightInd w:val="0"/>
                    <w:snapToGrid w:val="0"/>
                    <w:textAlignment w:val="center"/>
                    <w:rPr>
                      <w:kern w:val="0"/>
                      <w:szCs w:val="21"/>
                      <w:u w:val="none"/>
                      <w:lang w:bidi="ar"/>
                    </w:rPr>
                  </w:pPr>
                  <w:r>
                    <w:rPr>
                      <w:rFonts w:hint="eastAsia"/>
                      <w:kern w:val="0"/>
                      <w:szCs w:val="21"/>
                      <w:u w:val="none"/>
                      <w:lang w:bidi="ar"/>
                    </w:rPr>
                    <w:t>10.</w:t>
                  </w:r>
                  <w:r>
                    <w:rPr>
                      <w:kern w:val="0"/>
                      <w:szCs w:val="21"/>
                      <w:u w:val="none"/>
                      <w:lang w:bidi="ar"/>
                    </w:rPr>
                    <w:t>加强海陆联动，严格控制陆源污染物排放。规范入海排污口设置，全面清理非法或设置不合理的入海排污口。</w:t>
                  </w:r>
                </w:p>
              </w:tc>
              <w:tc>
                <w:tcPr>
                  <w:tcW w:w="1871" w:type="dxa"/>
                  <w:tcBorders>
                    <w:top w:val="single" w:color="auto" w:sz="4" w:space="0"/>
                    <w:left w:val="nil"/>
                    <w:bottom w:val="single" w:color="auto" w:sz="4" w:space="0"/>
                    <w:right w:val="single" w:color="auto" w:sz="4" w:space="0"/>
                  </w:tcBorders>
                  <w:vAlign w:val="center"/>
                </w:tcPr>
                <w:p w14:paraId="759995CE">
                  <w:pPr>
                    <w:widowControl/>
                    <w:adjustRightInd w:val="0"/>
                    <w:snapToGrid w:val="0"/>
                    <w:textAlignment w:val="center"/>
                    <w:rPr>
                      <w:szCs w:val="21"/>
                      <w:u w:val="none"/>
                    </w:rPr>
                  </w:pPr>
                  <w:r>
                    <w:rPr>
                      <w:rFonts w:hint="eastAsia"/>
                      <w:szCs w:val="21"/>
                      <w:u w:val="none"/>
                    </w:rPr>
                    <w:t>本项目不新增入海排污口</w:t>
                  </w:r>
                  <w:r>
                    <w:rPr>
                      <w:rFonts w:hint="eastAsia"/>
                      <w:kern w:val="0"/>
                      <w:szCs w:val="21"/>
                      <w:u w:val="none"/>
                    </w:rPr>
                    <w:t>。</w:t>
                  </w:r>
                </w:p>
              </w:tc>
              <w:tc>
                <w:tcPr>
                  <w:tcW w:w="578" w:type="dxa"/>
                  <w:tcBorders>
                    <w:top w:val="single" w:color="auto" w:sz="4" w:space="0"/>
                    <w:left w:val="nil"/>
                    <w:bottom w:val="single" w:color="auto" w:sz="4" w:space="0"/>
                    <w:right w:val="single" w:color="auto" w:sz="4" w:space="0"/>
                  </w:tcBorders>
                  <w:vAlign w:val="center"/>
                </w:tcPr>
                <w:p w14:paraId="53815E13">
                  <w:pPr>
                    <w:widowControl/>
                    <w:adjustRightInd w:val="0"/>
                    <w:snapToGrid w:val="0"/>
                    <w:jc w:val="center"/>
                    <w:textAlignment w:val="center"/>
                    <w:rPr>
                      <w:szCs w:val="21"/>
                      <w:u w:val="none"/>
                    </w:rPr>
                  </w:pPr>
                  <w:r>
                    <w:rPr>
                      <w:rFonts w:hint="eastAsia"/>
                      <w:kern w:val="0"/>
                      <w:szCs w:val="21"/>
                      <w:u w:val="none"/>
                    </w:rPr>
                    <w:t>—</w:t>
                  </w:r>
                </w:p>
              </w:tc>
            </w:tr>
            <w:tr w14:paraId="11BC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0BDEE27">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2A32E27">
                  <w:pPr>
                    <w:widowControl/>
                    <w:adjustRightInd w:val="0"/>
                    <w:snapToGrid w:val="0"/>
                    <w:textAlignment w:val="center"/>
                    <w:rPr>
                      <w:kern w:val="0"/>
                      <w:szCs w:val="21"/>
                      <w:u w:val="none"/>
                      <w:lang w:bidi="ar"/>
                    </w:rPr>
                  </w:pPr>
                  <w:r>
                    <w:rPr>
                      <w:rFonts w:hint="eastAsia"/>
                      <w:kern w:val="0"/>
                      <w:szCs w:val="21"/>
                      <w:u w:val="none"/>
                      <w:lang w:bidi="ar"/>
                    </w:rPr>
                    <w:t>11.</w:t>
                  </w:r>
                  <w:r>
                    <w:rPr>
                      <w:kern w:val="0"/>
                      <w:szCs w:val="21"/>
                      <w:u w:val="none"/>
                      <w:lang w:bidi="ar"/>
                    </w:rPr>
                    <w:t>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871" w:type="dxa"/>
                  <w:tcBorders>
                    <w:top w:val="single" w:color="auto" w:sz="4" w:space="0"/>
                    <w:left w:val="nil"/>
                    <w:bottom w:val="single" w:color="auto" w:sz="4" w:space="0"/>
                    <w:right w:val="single" w:color="auto" w:sz="4" w:space="0"/>
                  </w:tcBorders>
                  <w:vAlign w:val="center"/>
                </w:tcPr>
                <w:p w14:paraId="5B930C9D">
                  <w:pPr>
                    <w:widowControl/>
                    <w:adjustRightInd w:val="0"/>
                    <w:snapToGrid w:val="0"/>
                    <w:textAlignment w:val="center"/>
                    <w:rPr>
                      <w:szCs w:val="21"/>
                      <w:u w:val="none"/>
                    </w:rPr>
                  </w:pPr>
                  <w:r>
                    <w:rPr>
                      <w:rFonts w:hint="eastAsia"/>
                      <w:szCs w:val="21"/>
                      <w:u w:val="none"/>
                    </w:rPr>
                    <w:t>本项目不涉及船舶航运。</w:t>
                  </w:r>
                </w:p>
              </w:tc>
              <w:tc>
                <w:tcPr>
                  <w:tcW w:w="578" w:type="dxa"/>
                  <w:tcBorders>
                    <w:top w:val="single" w:color="auto" w:sz="4" w:space="0"/>
                    <w:left w:val="nil"/>
                    <w:bottom w:val="single" w:color="auto" w:sz="4" w:space="0"/>
                    <w:right w:val="single" w:color="auto" w:sz="4" w:space="0"/>
                  </w:tcBorders>
                  <w:vAlign w:val="center"/>
                </w:tcPr>
                <w:p w14:paraId="03664D0B">
                  <w:pPr>
                    <w:widowControl/>
                    <w:adjustRightInd w:val="0"/>
                    <w:snapToGrid w:val="0"/>
                    <w:jc w:val="center"/>
                    <w:textAlignment w:val="center"/>
                    <w:rPr>
                      <w:szCs w:val="21"/>
                      <w:u w:val="none"/>
                    </w:rPr>
                  </w:pPr>
                  <w:r>
                    <w:rPr>
                      <w:rFonts w:hint="eastAsia"/>
                      <w:kern w:val="0"/>
                      <w:szCs w:val="21"/>
                      <w:u w:val="none"/>
                    </w:rPr>
                    <w:t>—</w:t>
                  </w:r>
                </w:p>
              </w:tc>
            </w:tr>
            <w:tr w14:paraId="5F0C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406DAD6">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295DEC04">
                  <w:pPr>
                    <w:widowControl/>
                    <w:adjustRightInd w:val="0"/>
                    <w:snapToGrid w:val="0"/>
                    <w:textAlignment w:val="center"/>
                    <w:rPr>
                      <w:kern w:val="0"/>
                      <w:szCs w:val="21"/>
                      <w:u w:val="none"/>
                      <w:lang w:bidi="ar"/>
                    </w:rPr>
                  </w:pPr>
                  <w:r>
                    <w:rPr>
                      <w:rFonts w:hint="eastAsia"/>
                      <w:kern w:val="0"/>
                      <w:szCs w:val="21"/>
                      <w:u w:val="none"/>
                      <w:lang w:bidi="ar"/>
                    </w:rPr>
                    <w:t>12.</w:t>
                  </w:r>
                  <w:r>
                    <w:rPr>
                      <w:kern w:val="0"/>
                      <w:szCs w:val="21"/>
                      <w:u w:val="none"/>
                      <w:lang w:bidi="ar"/>
                    </w:rPr>
                    <w:t>加强港口码头环保基础设施处理和建设。完善堆场防风抑尘设施，降低扬尘污染。钦州港区实行雨污分流和污水分质处理，防止堆场废水通过雨水沟直排入海，完善配套</w:t>
                  </w:r>
                  <w:r>
                    <w:rPr>
                      <w:rFonts w:hint="eastAsia"/>
                      <w:kern w:val="0"/>
                      <w:szCs w:val="21"/>
                      <w:u w:val="none"/>
                      <w:lang w:bidi="ar"/>
                    </w:rPr>
                    <w:t>化粪池</w:t>
                  </w:r>
                  <w:r>
                    <w:rPr>
                      <w:kern w:val="0"/>
                      <w:szCs w:val="21"/>
                      <w:u w:val="none"/>
                      <w:lang w:bidi="ar"/>
                    </w:rPr>
                    <w:t>和管网建设，实现污水集中处理、回用或达标排放。</w:t>
                  </w:r>
                </w:p>
              </w:tc>
              <w:tc>
                <w:tcPr>
                  <w:tcW w:w="1871" w:type="dxa"/>
                  <w:tcBorders>
                    <w:top w:val="single" w:color="auto" w:sz="4" w:space="0"/>
                    <w:left w:val="nil"/>
                    <w:bottom w:val="single" w:color="auto" w:sz="4" w:space="0"/>
                    <w:right w:val="single" w:color="auto" w:sz="4" w:space="0"/>
                  </w:tcBorders>
                  <w:vAlign w:val="center"/>
                </w:tcPr>
                <w:p w14:paraId="69282309">
                  <w:pPr>
                    <w:widowControl/>
                    <w:adjustRightInd w:val="0"/>
                    <w:snapToGrid w:val="0"/>
                    <w:textAlignment w:val="center"/>
                    <w:rPr>
                      <w:szCs w:val="21"/>
                      <w:u w:val="none"/>
                    </w:rPr>
                  </w:pPr>
                  <w:r>
                    <w:rPr>
                      <w:rFonts w:hint="eastAsia"/>
                      <w:szCs w:val="21"/>
                      <w:u w:val="none"/>
                    </w:rPr>
                    <w:t>本项目不涉及港口码头</w:t>
                  </w:r>
                  <w:r>
                    <w:rPr>
                      <w:rFonts w:hint="eastAsia"/>
                      <w:kern w:val="0"/>
                      <w:szCs w:val="21"/>
                      <w:u w:val="none"/>
                      <w:lang w:bidi="ar"/>
                    </w:rPr>
                    <w:t>。</w:t>
                  </w:r>
                </w:p>
              </w:tc>
              <w:tc>
                <w:tcPr>
                  <w:tcW w:w="578" w:type="dxa"/>
                  <w:tcBorders>
                    <w:top w:val="single" w:color="auto" w:sz="4" w:space="0"/>
                    <w:left w:val="nil"/>
                    <w:bottom w:val="single" w:color="auto" w:sz="4" w:space="0"/>
                    <w:right w:val="single" w:color="auto" w:sz="4" w:space="0"/>
                  </w:tcBorders>
                  <w:vAlign w:val="center"/>
                </w:tcPr>
                <w:p w14:paraId="0353F305">
                  <w:pPr>
                    <w:widowControl/>
                    <w:adjustRightInd w:val="0"/>
                    <w:snapToGrid w:val="0"/>
                    <w:jc w:val="center"/>
                    <w:textAlignment w:val="center"/>
                    <w:rPr>
                      <w:szCs w:val="21"/>
                      <w:u w:val="none"/>
                    </w:rPr>
                  </w:pPr>
                  <w:r>
                    <w:rPr>
                      <w:rFonts w:hint="eastAsia"/>
                      <w:szCs w:val="21"/>
                      <w:u w:val="none"/>
                    </w:rPr>
                    <w:t>—</w:t>
                  </w:r>
                </w:p>
              </w:tc>
            </w:tr>
            <w:tr w14:paraId="0F8E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351AD35">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78810B5C">
                  <w:pPr>
                    <w:widowControl/>
                    <w:adjustRightInd w:val="0"/>
                    <w:snapToGrid w:val="0"/>
                    <w:textAlignment w:val="center"/>
                    <w:rPr>
                      <w:kern w:val="0"/>
                      <w:szCs w:val="21"/>
                      <w:u w:val="none"/>
                      <w:lang w:bidi="ar"/>
                    </w:rPr>
                  </w:pPr>
                  <w:r>
                    <w:rPr>
                      <w:rFonts w:hint="eastAsia"/>
                      <w:kern w:val="0"/>
                      <w:szCs w:val="21"/>
                      <w:u w:val="none"/>
                      <w:lang w:bidi="ar"/>
                    </w:rPr>
                    <w:t>13.</w:t>
                  </w:r>
                  <w:r>
                    <w:rPr>
                      <w:kern w:val="0"/>
                      <w:szCs w:val="21"/>
                      <w:u w:val="none"/>
                      <w:lang w:bidi="ar"/>
                    </w:rPr>
                    <w:t>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871" w:type="dxa"/>
                  <w:tcBorders>
                    <w:top w:val="single" w:color="auto" w:sz="4" w:space="0"/>
                    <w:left w:val="nil"/>
                    <w:bottom w:val="single" w:color="auto" w:sz="4" w:space="0"/>
                    <w:right w:val="single" w:color="auto" w:sz="4" w:space="0"/>
                  </w:tcBorders>
                  <w:vAlign w:val="center"/>
                </w:tcPr>
                <w:p w14:paraId="2CAA7824">
                  <w:pPr>
                    <w:widowControl/>
                    <w:adjustRightInd w:val="0"/>
                    <w:snapToGrid w:val="0"/>
                    <w:textAlignment w:val="center"/>
                    <w:rPr>
                      <w:szCs w:val="21"/>
                      <w:u w:val="none"/>
                    </w:rPr>
                  </w:pPr>
                  <w:r>
                    <w:rPr>
                      <w:rFonts w:hint="eastAsia"/>
                      <w:szCs w:val="21"/>
                      <w:u w:val="none"/>
                    </w:rPr>
                    <w:t>项目无废水直排入海域。</w:t>
                  </w:r>
                </w:p>
              </w:tc>
              <w:tc>
                <w:tcPr>
                  <w:tcW w:w="578" w:type="dxa"/>
                  <w:tcBorders>
                    <w:top w:val="single" w:color="auto" w:sz="4" w:space="0"/>
                    <w:left w:val="nil"/>
                    <w:bottom w:val="single" w:color="auto" w:sz="4" w:space="0"/>
                    <w:right w:val="single" w:color="auto" w:sz="4" w:space="0"/>
                  </w:tcBorders>
                  <w:vAlign w:val="center"/>
                </w:tcPr>
                <w:p w14:paraId="6468103F">
                  <w:pPr>
                    <w:widowControl/>
                    <w:adjustRightInd w:val="0"/>
                    <w:snapToGrid w:val="0"/>
                    <w:jc w:val="center"/>
                    <w:textAlignment w:val="center"/>
                    <w:rPr>
                      <w:szCs w:val="21"/>
                      <w:u w:val="none"/>
                    </w:rPr>
                  </w:pPr>
                  <w:r>
                    <w:rPr>
                      <w:rFonts w:hint="eastAsia"/>
                      <w:kern w:val="0"/>
                      <w:szCs w:val="21"/>
                      <w:u w:val="none"/>
                    </w:rPr>
                    <w:t>—</w:t>
                  </w:r>
                </w:p>
              </w:tc>
            </w:tr>
            <w:tr w14:paraId="0503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3D8A787">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3C20D90A">
                  <w:pPr>
                    <w:widowControl/>
                    <w:adjustRightInd w:val="0"/>
                    <w:snapToGrid w:val="0"/>
                    <w:textAlignment w:val="center"/>
                    <w:rPr>
                      <w:kern w:val="0"/>
                      <w:szCs w:val="21"/>
                      <w:u w:val="none"/>
                      <w:lang w:bidi="ar"/>
                    </w:rPr>
                  </w:pPr>
                  <w:r>
                    <w:rPr>
                      <w:rFonts w:hint="eastAsia"/>
                      <w:kern w:val="0"/>
                      <w:szCs w:val="21"/>
                      <w:u w:val="none"/>
                      <w:lang w:bidi="ar"/>
                    </w:rPr>
                    <w:t>14.</w:t>
                  </w:r>
                  <w:r>
                    <w:rPr>
                      <w:kern w:val="0"/>
                      <w:szCs w:val="21"/>
                      <w:u w:val="none"/>
                      <w:lang w:bidi="ar"/>
                    </w:rPr>
                    <w:t>按照养殖容量控制养殖规模和养殖密度，发展健康、生态养殖方式，加强对蓝圆鲹和二长棘鲷产卵场的保护。旅游休闲娱乐区的污水和垃圾应科学处置、达标排放，禁止直接排入海域。</w:t>
                  </w:r>
                </w:p>
              </w:tc>
              <w:tc>
                <w:tcPr>
                  <w:tcW w:w="1871" w:type="dxa"/>
                  <w:tcBorders>
                    <w:top w:val="single" w:color="auto" w:sz="4" w:space="0"/>
                    <w:left w:val="nil"/>
                    <w:bottom w:val="single" w:color="auto" w:sz="4" w:space="0"/>
                    <w:right w:val="single" w:color="auto" w:sz="4" w:space="0"/>
                  </w:tcBorders>
                  <w:vAlign w:val="center"/>
                </w:tcPr>
                <w:p w14:paraId="1F6DA1BE">
                  <w:pPr>
                    <w:widowControl/>
                    <w:adjustRightInd w:val="0"/>
                    <w:snapToGrid w:val="0"/>
                    <w:textAlignment w:val="center"/>
                    <w:rPr>
                      <w:szCs w:val="21"/>
                      <w:u w:val="none"/>
                    </w:rPr>
                  </w:pPr>
                  <w:r>
                    <w:rPr>
                      <w:rFonts w:hint="eastAsia"/>
                      <w:szCs w:val="21"/>
                      <w:u w:val="none"/>
                    </w:rPr>
                    <w:t>本项目不涉及养殖活动。</w:t>
                  </w:r>
                </w:p>
              </w:tc>
              <w:tc>
                <w:tcPr>
                  <w:tcW w:w="578" w:type="dxa"/>
                  <w:tcBorders>
                    <w:top w:val="single" w:color="auto" w:sz="4" w:space="0"/>
                    <w:left w:val="nil"/>
                    <w:bottom w:val="single" w:color="auto" w:sz="4" w:space="0"/>
                    <w:right w:val="single" w:color="auto" w:sz="4" w:space="0"/>
                  </w:tcBorders>
                  <w:vAlign w:val="center"/>
                </w:tcPr>
                <w:p w14:paraId="4C4DC667">
                  <w:pPr>
                    <w:widowControl/>
                    <w:adjustRightInd w:val="0"/>
                    <w:snapToGrid w:val="0"/>
                    <w:jc w:val="center"/>
                    <w:textAlignment w:val="center"/>
                    <w:rPr>
                      <w:szCs w:val="21"/>
                      <w:u w:val="none"/>
                    </w:rPr>
                  </w:pPr>
                  <w:r>
                    <w:rPr>
                      <w:rFonts w:hint="eastAsia"/>
                      <w:kern w:val="0"/>
                      <w:szCs w:val="21"/>
                      <w:u w:val="none"/>
                    </w:rPr>
                    <w:t>—</w:t>
                  </w:r>
                </w:p>
              </w:tc>
            </w:tr>
            <w:tr w14:paraId="4A2F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5B483D39">
                  <w:pPr>
                    <w:widowControl/>
                    <w:jc w:val="left"/>
                    <w:rPr>
                      <w:szCs w:val="21"/>
                      <w:u w:val="none"/>
                    </w:rPr>
                  </w:pPr>
                </w:p>
              </w:tc>
              <w:tc>
                <w:tcPr>
                  <w:tcW w:w="3575" w:type="dxa"/>
                  <w:tcBorders>
                    <w:top w:val="single" w:color="auto" w:sz="4" w:space="0"/>
                    <w:left w:val="nil"/>
                    <w:bottom w:val="single" w:color="auto" w:sz="4" w:space="0"/>
                    <w:right w:val="single" w:color="auto" w:sz="4" w:space="0"/>
                  </w:tcBorders>
                  <w:vAlign w:val="center"/>
                </w:tcPr>
                <w:p w14:paraId="450781F9">
                  <w:pPr>
                    <w:widowControl/>
                    <w:adjustRightInd w:val="0"/>
                    <w:snapToGrid w:val="0"/>
                    <w:textAlignment w:val="center"/>
                    <w:rPr>
                      <w:kern w:val="0"/>
                      <w:szCs w:val="21"/>
                      <w:u w:val="none"/>
                      <w:lang w:bidi="ar"/>
                    </w:rPr>
                  </w:pPr>
                  <w:r>
                    <w:rPr>
                      <w:rFonts w:hint="eastAsia"/>
                      <w:kern w:val="0"/>
                      <w:szCs w:val="21"/>
                      <w:u w:val="none"/>
                      <w:lang w:bidi="ar"/>
                    </w:rPr>
                    <w:t>15.</w:t>
                  </w:r>
                  <w:r>
                    <w:rPr>
                      <w:rFonts w:hint="eastAsia"/>
                      <w:u w:val="none"/>
                    </w:rPr>
                    <w:t xml:space="preserve"> </w:t>
                  </w:r>
                  <w:r>
                    <w:rPr>
                      <w:rFonts w:hint="eastAsia"/>
                      <w:kern w:val="0"/>
                      <w:szCs w:val="21"/>
                      <w:u w:val="none"/>
                      <w:lang w:bidi="ar"/>
                    </w:rPr>
                    <w:t>推动造纸行业节能改造，加大有机废液、有机废物、生物质气体的回收利用，固体废物近零排放。</w:t>
                  </w:r>
                </w:p>
              </w:tc>
              <w:tc>
                <w:tcPr>
                  <w:tcW w:w="1871" w:type="dxa"/>
                  <w:tcBorders>
                    <w:top w:val="single" w:color="auto" w:sz="4" w:space="0"/>
                    <w:left w:val="nil"/>
                    <w:bottom w:val="single" w:color="auto" w:sz="4" w:space="0"/>
                    <w:right w:val="single" w:color="auto" w:sz="4" w:space="0"/>
                  </w:tcBorders>
                  <w:vAlign w:val="center"/>
                </w:tcPr>
                <w:p w14:paraId="044A270F">
                  <w:pPr>
                    <w:widowControl/>
                    <w:adjustRightInd w:val="0"/>
                    <w:snapToGrid w:val="0"/>
                    <w:textAlignment w:val="center"/>
                    <w:rPr>
                      <w:szCs w:val="21"/>
                      <w:u w:val="none"/>
                    </w:rPr>
                  </w:pPr>
                  <w:r>
                    <w:rPr>
                      <w:rFonts w:hint="eastAsia"/>
                      <w:szCs w:val="21"/>
                      <w:u w:val="none"/>
                    </w:rPr>
                    <w:t>本项目不涉及。</w:t>
                  </w:r>
                </w:p>
              </w:tc>
              <w:tc>
                <w:tcPr>
                  <w:tcW w:w="578" w:type="dxa"/>
                  <w:tcBorders>
                    <w:top w:val="single" w:color="auto" w:sz="4" w:space="0"/>
                    <w:left w:val="nil"/>
                    <w:bottom w:val="single" w:color="auto" w:sz="4" w:space="0"/>
                    <w:right w:val="single" w:color="auto" w:sz="4" w:space="0"/>
                  </w:tcBorders>
                  <w:vAlign w:val="center"/>
                </w:tcPr>
                <w:p w14:paraId="093743A9">
                  <w:pPr>
                    <w:widowControl/>
                    <w:adjustRightInd w:val="0"/>
                    <w:snapToGrid w:val="0"/>
                    <w:jc w:val="center"/>
                    <w:textAlignment w:val="center"/>
                    <w:rPr>
                      <w:szCs w:val="21"/>
                      <w:u w:val="none"/>
                    </w:rPr>
                  </w:pPr>
                  <w:r>
                    <w:rPr>
                      <w:rFonts w:hint="eastAsia"/>
                      <w:kern w:val="0"/>
                      <w:szCs w:val="21"/>
                      <w:u w:val="none"/>
                    </w:rPr>
                    <w:t>—</w:t>
                  </w:r>
                </w:p>
              </w:tc>
            </w:tr>
            <w:tr w14:paraId="72BA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241EBADD">
                  <w:pPr>
                    <w:adjustRightInd w:val="0"/>
                    <w:snapToGrid w:val="0"/>
                    <w:jc w:val="center"/>
                    <w:rPr>
                      <w:kern w:val="0"/>
                      <w:szCs w:val="21"/>
                      <w:u w:val="none"/>
                    </w:rPr>
                  </w:pPr>
                  <w:r>
                    <w:rPr>
                      <w:kern w:val="0"/>
                      <w:szCs w:val="21"/>
                      <w:u w:val="none"/>
                    </w:rPr>
                    <w:t>环境风险防控</w:t>
                  </w:r>
                </w:p>
              </w:tc>
              <w:tc>
                <w:tcPr>
                  <w:tcW w:w="3575" w:type="dxa"/>
                  <w:tcBorders>
                    <w:top w:val="single" w:color="auto" w:sz="4" w:space="0"/>
                    <w:left w:val="nil"/>
                    <w:bottom w:val="single" w:color="auto" w:sz="4" w:space="0"/>
                    <w:right w:val="single" w:color="auto" w:sz="4" w:space="0"/>
                  </w:tcBorders>
                  <w:vAlign w:val="center"/>
                </w:tcPr>
                <w:p w14:paraId="0F5B6849">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1.</w:t>
                  </w:r>
                  <w:r>
                    <w:rPr>
                      <w:rFonts w:ascii="Times New Roman" w:hAnsi="Times New Roman"/>
                      <w:u w:val="none"/>
                      <w:lang w:bidi="ar"/>
                    </w:rPr>
                    <w:t>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871" w:type="dxa"/>
                  <w:tcBorders>
                    <w:top w:val="single" w:color="auto" w:sz="4" w:space="0"/>
                    <w:left w:val="nil"/>
                    <w:bottom w:val="single" w:color="auto" w:sz="4" w:space="0"/>
                    <w:right w:val="single" w:color="auto" w:sz="4" w:space="0"/>
                  </w:tcBorders>
                  <w:vAlign w:val="center"/>
                </w:tcPr>
                <w:p w14:paraId="29539D84">
                  <w:pPr>
                    <w:widowControl/>
                    <w:adjustRightInd w:val="0"/>
                    <w:snapToGrid w:val="0"/>
                    <w:textAlignment w:val="center"/>
                    <w:rPr>
                      <w:rFonts w:hint="eastAsia" w:eastAsia="宋体"/>
                      <w:kern w:val="0"/>
                      <w:szCs w:val="21"/>
                      <w:u w:val="none"/>
                      <w:lang w:eastAsia="zh-CN"/>
                    </w:rPr>
                  </w:pPr>
                  <w:r>
                    <w:rPr>
                      <w:rFonts w:hint="eastAsia"/>
                      <w:kern w:val="0"/>
                      <w:szCs w:val="21"/>
                      <w:u w:val="none"/>
                    </w:rPr>
                    <w:t>本项目建成后不需要调整应急预案。广西华谊能源化工有限公司已制定全厂突发环境事件应急预案并备案</w:t>
                  </w:r>
                  <w:r>
                    <w:rPr>
                      <w:rFonts w:hint="eastAsia"/>
                      <w:kern w:val="0"/>
                      <w:szCs w:val="21"/>
                      <w:u w:val="none"/>
                      <w:lang w:eastAsia="zh-CN"/>
                    </w:rPr>
                    <w:t>。</w:t>
                  </w:r>
                </w:p>
              </w:tc>
              <w:tc>
                <w:tcPr>
                  <w:tcW w:w="578" w:type="dxa"/>
                  <w:tcBorders>
                    <w:top w:val="single" w:color="auto" w:sz="4" w:space="0"/>
                    <w:left w:val="nil"/>
                    <w:bottom w:val="single" w:color="auto" w:sz="4" w:space="0"/>
                    <w:right w:val="single" w:color="auto" w:sz="4" w:space="0"/>
                  </w:tcBorders>
                  <w:vAlign w:val="center"/>
                </w:tcPr>
                <w:p w14:paraId="65EC4373">
                  <w:pPr>
                    <w:widowControl/>
                    <w:adjustRightInd w:val="0"/>
                    <w:snapToGrid w:val="0"/>
                    <w:jc w:val="center"/>
                    <w:textAlignment w:val="center"/>
                    <w:rPr>
                      <w:kern w:val="0"/>
                      <w:szCs w:val="21"/>
                      <w:u w:val="none"/>
                    </w:rPr>
                  </w:pPr>
                  <w:r>
                    <w:rPr>
                      <w:rFonts w:hint="eastAsia"/>
                      <w:kern w:val="0"/>
                      <w:szCs w:val="21"/>
                      <w:u w:val="none"/>
                    </w:rPr>
                    <w:t>符合</w:t>
                  </w:r>
                </w:p>
              </w:tc>
            </w:tr>
            <w:tr w14:paraId="632F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BF021D2">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3C013DCE">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2.</w:t>
                  </w:r>
                  <w:r>
                    <w:rPr>
                      <w:rFonts w:ascii="Times New Roman" w:hAnsi="Times New Roman"/>
                      <w:u w:val="none"/>
                      <w:lang w:bidi="ar"/>
                    </w:rPr>
                    <w:t>选择涉重涉危企业、化工园区、集中式饮用水水源地等重要区域开展突发环境事件风险、环境健康风险评估，实施分类分级风险管控。</w:t>
                  </w:r>
                </w:p>
              </w:tc>
              <w:tc>
                <w:tcPr>
                  <w:tcW w:w="1871" w:type="dxa"/>
                  <w:tcBorders>
                    <w:top w:val="single" w:color="auto" w:sz="4" w:space="0"/>
                    <w:left w:val="nil"/>
                    <w:bottom w:val="single" w:color="auto" w:sz="4" w:space="0"/>
                    <w:right w:val="single" w:color="auto" w:sz="4" w:space="0"/>
                  </w:tcBorders>
                  <w:vAlign w:val="center"/>
                </w:tcPr>
                <w:p w14:paraId="4C942ADD">
                  <w:pPr>
                    <w:widowControl/>
                    <w:adjustRightInd w:val="0"/>
                    <w:snapToGrid w:val="0"/>
                    <w:textAlignment w:val="center"/>
                    <w:rPr>
                      <w:kern w:val="0"/>
                      <w:szCs w:val="21"/>
                      <w:u w:val="none"/>
                    </w:rPr>
                  </w:pPr>
                  <w:r>
                    <w:rPr>
                      <w:rFonts w:hint="eastAsia"/>
                      <w:kern w:val="0"/>
                      <w:szCs w:val="21"/>
                      <w:u w:val="none"/>
                    </w:rPr>
                    <w:t>本项目建成后不需要调整应急预案。广西华谊能源化工有限公司已制定全厂突发环境事件应急预案并备案。</w:t>
                  </w:r>
                </w:p>
              </w:tc>
              <w:tc>
                <w:tcPr>
                  <w:tcW w:w="578" w:type="dxa"/>
                  <w:tcBorders>
                    <w:top w:val="single" w:color="auto" w:sz="4" w:space="0"/>
                    <w:left w:val="nil"/>
                    <w:bottom w:val="single" w:color="auto" w:sz="4" w:space="0"/>
                    <w:right w:val="single" w:color="auto" w:sz="4" w:space="0"/>
                  </w:tcBorders>
                  <w:vAlign w:val="center"/>
                </w:tcPr>
                <w:p w14:paraId="4AE1817E">
                  <w:pPr>
                    <w:widowControl/>
                    <w:adjustRightInd w:val="0"/>
                    <w:snapToGrid w:val="0"/>
                    <w:jc w:val="center"/>
                    <w:textAlignment w:val="center"/>
                    <w:rPr>
                      <w:kern w:val="0"/>
                      <w:szCs w:val="21"/>
                      <w:u w:val="none"/>
                    </w:rPr>
                  </w:pPr>
                  <w:r>
                    <w:rPr>
                      <w:rFonts w:hint="eastAsia"/>
                      <w:kern w:val="0"/>
                      <w:szCs w:val="21"/>
                      <w:u w:val="none"/>
                    </w:rPr>
                    <w:t>符合</w:t>
                  </w:r>
                </w:p>
              </w:tc>
            </w:tr>
            <w:tr w14:paraId="5104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35004C95">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A4AE2F4">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3.</w:t>
                  </w:r>
                  <w:r>
                    <w:rPr>
                      <w:rFonts w:ascii="Times New Roman" w:hAnsi="Times New Roman"/>
                      <w:u w:val="none"/>
                      <w:lang w:bidi="ar"/>
                    </w:rPr>
                    <w:t>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tc>
              <w:tc>
                <w:tcPr>
                  <w:tcW w:w="1871" w:type="dxa"/>
                  <w:tcBorders>
                    <w:top w:val="single" w:color="auto" w:sz="4" w:space="0"/>
                    <w:left w:val="nil"/>
                    <w:bottom w:val="single" w:color="auto" w:sz="4" w:space="0"/>
                    <w:right w:val="single" w:color="auto" w:sz="4" w:space="0"/>
                  </w:tcBorders>
                  <w:vAlign w:val="center"/>
                </w:tcPr>
                <w:p w14:paraId="6ABBC9A6">
                  <w:pPr>
                    <w:widowControl/>
                    <w:adjustRightInd w:val="0"/>
                    <w:snapToGrid w:val="0"/>
                    <w:textAlignment w:val="center"/>
                    <w:rPr>
                      <w:kern w:val="0"/>
                      <w:szCs w:val="21"/>
                      <w:u w:val="none"/>
                    </w:rPr>
                  </w:pPr>
                  <w:r>
                    <w:rPr>
                      <w:rFonts w:hint="eastAsia"/>
                      <w:kern w:val="0"/>
                      <w:szCs w:val="21"/>
                      <w:u w:val="none"/>
                    </w:rPr>
                    <w:t>本项目不在饮用水水源保护区范围，周边无饮用水水源保护区。</w:t>
                  </w:r>
                </w:p>
              </w:tc>
              <w:tc>
                <w:tcPr>
                  <w:tcW w:w="578" w:type="dxa"/>
                  <w:tcBorders>
                    <w:top w:val="single" w:color="auto" w:sz="4" w:space="0"/>
                    <w:left w:val="nil"/>
                    <w:bottom w:val="single" w:color="auto" w:sz="4" w:space="0"/>
                    <w:right w:val="single" w:color="auto" w:sz="4" w:space="0"/>
                  </w:tcBorders>
                  <w:vAlign w:val="center"/>
                </w:tcPr>
                <w:p w14:paraId="07AAEAF2">
                  <w:pPr>
                    <w:widowControl/>
                    <w:adjustRightInd w:val="0"/>
                    <w:snapToGrid w:val="0"/>
                    <w:jc w:val="center"/>
                    <w:textAlignment w:val="center"/>
                    <w:rPr>
                      <w:kern w:val="0"/>
                      <w:szCs w:val="21"/>
                      <w:u w:val="none"/>
                    </w:rPr>
                  </w:pPr>
                  <w:r>
                    <w:rPr>
                      <w:rFonts w:hint="eastAsia"/>
                      <w:kern w:val="0"/>
                      <w:szCs w:val="21"/>
                      <w:u w:val="none"/>
                    </w:rPr>
                    <w:t>—</w:t>
                  </w:r>
                </w:p>
              </w:tc>
            </w:tr>
            <w:tr w14:paraId="0239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87E0954">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337194CB">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4.</w:t>
                  </w:r>
                  <w:r>
                    <w:rPr>
                      <w:rFonts w:ascii="Times New Roman" w:hAnsi="Times New Roman"/>
                      <w:u w:val="none"/>
                      <w:lang w:bidi="ar"/>
                    </w:rPr>
                    <w:t>严格建设项目环境准入，永久基本农田集中区域禁止规划新建可能造成土壤污染的建设项目；新（改、扩）建涉有毒有害物质可能造成土壤污染的建设项目，提出并落实污染防治要求。</w:t>
                  </w:r>
                </w:p>
              </w:tc>
              <w:tc>
                <w:tcPr>
                  <w:tcW w:w="1871" w:type="dxa"/>
                  <w:tcBorders>
                    <w:top w:val="single" w:color="auto" w:sz="4" w:space="0"/>
                    <w:left w:val="nil"/>
                    <w:bottom w:val="single" w:color="auto" w:sz="4" w:space="0"/>
                    <w:right w:val="single" w:color="auto" w:sz="4" w:space="0"/>
                  </w:tcBorders>
                  <w:vAlign w:val="center"/>
                </w:tcPr>
                <w:p w14:paraId="70DDC313">
                  <w:pPr>
                    <w:widowControl/>
                    <w:adjustRightInd w:val="0"/>
                    <w:snapToGrid w:val="0"/>
                    <w:textAlignment w:val="center"/>
                    <w:rPr>
                      <w:kern w:val="0"/>
                      <w:szCs w:val="21"/>
                      <w:u w:val="none"/>
                    </w:rPr>
                  </w:pPr>
                  <w:r>
                    <w:rPr>
                      <w:rFonts w:hint="eastAsia"/>
                      <w:kern w:val="0"/>
                      <w:szCs w:val="21"/>
                      <w:u w:val="none"/>
                    </w:rPr>
                    <w:t>项目不占用基本农田，不涉及有毒有害物质排放。</w:t>
                  </w:r>
                </w:p>
              </w:tc>
              <w:tc>
                <w:tcPr>
                  <w:tcW w:w="578" w:type="dxa"/>
                  <w:tcBorders>
                    <w:top w:val="single" w:color="auto" w:sz="4" w:space="0"/>
                    <w:left w:val="nil"/>
                    <w:bottom w:val="single" w:color="auto" w:sz="4" w:space="0"/>
                    <w:right w:val="single" w:color="auto" w:sz="4" w:space="0"/>
                  </w:tcBorders>
                  <w:vAlign w:val="center"/>
                </w:tcPr>
                <w:p w14:paraId="260AF220">
                  <w:pPr>
                    <w:widowControl/>
                    <w:adjustRightInd w:val="0"/>
                    <w:snapToGrid w:val="0"/>
                    <w:jc w:val="center"/>
                    <w:textAlignment w:val="center"/>
                    <w:rPr>
                      <w:kern w:val="0"/>
                      <w:szCs w:val="21"/>
                      <w:u w:val="none"/>
                    </w:rPr>
                  </w:pPr>
                  <w:r>
                    <w:rPr>
                      <w:rFonts w:hint="eastAsia"/>
                      <w:kern w:val="0"/>
                      <w:szCs w:val="21"/>
                      <w:u w:val="none"/>
                    </w:rPr>
                    <w:t>—</w:t>
                  </w:r>
                </w:p>
              </w:tc>
            </w:tr>
            <w:tr w14:paraId="7D01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7C71F74E">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346177A">
                  <w:pPr>
                    <w:pStyle w:val="76"/>
                    <w:spacing w:line="240" w:lineRule="auto"/>
                    <w:ind w:firstLine="0" w:firstLineChars="0"/>
                    <w:rPr>
                      <w:rFonts w:ascii="Times New Roman" w:hAnsi="Times New Roman"/>
                      <w:u w:val="none"/>
                      <w:lang w:bidi="ar"/>
                    </w:rPr>
                  </w:pPr>
                  <w:r>
                    <w:rPr>
                      <w:rFonts w:hint="eastAsia" w:ascii="Times New Roman" w:hAnsi="Times New Roman"/>
                      <w:u w:val="none"/>
                      <w:lang w:bidi="ar"/>
                    </w:rPr>
                    <w:t>5.</w:t>
                  </w:r>
                  <w:r>
                    <w:rPr>
                      <w:rFonts w:ascii="Times New Roman" w:hAnsi="Times New Roman"/>
                      <w:u w:val="none"/>
                      <w:lang w:bidi="ar"/>
                    </w:rPr>
                    <w:t>强化全域矿产资源开发监管，建立矿石生态环境动态监测网络，禁止矿山废水、废气、废渣的无序排放。</w:t>
                  </w:r>
                </w:p>
              </w:tc>
              <w:tc>
                <w:tcPr>
                  <w:tcW w:w="1871" w:type="dxa"/>
                  <w:tcBorders>
                    <w:top w:val="single" w:color="auto" w:sz="4" w:space="0"/>
                    <w:left w:val="nil"/>
                    <w:bottom w:val="single" w:color="auto" w:sz="4" w:space="0"/>
                    <w:right w:val="single" w:color="auto" w:sz="4" w:space="0"/>
                  </w:tcBorders>
                  <w:vAlign w:val="center"/>
                </w:tcPr>
                <w:p w14:paraId="3E905131">
                  <w:pPr>
                    <w:widowControl/>
                    <w:adjustRightInd w:val="0"/>
                    <w:snapToGrid w:val="0"/>
                    <w:textAlignment w:val="center"/>
                    <w:rPr>
                      <w:kern w:val="0"/>
                      <w:szCs w:val="21"/>
                      <w:u w:val="none"/>
                    </w:rPr>
                  </w:pPr>
                  <w:r>
                    <w:rPr>
                      <w:rFonts w:hint="eastAsia"/>
                      <w:kern w:val="0"/>
                      <w:szCs w:val="21"/>
                      <w:u w:val="none"/>
                    </w:rPr>
                    <w:t>项目不涉及矿产资源开发。</w:t>
                  </w:r>
                </w:p>
              </w:tc>
              <w:tc>
                <w:tcPr>
                  <w:tcW w:w="578" w:type="dxa"/>
                  <w:tcBorders>
                    <w:top w:val="single" w:color="auto" w:sz="4" w:space="0"/>
                    <w:left w:val="nil"/>
                    <w:bottom w:val="single" w:color="auto" w:sz="4" w:space="0"/>
                    <w:right w:val="single" w:color="auto" w:sz="4" w:space="0"/>
                  </w:tcBorders>
                  <w:vAlign w:val="center"/>
                </w:tcPr>
                <w:p w14:paraId="5839E22A">
                  <w:pPr>
                    <w:widowControl/>
                    <w:adjustRightInd w:val="0"/>
                    <w:snapToGrid w:val="0"/>
                    <w:jc w:val="center"/>
                    <w:textAlignment w:val="center"/>
                    <w:rPr>
                      <w:kern w:val="0"/>
                      <w:szCs w:val="21"/>
                      <w:u w:val="none"/>
                    </w:rPr>
                  </w:pPr>
                  <w:r>
                    <w:rPr>
                      <w:rFonts w:hint="eastAsia"/>
                      <w:kern w:val="0"/>
                      <w:szCs w:val="21"/>
                      <w:u w:val="none"/>
                    </w:rPr>
                    <w:t>—</w:t>
                  </w:r>
                </w:p>
              </w:tc>
            </w:tr>
            <w:tr w14:paraId="191F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FF7DF51">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42249514">
                  <w:pPr>
                    <w:adjustRightInd w:val="0"/>
                    <w:snapToGrid w:val="0"/>
                    <w:rPr>
                      <w:kern w:val="0"/>
                      <w:szCs w:val="21"/>
                      <w:u w:val="none"/>
                    </w:rPr>
                  </w:pPr>
                  <w:r>
                    <w:rPr>
                      <w:rFonts w:hint="eastAsia"/>
                      <w:kern w:val="0"/>
                      <w:szCs w:val="21"/>
                      <w:u w:val="none"/>
                    </w:rPr>
                    <w:t>6.</w:t>
                  </w:r>
                  <w:r>
                    <w:rPr>
                      <w:kern w:val="0"/>
                      <w:szCs w:val="21"/>
                      <w:u w:val="none"/>
                    </w:rPr>
                    <w:t>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871" w:type="dxa"/>
                  <w:tcBorders>
                    <w:top w:val="single" w:color="auto" w:sz="4" w:space="0"/>
                    <w:left w:val="nil"/>
                    <w:bottom w:val="single" w:color="auto" w:sz="4" w:space="0"/>
                    <w:right w:val="single" w:color="auto" w:sz="4" w:space="0"/>
                  </w:tcBorders>
                  <w:vAlign w:val="center"/>
                </w:tcPr>
                <w:p w14:paraId="3950EC8E">
                  <w:pPr>
                    <w:widowControl/>
                    <w:adjustRightInd w:val="0"/>
                    <w:snapToGrid w:val="0"/>
                    <w:textAlignment w:val="center"/>
                    <w:rPr>
                      <w:kern w:val="0"/>
                      <w:szCs w:val="21"/>
                      <w:u w:val="none"/>
                    </w:rPr>
                  </w:pPr>
                  <w:r>
                    <w:rPr>
                      <w:rFonts w:hint="eastAsia"/>
                      <w:kern w:val="0"/>
                      <w:szCs w:val="21"/>
                      <w:u w:val="none"/>
                    </w:rPr>
                    <w:t>本项目建成后不需要调整应急预案。广西华谊能源化工有限公司已制定全厂突发环境事件应急预案并备案。</w:t>
                  </w:r>
                </w:p>
              </w:tc>
              <w:tc>
                <w:tcPr>
                  <w:tcW w:w="578" w:type="dxa"/>
                  <w:tcBorders>
                    <w:top w:val="single" w:color="auto" w:sz="4" w:space="0"/>
                    <w:left w:val="nil"/>
                    <w:bottom w:val="single" w:color="auto" w:sz="4" w:space="0"/>
                    <w:right w:val="single" w:color="auto" w:sz="4" w:space="0"/>
                  </w:tcBorders>
                  <w:vAlign w:val="center"/>
                </w:tcPr>
                <w:p w14:paraId="3F0805F2">
                  <w:pPr>
                    <w:widowControl/>
                    <w:adjustRightInd w:val="0"/>
                    <w:snapToGrid w:val="0"/>
                    <w:jc w:val="center"/>
                    <w:textAlignment w:val="center"/>
                    <w:rPr>
                      <w:kern w:val="0"/>
                      <w:szCs w:val="21"/>
                      <w:u w:val="none"/>
                    </w:rPr>
                  </w:pPr>
                  <w:r>
                    <w:rPr>
                      <w:rFonts w:hint="eastAsia"/>
                      <w:kern w:val="0"/>
                      <w:szCs w:val="21"/>
                      <w:u w:val="none"/>
                    </w:rPr>
                    <w:t>符合</w:t>
                  </w:r>
                </w:p>
              </w:tc>
            </w:tr>
            <w:tr w14:paraId="2F07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259D3ED8">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81BA96C">
                  <w:pPr>
                    <w:adjustRightInd w:val="0"/>
                    <w:snapToGrid w:val="0"/>
                    <w:rPr>
                      <w:kern w:val="0"/>
                      <w:szCs w:val="21"/>
                      <w:u w:val="none"/>
                    </w:rPr>
                  </w:pPr>
                  <w:r>
                    <w:rPr>
                      <w:rFonts w:hint="eastAsia"/>
                      <w:kern w:val="0"/>
                      <w:szCs w:val="21"/>
                      <w:u w:val="none"/>
                    </w:rPr>
                    <w:t>7.</w:t>
                  </w:r>
                  <w:r>
                    <w:rPr>
                      <w:kern w:val="0"/>
                      <w:szCs w:val="21"/>
                      <w:u w:val="none"/>
                    </w:rPr>
                    <w:t>强化沿海工业园区和沿海石油、石化、化工、冶炼及危化品储运等企业的环境风险防控，加强企业和园区环境应急物资储备。</w:t>
                  </w:r>
                </w:p>
              </w:tc>
              <w:tc>
                <w:tcPr>
                  <w:tcW w:w="1871" w:type="dxa"/>
                  <w:tcBorders>
                    <w:top w:val="single" w:color="auto" w:sz="4" w:space="0"/>
                    <w:left w:val="nil"/>
                    <w:bottom w:val="single" w:color="auto" w:sz="4" w:space="0"/>
                    <w:right w:val="single" w:color="auto" w:sz="4" w:space="0"/>
                  </w:tcBorders>
                  <w:vAlign w:val="center"/>
                </w:tcPr>
                <w:p w14:paraId="15D37866">
                  <w:pPr>
                    <w:widowControl/>
                    <w:adjustRightInd w:val="0"/>
                    <w:snapToGrid w:val="0"/>
                    <w:textAlignment w:val="center"/>
                    <w:rPr>
                      <w:kern w:val="0"/>
                      <w:szCs w:val="21"/>
                      <w:u w:val="none"/>
                    </w:rPr>
                  </w:pPr>
                  <w:r>
                    <w:rPr>
                      <w:rFonts w:hint="eastAsia"/>
                      <w:kern w:val="0"/>
                      <w:szCs w:val="21"/>
                      <w:u w:val="none"/>
                    </w:rPr>
                    <w:t>本项目建成后不需要调整应急预案。广西华谊能源化工有限公司已制定全厂突发环境事件应急预案并备案，厂区内已配备</w:t>
                  </w:r>
                  <w:r>
                    <w:rPr>
                      <w:rFonts w:hint="eastAsia"/>
                      <w:kern w:val="0"/>
                      <w:szCs w:val="21"/>
                      <w:u w:val="none"/>
                      <w:lang w:val="en-US" w:eastAsia="zh-CN"/>
                    </w:rPr>
                    <w:t>相应的</w:t>
                  </w:r>
                  <w:r>
                    <w:rPr>
                      <w:rFonts w:hint="eastAsia"/>
                      <w:kern w:val="0"/>
                      <w:szCs w:val="21"/>
                      <w:u w:val="none"/>
                    </w:rPr>
                    <w:t>应急物资。</w:t>
                  </w:r>
                </w:p>
              </w:tc>
              <w:tc>
                <w:tcPr>
                  <w:tcW w:w="578" w:type="dxa"/>
                  <w:tcBorders>
                    <w:top w:val="single" w:color="auto" w:sz="4" w:space="0"/>
                    <w:left w:val="nil"/>
                    <w:bottom w:val="single" w:color="auto" w:sz="4" w:space="0"/>
                    <w:right w:val="single" w:color="auto" w:sz="4" w:space="0"/>
                  </w:tcBorders>
                  <w:vAlign w:val="center"/>
                </w:tcPr>
                <w:p w14:paraId="4BDC9DC8">
                  <w:pPr>
                    <w:widowControl/>
                    <w:adjustRightInd w:val="0"/>
                    <w:snapToGrid w:val="0"/>
                    <w:jc w:val="center"/>
                    <w:textAlignment w:val="center"/>
                    <w:rPr>
                      <w:kern w:val="0"/>
                      <w:szCs w:val="21"/>
                      <w:u w:val="none"/>
                    </w:rPr>
                  </w:pPr>
                  <w:r>
                    <w:rPr>
                      <w:rFonts w:hint="eastAsia"/>
                      <w:kern w:val="0"/>
                      <w:szCs w:val="21"/>
                      <w:u w:val="none"/>
                    </w:rPr>
                    <w:t>符合</w:t>
                  </w:r>
                </w:p>
              </w:tc>
            </w:tr>
            <w:tr w14:paraId="2A06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7BCA0883">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6CB652C9">
                  <w:pPr>
                    <w:adjustRightInd w:val="0"/>
                    <w:snapToGrid w:val="0"/>
                    <w:rPr>
                      <w:rFonts w:hint="eastAsia"/>
                      <w:kern w:val="0"/>
                      <w:szCs w:val="21"/>
                      <w:u w:val="none"/>
                    </w:rPr>
                  </w:pPr>
                  <w:r>
                    <w:rPr>
                      <w:rFonts w:hint="eastAsia"/>
                      <w:kern w:val="0"/>
                      <w:szCs w:val="21"/>
                      <w:u w:val="none"/>
                    </w:rPr>
                    <w:t>8.</w:t>
                  </w:r>
                  <w:r>
                    <w:rPr>
                      <w:rFonts w:hint="eastAsia"/>
                      <w:u w:val="none"/>
                    </w:rPr>
                    <w:t xml:space="preserve"> </w:t>
                  </w:r>
                  <w:r>
                    <w:rPr>
                      <w:rFonts w:hint="eastAsia"/>
                      <w:kern w:val="0"/>
                      <w:szCs w:val="21"/>
                      <w:u w:val="none"/>
                    </w:rPr>
                    <w:t>加强海洋生态灾害应急体系建设，强化海水浴场、电厂取排水口等海洋生态灾害高风险区域的联防联控。</w:t>
                  </w:r>
                </w:p>
              </w:tc>
              <w:tc>
                <w:tcPr>
                  <w:tcW w:w="1871" w:type="dxa"/>
                  <w:tcBorders>
                    <w:top w:val="single" w:color="auto" w:sz="4" w:space="0"/>
                    <w:left w:val="nil"/>
                    <w:bottom w:val="single" w:color="auto" w:sz="4" w:space="0"/>
                    <w:right w:val="single" w:color="auto" w:sz="4" w:space="0"/>
                  </w:tcBorders>
                  <w:vAlign w:val="center"/>
                </w:tcPr>
                <w:p w14:paraId="7C03F375">
                  <w:pPr>
                    <w:widowControl/>
                    <w:adjustRightInd w:val="0"/>
                    <w:snapToGrid w:val="0"/>
                    <w:textAlignment w:val="center"/>
                    <w:rPr>
                      <w:rFonts w:hint="eastAsia"/>
                      <w:kern w:val="0"/>
                      <w:szCs w:val="21"/>
                      <w:u w:val="none"/>
                    </w:rPr>
                  </w:pPr>
                  <w:r>
                    <w:rPr>
                      <w:rFonts w:hint="eastAsia"/>
                      <w:kern w:val="0"/>
                      <w:szCs w:val="21"/>
                      <w:u w:val="none"/>
                    </w:rPr>
                    <w:t>项目废水不直排海洋。</w:t>
                  </w:r>
                </w:p>
              </w:tc>
              <w:tc>
                <w:tcPr>
                  <w:tcW w:w="578" w:type="dxa"/>
                  <w:tcBorders>
                    <w:top w:val="single" w:color="auto" w:sz="4" w:space="0"/>
                    <w:left w:val="nil"/>
                    <w:bottom w:val="single" w:color="auto" w:sz="4" w:space="0"/>
                    <w:right w:val="single" w:color="auto" w:sz="4" w:space="0"/>
                  </w:tcBorders>
                  <w:vAlign w:val="center"/>
                </w:tcPr>
                <w:p w14:paraId="2CA2D863">
                  <w:pPr>
                    <w:widowControl/>
                    <w:adjustRightInd w:val="0"/>
                    <w:snapToGrid w:val="0"/>
                    <w:jc w:val="center"/>
                    <w:textAlignment w:val="center"/>
                    <w:rPr>
                      <w:rFonts w:hint="eastAsia"/>
                      <w:kern w:val="0"/>
                      <w:szCs w:val="21"/>
                      <w:u w:val="none"/>
                    </w:rPr>
                  </w:pPr>
                  <w:r>
                    <w:rPr>
                      <w:rFonts w:hint="eastAsia"/>
                      <w:kern w:val="0"/>
                      <w:szCs w:val="21"/>
                      <w:u w:val="none"/>
                    </w:rPr>
                    <w:t>符合</w:t>
                  </w:r>
                </w:p>
              </w:tc>
            </w:tr>
            <w:tr w14:paraId="297D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bottom w:val="single" w:color="auto" w:sz="4" w:space="0"/>
                    <w:right w:val="single" w:color="auto" w:sz="4" w:space="0"/>
                  </w:tcBorders>
                  <w:vAlign w:val="center"/>
                </w:tcPr>
                <w:p w14:paraId="597F1505">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442A0274">
                  <w:pPr>
                    <w:adjustRightInd w:val="0"/>
                    <w:snapToGrid w:val="0"/>
                    <w:rPr>
                      <w:kern w:val="0"/>
                      <w:szCs w:val="21"/>
                      <w:u w:val="none"/>
                    </w:rPr>
                  </w:pPr>
                  <w:r>
                    <w:rPr>
                      <w:rFonts w:hint="eastAsia"/>
                      <w:kern w:val="0"/>
                      <w:szCs w:val="21"/>
                      <w:u w:val="none"/>
                    </w:rPr>
                    <w:t>9.</w:t>
                  </w:r>
                  <w:r>
                    <w:rPr>
                      <w:kern w:val="0"/>
                      <w:szCs w:val="21"/>
                      <w:u w:val="none"/>
                      <w:lang w:bidi="ar"/>
                    </w:rPr>
                    <w:t>加强倾倒区使用状况监督管理工作，做好废弃物向海洋倾倒活动的风险管控。</w:t>
                  </w:r>
                </w:p>
              </w:tc>
              <w:tc>
                <w:tcPr>
                  <w:tcW w:w="1871" w:type="dxa"/>
                  <w:tcBorders>
                    <w:top w:val="single" w:color="auto" w:sz="4" w:space="0"/>
                    <w:left w:val="nil"/>
                    <w:bottom w:val="single" w:color="auto" w:sz="4" w:space="0"/>
                    <w:right w:val="single" w:color="auto" w:sz="4" w:space="0"/>
                  </w:tcBorders>
                  <w:vAlign w:val="center"/>
                </w:tcPr>
                <w:p w14:paraId="34463EC5">
                  <w:pPr>
                    <w:widowControl/>
                    <w:adjustRightInd w:val="0"/>
                    <w:snapToGrid w:val="0"/>
                    <w:textAlignment w:val="center"/>
                    <w:rPr>
                      <w:kern w:val="0"/>
                      <w:szCs w:val="21"/>
                      <w:u w:val="none"/>
                    </w:rPr>
                  </w:pPr>
                  <w:r>
                    <w:rPr>
                      <w:rFonts w:hint="eastAsia"/>
                      <w:kern w:val="0"/>
                      <w:szCs w:val="21"/>
                      <w:u w:val="none"/>
                    </w:rPr>
                    <w:t>本项目不向</w:t>
                  </w:r>
                  <w:r>
                    <w:rPr>
                      <w:rFonts w:hint="eastAsia"/>
                      <w:kern w:val="0"/>
                      <w:szCs w:val="21"/>
                      <w:u w:val="none"/>
                      <w:lang w:bidi="ar"/>
                    </w:rPr>
                    <w:t>海洋倾倒污染物。</w:t>
                  </w:r>
                </w:p>
              </w:tc>
              <w:tc>
                <w:tcPr>
                  <w:tcW w:w="578" w:type="dxa"/>
                  <w:tcBorders>
                    <w:top w:val="single" w:color="auto" w:sz="4" w:space="0"/>
                    <w:left w:val="nil"/>
                    <w:bottom w:val="single" w:color="auto" w:sz="4" w:space="0"/>
                    <w:right w:val="single" w:color="auto" w:sz="4" w:space="0"/>
                  </w:tcBorders>
                  <w:vAlign w:val="center"/>
                </w:tcPr>
                <w:p w14:paraId="6581E273">
                  <w:pPr>
                    <w:widowControl/>
                    <w:adjustRightInd w:val="0"/>
                    <w:snapToGrid w:val="0"/>
                    <w:jc w:val="center"/>
                    <w:textAlignment w:val="center"/>
                    <w:rPr>
                      <w:kern w:val="0"/>
                      <w:szCs w:val="21"/>
                      <w:u w:val="none"/>
                    </w:rPr>
                  </w:pPr>
                  <w:r>
                    <w:rPr>
                      <w:rFonts w:hint="eastAsia"/>
                      <w:kern w:val="0"/>
                      <w:szCs w:val="21"/>
                      <w:u w:val="none"/>
                    </w:rPr>
                    <w:t>符合</w:t>
                  </w:r>
                </w:p>
              </w:tc>
            </w:tr>
            <w:tr w14:paraId="1B0B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nil"/>
                    <w:left w:val="single" w:color="auto" w:sz="4" w:space="0"/>
                    <w:right w:val="single" w:color="auto" w:sz="4" w:space="0"/>
                  </w:tcBorders>
                  <w:vAlign w:val="center"/>
                </w:tcPr>
                <w:p w14:paraId="073C6086">
                  <w:pPr>
                    <w:adjustRightInd w:val="0"/>
                    <w:snapToGrid w:val="0"/>
                    <w:jc w:val="center"/>
                    <w:rPr>
                      <w:kern w:val="0"/>
                      <w:szCs w:val="21"/>
                      <w:u w:val="none"/>
                    </w:rPr>
                  </w:pPr>
                  <w:r>
                    <w:rPr>
                      <w:kern w:val="0"/>
                      <w:szCs w:val="21"/>
                      <w:u w:val="none"/>
                    </w:rPr>
                    <w:t>资源开发利用效率要求</w:t>
                  </w:r>
                </w:p>
              </w:tc>
              <w:tc>
                <w:tcPr>
                  <w:tcW w:w="3575" w:type="dxa"/>
                  <w:tcBorders>
                    <w:top w:val="single" w:color="auto" w:sz="4" w:space="0"/>
                    <w:left w:val="nil"/>
                    <w:bottom w:val="single" w:color="auto" w:sz="4" w:space="0"/>
                    <w:right w:val="single" w:color="auto" w:sz="4" w:space="0"/>
                  </w:tcBorders>
                  <w:vAlign w:val="center"/>
                </w:tcPr>
                <w:p w14:paraId="4CCEA26B">
                  <w:pPr>
                    <w:adjustRightInd w:val="0"/>
                    <w:snapToGrid w:val="0"/>
                    <w:rPr>
                      <w:kern w:val="0"/>
                      <w:szCs w:val="21"/>
                      <w:u w:val="none"/>
                    </w:rPr>
                  </w:pPr>
                  <w:r>
                    <w:rPr>
                      <w:rFonts w:hint="eastAsia"/>
                      <w:kern w:val="0"/>
                      <w:szCs w:val="21"/>
                      <w:u w:val="none"/>
                      <w:lang w:bidi="ar"/>
                    </w:rPr>
                    <w:t>1.</w:t>
                  </w:r>
                  <w:r>
                    <w:rPr>
                      <w:kern w:val="0"/>
                      <w:szCs w:val="21"/>
                      <w:u w:val="none"/>
                      <w:lang w:bidi="ar"/>
                    </w:rPr>
                    <w:t>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871" w:type="dxa"/>
                  <w:tcBorders>
                    <w:top w:val="single" w:color="auto" w:sz="4" w:space="0"/>
                    <w:left w:val="nil"/>
                    <w:bottom w:val="single" w:color="auto" w:sz="4" w:space="0"/>
                    <w:right w:val="single" w:color="auto" w:sz="4" w:space="0"/>
                  </w:tcBorders>
                  <w:vAlign w:val="center"/>
                </w:tcPr>
                <w:p w14:paraId="6456A8A5">
                  <w:pPr>
                    <w:widowControl/>
                    <w:adjustRightInd w:val="0"/>
                    <w:snapToGrid w:val="0"/>
                    <w:textAlignment w:val="center"/>
                    <w:rPr>
                      <w:kern w:val="0"/>
                      <w:szCs w:val="21"/>
                      <w:u w:val="none"/>
                    </w:rPr>
                  </w:pPr>
                  <w:r>
                    <w:rPr>
                      <w:rFonts w:hint="eastAsia"/>
                      <w:kern w:val="0"/>
                      <w:szCs w:val="21"/>
                      <w:u w:val="none"/>
                    </w:rPr>
                    <w:t>本项目不涉及海洋石油勘探，项目运营过程消耗少量的电能。</w:t>
                  </w:r>
                </w:p>
              </w:tc>
              <w:tc>
                <w:tcPr>
                  <w:tcW w:w="578" w:type="dxa"/>
                  <w:tcBorders>
                    <w:top w:val="single" w:color="auto" w:sz="4" w:space="0"/>
                    <w:left w:val="nil"/>
                    <w:bottom w:val="single" w:color="auto" w:sz="4" w:space="0"/>
                    <w:right w:val="single" w:color="auto" w:sz="4" w:space="0"/>
                  </w:tcBorders>
                  <w:vAlign w:val="center"/>
                </w:tcPr>
                <w:p w14:paraId="528DA05E">
                  <w:pPr>
                    <w:widowControl/>
                    <w:adjustRightInd w:val="0"/>
                    <w:snapToGrid w:val="0"/>
                    <w:jc w:val="center"/>
                    <w:textAlignment w:val="center"/>
                    <w:rPr>
                      <w:kern w:val="0"/>
                      <w:szCs w:val="21"/>
                      <w:u w:val="none"/>
                    </w:rPr>
                  </w:pPr>
                  <w:r>
                    <w:rPr>
                      <w:rFonts w:hint="eastAsia"/>
                      <w:kern w:val="0"/>
                      <w:szCs w:val="21"/>
                      <w:u w:val="none"/>
                    </w:rPr>
                    <w:t>符合</w:t>
                  </w:r>
                </w:p>
              </w:tc>
            </w:tr>
            <w:tr w14:paraId="2F5F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013186B2">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7985DA4">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2.</w:t>
                  </w:r>
                  <w:r>
                    <w:rPr>
                      <w:rFonts w:ascii="Times New Roman" w:hAnsi="Times New Roman"/>
                      <w:u w:val="none"/>
                      <w:lang w:bidi="ar"/>
                    </w:rPr>
                    <w:t>土地资源：严格执行自治区下达的土地资源利用总量及效率管控指标要求。突出节约集约用海原则，合理控制规模，优化空间布局，提高海域空间资源的整体使用效能。</w:t>
                  </w:r>
                </w:p>
              </w:tc>
              <w:tc>
                <w:tcPr>
                  <w:tcW w:w="1871" w:type="dxa"/>
                  <w:tcBorders>
                    <w:top w:val="single" w:color="auto" w:sz="4" w:space="0"/>
                    <w:left w:val="nil"/>
                    <w:bottom w:val="single" w:color="auto" w:sz="4" w:space="0"/>
                    <w:right w:val="single" w:color="auto" w:sz="4" w:space="0"/>
                  </w:tcBorders>
                  <w:vAlign w:val="center"/>
                </w:tcPr>
                <w:p w14:paraId="373AD200">
                  <w:pPr>
                    <w:widowControl/>
                    <w:adjustRightInd w:val="0"/>
                    <w:snapToGrid w:val="0"/>
                    <w:textAlignment w:val="center"/>
                    <w:rPr>
                      <w:kern w:val="0"/>
                      <w:szCs w:val="21"/>
                      <w:u w:val="none"/>
                    </w:rPr>
                  </w:pPr>
                  <w:r>
                    <w:rPr>
                      <w:rFonts w:hint="eastAsia"/>
                      <w:kern w:val="0"/>
                      <w:szCs w:val="21"/>
                      <w:u w:val="none"/>
                    </w:rPr>
                    <w:t>项目用地为</w:t>
                  </w:r>
                  <w:r>
                    <w:rPr>
                      <w:rFonts w:hint="eastAsia"/>
                      <w:kern w:val="0"/>
                      <w:szCs w:val="21"/>
                      <w:u w:val="none"/>
                      <w:lang w:eastAsia="zh-CN"/>
                    </w:rPr>
                    <w:t>工业用地</w:t>
                  </w:r>
                  <w:r>
                    <w:rPr>
                      <w:rFonts w:hint="eastAsia"/>
                      <w:kern w:val="0"/>
                      <w:szCs w:val="21"/>
                      <w:u w:val="none"/>
                    </w:rPr>
                    <w:t>，为园区规划用地。</w:t>
                  </w:r>
                </w:p>
              </w:tc>
              <w:tc>
                <w:tcPr>
                  <w:tcW w:w="578" w:type="dxa"/>
                  <w:tcBorders>
                    <w:top w:val="single" w:color="auto" w:sz="4" w:space="0"/>
                    <w:left w:val="nil"/>
                    <w:bottom w:val="single" w:color="auto" w:sz="4" w:space="0"/>
                    <w:right w:val="single" w:color="auto" w:sz="4" w:space="0"/>
                  </w:tcBorders>
                  <w:vAlign w:val="center"/>
                </w:tcPr>
                <w:p w14:paraId="4D5F7981">
                  <w:pPr>
                    <w:widowControl/>
                    <w:adjustRightInd w:val="0"/>
                    <w:snapToGrid w:val="0"/>
                    <w:jc w:val="center"/>
                    <w:textAlignment w:val="center"/>
                    <w:rPr>
                      <w:kern w:val="0"/>
                      <w:szCs w:val="21"/>
                      <w:u w:val="none"/>
                    </w:rPr>
                  </w:pPr>
                  <w:r>
                    <w:rPr>
                      <w:rFonts w:hint="eastAsia"/>
                      <w:kern w:val="0"/>
                      <w:szCs w:val="21"/>
                      <w:u w:val="none"/>
                    </w:rPr>
                    <w:t>符合</w:t>
                  </w:r>
                </w:p>
              </w:tc>
            </w:tr>
            <w:tr w14:paraId="5463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DCBAD05">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12F71C7E">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3.</w:t>
                  </w:r>
                  <w:r>
                    <w:rPr>
                      <w:rFonts w:ascii="Times New Roman" w:hAnsi="Times New Roman"/>
                      <w:u w:val="none"/>
                      <w:lang w:bidi="ar"/>
                    </w:rPr>
                    <w:t>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871" w:type="dxa"/>
                  <w:tcBorders>
                    <w:top w:val="single" w:color="auto" w:sz="4" w:space="0"/>
                    <w:left w:val="nil"/>
                    <w:bottom w:val="single" w:color="auto" w:sz="4" w:space="0"/>
                    <w:right w:val="single" w:color="auto" w:sz="4" w:space="0"/>
                  </w:tcBorders>
                  <w:vAlign w:val="center"/>
                </w:tcPr>
                <w:p w14:paraId="1DD3D3B1">
                  <w:pPr>
                    <w:widowControl/>
                    <w:adjustRightInd w:val="0"/>
                    <w:snapToGrid w:val="0"/>
                    <w:textAlignment w:val="center"/>
                    <w:rPr>
                      <w:kern w:val="0"/>
                      <w:szCs w:val="21"/>
                      <w:u w:val="none"/>
                    </w:rPr>
                  </w:pPr>
                  <w:r>
                    <w:rPr>
                      <w:rFonts w:hint="eastAsia"/>
                      <w:kern w:val="0"/>
                      <w:szCs w:val="21"/>
                      <w:u w:val="none"/>
                    </w:rPr>
                    <w:t>项目运行过程主要消耗少量电能。</w:t>
                  </w:r>
                </w:p>
              </w:tc>
              <w:tc>
                <w:tcPr>
                  <w:tcW w:w="578" w:type="dxa"/>
                  <w:tcBorders>
                    <w:top w:val="single" w:color="auto" w:sz="4" w:space="0"/>
                    <w:left w:val="nil"/>
                    <w:bottom w:val="single" w:color="auto" w:sz="4" w:space="0"/>
                    <w:right w:val="single" w:color="auto" w:sz="4" w:space="0"/>
                  </w:tcBorders>
                  <w:vAlign w:val="center"/>
                </w:tcPr>
                <w:p w14:paraId="1B423F1D">
                  <w:pPr>
                    <w:widowControl/>
                    <w:adjustRightInd w:val="0"/>
                    <w:snapToGrid w:val="0"/>
                    <w:jc w:val="center"/>
                    <w:textAlignment w:val="center"/>
                    <w:rPr>
                      <w:kern w:val="0"/>
                      <w:szCs w:val="21"/>
                      <w:u w:val="none"/>
                    </w:rPr>
                  </w:pPr>
                  <w:r>
                    <w:rPr>
                      <w:rFonts w:hint="eastAsia"/>
                      <w:kern w:val="0"/>
                      <w:szCs w:val="21"/>
                      <w:u w:val="none"/>
                    </w:rPr>
                    <w:t>符合</w:t>
                  </w:r>
                </w:p>
              </w:tc>
            </w:tr>
            <w:tr w14:paraId="1C05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1DEA035E">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6AB4E0A1">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4.</w:t>
                  </w:r>
                  <w:r>
                    <w:rPr>
                      <w:rFonts w:ascii="Times New Roman" w:hAnsi="Times New Roman"/>
                      <w:u w:val="none"/>
                      <w:lang w:bidi="ar"/>
                    </w:rPr>
                    <w:t>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1871" w:type="dxa"/>
                  <w:tcBorders>
                    <w:top w:val="single" w:color="auto" w:sz="4" w:space="0"/>
                    <w:left w:val="nil"/>
                    <w:bottom w:val="single" w:color="auto" w:sz="4" w:space="0"/>
                    <w:right w:val="single" w:color="auto" w:sz="4" w:space="0"/>
                  </w:tcBorders>
                  <w:vAlign w:val="center"/>
                </w:tcPr>
                <w:p w14:paraId="0F782E98">
                  <w:pPr>
                    <w:widowControl/>
                    <w:adjustRightInd w:val="0"/>
                    <w:snapToGrid w:val="0"/>
                    <w:textAlignment w:val="center"/>
                    <w:rPr>
                      <w:kern w:val="0"/>
                      <w:szCs w:val="21"/>
                      <w:u w:val="none"/>
                    </w:rPr>
                  </w:pPr>
                  <w:r>
                    <w:rPr>
                      <w:rFonts w:hint="eastAsia"/>
                      <w:kern w:val="0"/>
                      <w:szCs w:val="21"/>
                      <w:u w:val="none"/>
                    </w:rPr>
                    <w:t>项目不涉及矿产资源、</w:t>
                  </w:r>
                  <w:r>
                    <w:rPr>
                      <w:rFonts w:hint="eastAsia"/>
                      <w:u w:val="none"/>
                      <w:lang w:bidi="ar"/>
                    </w:rPr>
                    <w:t>海岸线</w:t>
                  </w:r>
                  <w:r>
                    <w:rPr>
                      <w:rFonts w:hint="eastAsia"/>
                      <w:kern w:val="0"/>
                      <w:szCs w:val="21"/>
                      <w:u w:val="none"/>
                    </w:rPr>
                    <w:t>开发利用。</w:t>
                  </w:r>
                </w:p>
              </w:tc>
              <w:tc>
                <w:tcPr>
                  <w:tcW w:w="578" w:type="dxa"/>
                  <w:tcBorders>
                    <w:top w:val="single" w:color="auto" w:sz="4" w:space="0"/>
                    <w:left w:val="nil"/>
                    <w:bottom w:val="single" w:color="auto" w:sz="4" w:space="0"/>
                    <w:right w:val="single" w:color="auto" w:sz="4" w:space="0"/>
                  </w:tcBorders>
                  <w:vAlign w:val="center"/>
                </w:tcPr>
                <w:p w14:paraId="3B6E69C3">
                  <w:pPr>
                    <w:widowControl/>
                    <w:adjustRightInd w:val="0"/>
                    <w:snapToGrid w:val="0"/>
                    <w:jc w:val="center"/>
                    <w:textAlignment w:val="center"/>
                    <w:rPr>
                      <w:kern w:val="0"/>
                      <w:szCs w:val="21"/>
                      <w:u w:val="none"/>
                    </w:rPr>
                  </w:pPr>
                  <w:r>
                    <w:rPr>
                      <w:rFonts w:hint="eastAsia"/>
                      <w:kern w:val="0"/>
                      <w:szCs w:val="21"/>
                      <w:u w:val="none"/>
                    </w:rPr>
                    <w:t>—</w:t>
                  </w:r>
                </w:p>
              </w:tc>
            </w:tr>
            <w:tr w14:paraId="1CCC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416C4475">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72616973">
                  <w:pPr>
                    <w:pStyle w:val="76"/>
                    <w:spacing w:line="240" w:lineRule="auto"/>
                    <w:ind w:firstLine="0" w:firstLineChars="0"/>
                    <w:rPr>
                      <w:rFonts w:ascii="Times New Roman" w:hAnsi="Times New Roman"/>
                      <w:szCs w:val="21"/>
                      <w:u w:val="none"/>
                    </w:rPr>
                  </w:pPr>
                  <w:r>
                    <w:rPr>
                      <w:rFonts w:hint="eastAsia" w:ascii="Times New Roman" w:hAnsi="Times New Roman"/>
                      <w:u w:val="none"/>
                      <w:lang w:bidi="ar"/>
                    </w:rPr>
                    <w:t>5.</w:t>
                  </w:r>
                  <w:r>
                    <w:rPr>
                      <w:rFonts w:ascii="Times New Roman" w:hAnsi="Times New Roman"/>
                      <w:u w:val="none"/>
                      <w:lang w:bidi="ar"/>
                    </w:rPr>
                    <w:t>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871" w:type="dxa"/>
                  <w:tcBorders>
                    <w:top w:val="single" w:color="auto" w:sz="4" w:space="0"/>
                    <w:left w:val="nil"/>
                    <w:bottom w:val="single" w:color="auto" w:sz="4" w:space="0"/>
                    <w:right w:val="single" w:color="auto" w:sz="4" w:space="0"/>
                  </w:tcBorders>
                  <w:vAlign w:val="center"/>
                </w:tcPr>
                <w:p w14:paraId="4B190901">
                  <w:pPr>
                    <w:widowControl/>
                    <w:adjustRightInd w:val="0"/>
                    <w:snapToGrid w:val="0"/>
                    <w:textAlignment w:val="center"/>
                    <w:rPr>
                      <w:kern w:val="0"/>
                      <w:szCs w:val="21"/>
                      <w:u w:val="none"/>
                    </w:rPr>
                  </w:pPr>
                  <w:r>
                    <w:rPr>
                      <w:rFonts w:hint="eastAsia"/>
                      <w:kern w:val="0"/>
                      <w:szCs w:val="21"/>
                      <w:u w:val="none"/>
                    </w:rPr>
                    <w:t>本项目不涉及占用岸线和生态保护红线。</w:t>
                  </w:r>
                </w:p>
              </w:tc>
              <w:tc>
                <w:tcPr>
                  <w:tcW w:w="578" w:type="dxa"/>
                  <w:tcBorders>
                    <w:top w:val="single" w:color="auto" w:sz="4" w:space="0"/>
                    <w:left w:val="nil"/>
                    <w:bottom w:val="single" w:color="auto" w:sz="4" w:space="0"/>
                    <w:right w:val="single" w:color="auto" w:sz="4" w:space="0"/>
                  </w:tcBorders>
                  <w:vAlign w:val="center"/>
                </w:tcPr>
                <w:p w14:paraId="0480D2D8">
                  <w:pPr>
                    <w:widowControl/>
                    <w:adjustRightInd w:val="0"/>
                    <w:snapToGrid w:val="0"/>
                    <w:jc w:val="center"/>
                    <w:textAlignment w:val="center"/>
                    <w:rPr>
                      <w:kern w:val="0"/>
                      <w:szCs w:val="21"/>
                      <w:u w:val="none"/>
                    </w:rPr>
                  </w:pPr>
                  <w:r>
                    <w:rPr>
                      <w:rFonts w:hint="eastAsia"/>
                      <w:kern w:val="0"/>
                      <w:szCs w:val="21"/>
                      <w:u w:val="none"/>
                    </w:rPr>
                    <w:t>—</w:t>
                  </w:r>
                </w:p>
              </w:tc>
            </w:tr>
            <w:tr w14:paraId="798F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left w:val="single" w:color="auto" w:sz="4" w:space="0"/>
                    <w:right w:val="single" w:color="auto" w:sz="4" w:space="0"/>
                  </w:tcBorders>
                  <w:vAlign w:val="center"/>
                </w:tcPr>
                <w:p w14:paraId="546F2DF1">
                  <w:pPr>
                    <w:widowControl/>
                    <w:jc w:val="left"/>
                    <w:rPr>
                      <w:kern w:val="0"/>
                      <w:szCs w:val="21"/>
                      <w:u w:val="none"/>
                    </w:rPr>
                  </w:pPr>
                </w:p>
              </w:tc>
              <w:tc>
                <w:tcPr>
                  <w:tcW w:w="3575" w:type="dxa"/>
                  <w:tcBorders>
                    <w:top w:val="single" w:color="auto" w:sz="4" w:space="0"/>
                    <w:left w:val="nil"/>
                    <w:bottom w:val="single" w:color="auto" w:sz="4" w:space="0"/>
                    <w:right w:val="single" w:color="auto" w:sz="4" w:space="0"/>
                  </w:tcBorders>
                  <w:vAlign w:val="center"/>
                </w:tcPr>
                <w:p w14:paraId="5150CD00">
                  <w:pPr>
                    <w:pStyle w:val="76"/>
                    <w:spacing w:line="240" w:lineRule="auto"/>
                    <w:ind w:firstLine="0" w:firstLineChars="0"/>
                    <w:rPr>
                      <w:rFonts w:ascii="Times New Roman" w:hAnsi="Times New Roman"/>
                      <w:u w:val="none"/>
                      <w:lang w:bidi="ar"/>
                    </w:rPr>
                  </w:pPr>
                  <w:r>
                    <w:rPr>
                      <w:rFonts w:hint="eastAsia" w:ascii="Times New Roman" w:hAnsi="Times New Roman"/>
                      <w:u w:val="none"/>
                      <w:lang w:bidi="ar"/>
                    </w:rPr>
                    <w:t>6.</w:t>
                  </w:r>
                  <w:r>
                    <w:rPr>
                      <w:rFonts w:ascii="Times New Roman" w:hAnsi="Times New Roman"/>
                      <w:u w:val="none"/>
                      <w:lang w:bidi="ar"/>
                    </w:rPr>
                    <w:t>高污染燃料禁燃区：禁止新建、扩建燃用高污染燃料的项目和设施，已经建成的应逐步或依法限期改用天然气、电或其他清洁能源。</w:t>
                  </w:r>
                </w:p>
              </w:tc>
              <w:tc>
                <w:tcPr>
                  <w:tcW w:w="1871" w:type="dxa"/>
                  <w:tcBorders>
                    <w:top w:val="single" w:color="auto" w:sz="4" w:space="0"/>
                    <w:left w:val="nil"/>
                    <w:bottom w:val="single" w:color="auto" w:sz="4" w:space="0"/>
                    <w:right w:val="single" w:color="auto" w:sz="4" w:space="0"/>
                  </w:tcBorders>
                  <w:vAlign w:val="center"/>
                </w:tcPr>
                <w:p w14:paraId="056BBE3A">
                  <w:pPr>
                    <w:widowControl/>
                    <w:adjustRightInd w:val="0"/>
                    <w:snapToGrid w:val="0"/>
                    <w:textAlignment w:val="center"/>
                    <w:rPr>
                      <w:kern w:val="0"/>
                      <w:szCs w:val="21"/>
                      <w:u w:val="none"/>
                    </w:rPr>
                  </w:pPr>
                  <w:r>
                    <w:rPr>
                      <w:rFonts w:hint="eastAsia"/>
                      <w:kern w:val="0"/>
                      <w:szCs w:val="21"/>
                      <w:u w:val="none"/>
                    </w:rPr>
                    <w:t>本项目不属于</w:t>
                  </w:r>
                  <w:r>
                    <w:rPr>
                      <w:rFonts w:hint="eastAsia"/>
                      <w:u w:val="none"/>
                      <w:lang w:bidi="ar"/>
                    </w:rPr>
                    <w:t>燃用高污染燃料的项目。</w:t>
                  </w:r>
                </w:p>
              </w:tc>
              <w:tc>
                <w:tcPr>
                  <w:tcW w:w="578" w:type="dxa"/>
                  <w:tcBorders>
                    <w:top w:val="single" w:color="auto" w:sz="4" w:space="0"/>
                    <w:left w:val="nil"/>
                    <w:bottom w:val="single" w:color="auto" w:sz="4" w:space="0"/>
                    <w:right w:val="single" w:color="auto" w:sz="4" w:space="0"/>
                  </w:tcBorders>
                  <w:vAlign w:val="center"/>
                </w:tcPr>
                <w:p w14:paraId="2B41F98B">
                  <w:pPr>
                    <w:widowControl/>
                    <w:adjustRightInd w:val="0"/>
                    <w:snapToGrid w:val="0"/>
                    <w:jc w:val="center"/>
                    <w:textAlignment w:val="center"/>
                    <w:rPr>
                      <w:kern w:val="0"/>
                      <w:szCs w:val="21"/>
                      <w:u w:val="none"/>
                    </w:rPr>
                  </w:pPr>
                  <w:r>
                    <w:rPr>
                      <w:rFonts w:hint="eastAsia"/>
                      <w:kern w:val="0"/>
                      <w:szCs w:val="21"/>
                      <w:u w:val="none"/>
                    </w:rPr>
                    <w:t>符合</w:t>
                  </w:r>
                </w:p>
              </w:tc>
            </w:tr>
          </w:tbl>
          <w:p w14:paraId="6D932D75">
            <w:pPr>
              <w:spacing w:line="500" w:lineRule="atLeast"/>
              <w:jc w:val="center"/>
              <w:rPr>
                <w:b/>
                <w:bCs/>
                <w:sz w:val="24"/>
              </w:rPr>
            </w:pPr>
            <w:r>
              <w:rPr>
                <w:rFonts w:hint="eastAsia"/>
                <w:b/>
                <w:bCs/>
                <w:sz w:val="24"/>
              </w:rPr>
              <w:t>表1-2 国家级、自治区级市辖区工业园区环境管控单元生态环境准入及管控要求清单</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3880"/>
              <w:gridCol w:w="1690"/>
              <w:gridCol w:w="454"/>
            </w:tblGrid>
            <w:tr w14:paraId="1C94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vAlign w:val="center"/>
                </w:tcPr>
                <w:p w14:paraId="4A11201F">
                  <w:pPr>
                    <w:adjustRightInd w:val="0"/>
                    <w:snapToGrid w:val="0"/>
                    <w:jc w:val="center"/>
                    <w:rPr>
                      <w:szCs w:val="21"/>
                    </w:rPr>
                  </w:pPr>
                  <w:r>
                    <w:rPr>
                      <w:szCs w:val="21"/>
                    </w:rPr>
                    <w:t>管控类别</w:t>
                  </w:r>
                </w:p>
              </w:tc>
              <w:tc>
                <w:tcPr>
                  <w:tcW w:w="4065" w:type="dxa"/>
                  <w:tcBorders>
                    <w:top w:val="single" w:color="auto" w:sz="4" w:space="0"/>
                    <w:left w:val="nil"/>
                    <w:bottom w:val="single" w:color="auto" w:sz="4" w:space="0"/>
                    <w:right w:val="single" w:color="auto" w:sz="4" w:space="0"/>
                  </w:tcBorders>
                  <w:vAlign w:val="center"/>
                </w:tcPr>
                <w:p w14:paraId="3FD0D752">
                  <w:pPr>
                    <w:adjustRightInd w:val="0"/>
                    <w:snapToGrid w:val="0"/>
                    <w:jc w:val="center"/>
                    <w:rPr>
                      <w:szCs w:val="21"/>
                    </w:rPr>
                  </w:pPr>
                  <w:r>
                    <w:rPr>
                      <w:rFonts w:hint="eastAsia"/>
                      <w:szCs w:val="21"/>
                    </w:rPr>
                    <w:t>钦州港经济技术开发区重点管控单元管控要求</w:t>
                  </w:r>
                </w:p>
              </w:tc>
              <w:tc>
                <w:tcPr>
                  <w:tcW w:w="1764" w:type="dxa"/>
                  <w:tcBorders>
                    <w:top w:val="single" w:color="auto" w:sz="4" w:space="0"/>
                    <w:left w:val="nil"/>
                    <w:bottom w:val="single" w:color="auto" w:sz="4" w:space="0"/>
                    <w:right w:val="single" w:color="auto" w:sz="4" w:space="0"/>
                  </w:tcBorders>
                  <w:vAlign w:val="center"/>
                </w:tcPr>
                <w:p w14:paraId="24517ADA">
                  <w:pPr>
                    <w:adjustRightInd w:val="0"/>
                    <w:snapToGrid w:val="0"/>
                    <w:jc w:val="center"/>
                    <w:rPr>
                      <w:szCs w:val="21"/>
                    </w:rPr>
                  </w:pPr>
                  <w:r>
                    <w:rPr>
                      <w:szCs w:val="21"/>
                    </w:rPr>
                    <w:t>本项目</w:t>
                  </w:r>
                </w:p>
              </w:tc>
              <w:tc>
                <w:tcPr>
                  <w:tcW w:w="465" w:type="dxa"/>
                  <w:tcBorders>
                    <w:top w:val="single" w:color="auto" w:sz="4" w:space="0"/>
                    <w:left w:val="nil"/>
                    <w:bottom w:val="single" w:color="auto" w:sz="4" w:space="0"/>
                    <w:right w:val="single" w:color="auto" w:sz="4" w:space="0"/>
                  </w:tcBorders>
                  <w:vAlign w:val="center"/>
                </w:tcPr>
                <w:p w14:paraId="671782DE">
                  <w:pPr>
                    <w:adjustRightInd w:val="0"/>
                    <w:snapToGrid w:val="0"/>
                    <w:jc w:val="center"/>
                    <w:rPr>
                      <w:szCs w:val="21"/>
                    </w:rPr>
                  </w:pPr>
                  <w:r>
                    <w:rPr>
                      <w:szCs w:val="21"/>
                    </w:rPr>
                    <w:t>相符性</w:t>
                  </w:r>
                </w:p>
              </w:tc>
            </w:tr>
            <w:tr w14:paraId="6D24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vAlign w:val="center"/>
                </w:tcPr>
                <w:p w14:paraId="059EE898">
                  <w:pPr>
                    <w:adjustRightInd w:val="0"/>
                    <w:snapToGrid w:val="0"/>
                    <w:jc w:val="center"/>
                    <w:rPr>
                      <w:szCs w:val="21"/>
                    </w:rPr>
                  </w:pPr>
                  <w:r>
                    <w:rPr>
                      <w:rFonts w:hint="eastAsia"/>
                      <w:bCs/>
                      <w:szCs w:val="21"/>
                    </w:rPr>
                    <w:t>空间布局约束</w:t>
                  </w:r>
                </w:p>
              </w:tc>
              <w:tc>
                <w:tcPr>
                  <w:tcW w:w="4065" w:type="dxa"/>
                  <w:tcBorders>
                    <w:top w:val="single" w:color="auto" w:sz="4" w:space="0"/>
                    <w:left w:val="nil"/>
                    <w:bottom w:val="single" w:color="auto" w:sz="4" w:space="0"/>
                    <w:right w:val="single" w:color="auto" w:sz="4" w:space="0"/>
                  </w:tcBorders>
                  <w:vAlign w:val="center"/>
                </w:tcPr>
                <w:p w14:paraId="36DF380E">
                  <w:pPr>
                    <w:widowControl/>
                    <w:adjustRightInd w:val="0"/>
                    <w:snapToGrid w:val="0"/>
                    <w:textAlignment w:val="center"/>
                    <w:rPr>
                      <w:kern w:val="0"/>
                      <w:szCs w:val="21"/>
                    </w:rPr>
                  </w:pPr>
                  <w:r>
                    <w:rPr>
                      <w:rFonts w:hint="eastAsia"/>
                      <w:kern w:val="0"/>
                      <w:szCs w:val="21"/>
                    </w:rPr>
                    <w:t>1、引进项目清洁生产水平须达到国内同行业先进水平。不得引进与园区产业定位不符的产业。</w:t>
                  </w:r>
                </w:p>
                <w:p w14:paraId="707E2885">
                  <w:pPr>
                    <w:widowControl/>
                    <w:adjustRightInd w:val="0"/>
                    <w:snapToGrid w:val="0"/>
                    <w:textAlignment w:val="center"/>
                    <w:rPr>
                      <w:kern w:val="0"/>
                      <w:szCs w:val="21"/>
                    </w:rPr>
                  </w:pPr>
                  <w:r>
                    <w:rPr>
                      <w:rFonts w:hint="eastAsia"/>
                      <w:kern w:val="0"/>
                      <w:szCs w:val="21"/>
                    </w:rPr>
                    <w:t>2、居住用地周边严控布局潜在污染扰民和环境风险突出的建设项目。</w:t>
                  </w:r>
                </w:p>
                <w:p w14:paraId="0E487871">
                  <w:pPr>
                    <w:widowControl/>
                    <w:adjustRightInd w:val="0"/>
                    <w:snapToGrid w:val="0"/>
                    <w:textAlignment w:val="center"/>
                    <w:rPr>
                      <w:kern w:val="0"/>
                      <w:szCs w:val="21"/>
                    </w:rPr>
                  </w:pPr>
                  <w:r>
                    <w:rPr>
                      <w:rFonts w:hint="eastAsia"/>
                      <w:kern w:val="0"/>
                      <w:szCs w:val="21"/>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764" w:type="dxa"/>
                  <w:tcBorders>
                    <w:top w:val="single" w:color="auto" w:sz="4" w:space="0"/>
                    <w:left w:val="nil"/>
                    <w:bottom w:val="single" w:color="auto" w:sz="4" w:space="0"/>
                    <w:right w:val="single" w:color="auto" w:sz="4" w:space="0"/>
                  </w:tcBorders>
                  <w:vAlign w:val="center"/>
                </w:tcPr>
                <w:p w14:paraId="7C617516">
                  <w:pPr>
                    <w:widowControl/>
                    <w:adjustRightInd w:val="0"/>
                    <w:snapToGrid w:val="0"/>
                    <w:textAlignment w:val="center"/>
                    <w:rPr>
                      <w:kern w:val="0"/>
                      <w:szCs w:val="21"/>
                    </w:rPr>
                  </w:pPr>
                  <w:r>
                    <w:rPr>
                      <w:rFonts w:hint="eastAsia"/>
                      <w:kern w:val="0"/>
                      <w:szCs w:val="21"/>
                    </w:rPr>
                    <w:t>项目符合园区产业定位；项目不属于污染扰民项目和环境风险突出的项目；项目不属于水泥制造、建筑陶瓷制品制造、制革及毛皮加工等工业项目。</w:t>
                  </w:r>
                </w:p>
              </w:tc>
              <w:tc>
                <w:tcPr>
                  <w:tcW w:w="465" w:type="dxa"/>
                  <w:tcBorders>
                    <w:top w:val="single" w:color="auto" w:sz="4" w:space="0"/>
                    <w:left w:val="nil"/>
                    <w:bottom w:val="single" w:color="auto" w:sz="4" w:space="0"/>
                    <w:right w:val="single" w:color="auto" w:sz="4" w:space="0"/>
                  </w:tcBorders>
                  <w:vAlign w:val="center"/>
                </w:tcPr>
                <w:p w14:paraId="76DEF5FD">
                  <w:pPr>
                    <w:widowControl/>
                    <w:adjustRightInd w:val="0"/>
                    <w:snapToGrid w:val="0"/>
                    <w:jc w:val="center"/>
                    <w:textAlignment w:val="center"/>
                    <w:rPr>
                      <w:kern w:val="0"/>
                      <w:szCs w:val="21"/>
                    </w:rPr>
                  </w:pPr>
                  <w:r>
                    <w:rPr>
                      <w:rFonts w:hint="eastAsia"/>
                      <w:kern w:val="0"/>
                      <w:szCs w:val="21"/>
                    </w:rPr>
                    <w:t>符合</w:t>
                  </w:r>
                </w:p>
              </w:tc>
            </w:tr>
            <w:tr w14:paraId="4D38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36D24D96">
                  <w:pPr>
                    <w:adjustRightInd w:val="0"/>
                    <w:snapToGrid w:val="0"/>
                    <w:jc w:val="center"/>
                    <w:rPr>
                      <w:bCs/>
                      <w:szCs w:val="21"/>
                    </w:rPr>
                  </w:pPr>
                  <w:r>
                    <w:rPr>
                      <w:rFonts w:hint="eastAsia"/>
                      <w:bCs/>
                      <w:szCs w:val="21"/>
                    </w:rPr>
                    <w:t>污染物排放管控</w:t>
                  </w:r>
                </w:p>
              </w:tc>
              <w:tc>
                <w:tcPr>
                  <w:tcW w:w="4065" w:type="dxa"/>
                  <w:tcBorders>
                    <w:top w:val="single" w:color="auto" w:sz="4" w:space="0"/>
                    <w:left w:val="single" w:color="auto" w:sz="4" w:space="0"/>
                    <w:bottom w:val="single" w:color="auto" w:sz="4" w:space="0"/>
                    <w:right w:val="single" w:color="auto" w:sz="4" w:space="0"/>
                  </w:tcBorders>
                  <w:vAlign w:val="center"/>
                </w:tcPr>
                <w:p w14:paraId="497CF6B1">
                  <w:pPr>
                    <w:widowControl/>
                    <w:adjustRightInd w:val="0"/>
                    <w:snapToGrid w:val="0"/>
                    <w:textAlignment w:val="center"/>
                    <w:rPr>
                      <w:kern w:val="0"/>
                      <w:szCs w:val="21"/>
                      <w:lang w:bidi="ar"/>
                    </w:rPr>
                  </w:pPr>
                  <w:r>
                    <w:rPr>
                      <w:rFonts w:hint="eastAsia"/>
                      <w:kern w:val="0"/>
                      <w:szCs w:val="21"/>
                      <w:lang w:bidi="ar"/>
                    </w:rPr>
                    <w:t>1、推动石化、化工等重点行业挥发性有机物（VOCs）污染防治。推动石化行业VOCs泄漏检测与修复行动、VOCs削减和有毒有害原料替代。</w:t>
                  </w:r>
                </w:p>
                <w:p w14:paraId="625DFEFA">
                  <w:pPr>
                    <w:widowControl/>
                    <w:adjustRightInd w:val="0"/>
                    <w:snapToGrid w:val="0"/>
                    <w:textAlignment w:val="center"/>
                    <w:rPr>
                      <w:kern w:val="0"/>
                      <w:szCs w:val="21"/>
                      <w:lang w:bidi="ar"/>
                    </w:rPr>
                  </w:pPr>
                  <w:r>
                    <w:rPr>
                      <w:rFonts w:hint="eastAsia"/>
                      <w:kern w:val="0"/>
                      <w:szCs w:val="21"/>
                      <w:lang w:bidi="ar"/>
                    </w:rPr>
                    <w:t>2、石化行业全面推进行业达标排放改造，新建、改建、扩建涉及重点重金属排放建设项目依照相关规定实行总量控制。</w:t>
                  </w:r>
                </w:p>
                <w:p w14:paraId="7E654B60">
                  <w:pPr>
                    <w:widowControl/>
                    <w:adjustRightInd w:val="0"/>
                    <w:snapToGrid w:val="0"/>
                    <w:textAlignment w:val="center"/>
                    <w:rPr>
                      <w:kern w:val="0"/>
                      <w:szCs w:val="21"/>
                      <w:lang w:bidi="ar"/>
                    </w:rPr>
                  </w:pPr>
                  <w:r>
                    <w:rPr>
                      <w:rFonts w:hint="eastAsia"/>
                      <w:kern w:val="0"/>
                      <w:szCs w:val="21"/>
                      <w:lang w:bidi="ar"/>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p w14:paraId="473A9CE2">
                  <w:pPr>
                    <w:widowControl/>
                    <w:adjustRightInd w:val="0"/>
                    <w:snapToGrid w:val="0"/>
                    <w:textAlignment w:val="center"/>
                    <w:rPr>
                      <w:kern w:val="0"/>
                      <w:szCs w:val="21"/>
                      <w:lang w:bidi="ar"/>
                    </w:rPr>
                  </w:pPr>
                  <w:r>
                    <w:rPr>
                      <w:rFonts w:hint="eastAsia"/>
                      <w:kern w:val="0"/>
                      <w:szCs w:val="21"/>
                      <w:lang w:bidi="ar"/>
                    </w:rPr>
                    <w:t>4、加强园区无组织废气排放管理。</w:t>
                  </w:r>
                </w:p>
                <w:p w14:paraId="1B25096F">
                  <w:pPr>
                    <w:widowControl/>
                    <w:adjustRightInd w:val="0"/>
                    <w:snapToGrid w:val="0"/>
                    <w:textAlignment w:val="center"/>
                    <w:rPr>
                      <w:kern w:val="0"/>
                      <w:szCs w:val="21"/>
                      <w:lang w:bidi="ar"/>
                    </w:rPr>
                  </w:pPr>
                  <w:r>
                    <w:rPr>
                      <w:rFonts w:hint="eastAsia"/>
                      <w:kern w:val="0"/>
                      <w:szCs w:val="21"/>
                      <w:lang w:bidi="ar"/>
                    </w:rPr>
                    <w:t>5、强化固体废物减量化、资源化和无害化控制原则处置，尽量实现废物的综合利用，危险废物应交由有危废处理资质的单位进行安全处置。</w:t>
                  </w:r>
                </w:p>
              </w:tc>
              <w:tc>
                <w:tcPr>
                  <w:tcW w:w="1764" w:type="dxa"/>
                  <w:tcBorders>
                    <w:top w:val="single" w:color="auto" w:sz="4" w:space="0"/>
                    <w:left w:val="single" w:color="auto" w:sz="4" w:space="0"/>
                    <w:bottom w:val="single" w:color="auto" w:sz="4" w:space="0"/>
                    <w:right w:val="single" w:color="auto" w:sz="4" w:space="0"/>
                  </w:tcBorders>
                  <w:vAlign w:val="center"/>
                </w:tcPr>
                <w:p w14:paraId="6D1C2273">
                  <w:pPr>
                    <w:widowControl/>
                    <w:adjustRightInd w:val="0"/>
                    <w:snapToGrid w:val="0"/>
                    <w:textAlignment w:val="center"/>
                    <w:rPr>
                      <w:kern w:val="0"/>
                      <w:szCs w:val="21"/>
                    </w:rPr>
                  </w:pPr>
                  <w:r>
                    <w:rPr>
                      <w:rFonts w:hint="eastAsia"/>
                      <w:kern w:val="0"/>
                      <w:szCs w:val="21"/>
                    </w:rPr>
                    <w:t>项目运营过程产生的污染物不涉及挥发性有机物，不涉及重金属排放；项目</w:t>
                  </w:r>
                  <w:r>
                    <w:rPr>
                      <w:rFonts w:hint="eastAsia"/>
                      <w:kern w:val="0"/>
                      <w:szCs w:val="21"/>
                      <w:lang w:val="en-US" w:eastAsia="zh-CN"/>
                    </w:rPr>
                    <w:t>无废水排放</w:t>
                  </w:r>
                  <w:r>
                    <w:rPr>
                      <w:rFonts w:hint="eastAsia"/>
                      <w:kern w:val="0"/>
                      <w:szCs w:val="21"/>
                    </w:rPr>
                    <w:t>。</w:t>
                  </w:r>
                </w:p>
              </w:tc>
              <w:tc>
                <w:tcPr>
                  <w:tcW w:w="465" w:type="dxa"/>
                  <w:tcBorders>
                    <w:top w:val="single" w:color="auto" w:sz="4" w:space="0"/>
                    <w:left w:val="single" w:color="auto" w:sz="4" w:space="0"/>
                    <w:bottom w:val="single" w:color="auto" w:sz="4" w:space="0"/>
                    <w:right w:val="single" w:color="auto" w:sz="4" w:space="0"/>
                  </w:tcBorders>
                  <w:vAlign w:val="center"/>
                </w:tcPr>
                <w:p w14:paraId="3C5CBCA9">
                  <w:pPr>
                    <w:widowControl/>
                    <w:adjustRightInd w:val="0"/>
                    <w:snapToGrid w:val="0"/>
                    <w:jc w:val="center"/>
                    <w:textAlignment w:val="center"/>
                    <w:rPr>
                      <w:kern w:val="0"/>
                      <w:szCs w:val="21"/>
                    </w:rPr>
                  </w:pPr>
                  <w:r>
                    <w:rPr>
                      <w:rFonts w:hint="eastAsia"/>
                      <w:kern w:val="0"/>
                      <w:szCs w:val="21"/>
                    </w:rPr>
                    <w:t>符合</w:t>
                  </w:r>
                </w:p>
              </w:tc>
            </w:tr>
            <w:tr w14:paraId="57CE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921E0E2">
                  <w:pPr>
                    <w:adjustRightInd w:val="0"/>
                    <w:snapToGrid w:val="0"/>
                    <w:jc w:val="center"/>
                    <w:rPr>
                      <w:bCs/>
                      <w:szCs w:val="21"/>
                    </w:rPr>
                  </w:pPr>
                  <w:r>
                    <w:rPr>
                      <w:rFonts w:hint="eastAsia"/>
                      <w:bCs/>
                      <w:szCs w:val="21"/>
                    </w:rPr>
                    <w:t>环境风险防控</w:t>
                  </w:r>
                </w:p>
              </w:tc>
              <w:tc>
                <w:tcPr>
                  <w:tcW w:w="4065" w:type="dxa"/>
                  <w:tcBorders>
                    <w:top w:val="single" w:color="auto" w:sz="4" w:space="0"/>
                    <w:left w:val="single" w:color="auto" w:sz="4" w:space="0"/>
                    <w:bottom w:val="single" w:color="auto" w:sz="4" w:space="0"/>
                    <w:right w:val="single" w:color="auto" w:sz="4" w:space="0"/>
                  </w:tcBorders>
                  <w:vAlign w:val="center"/>
                </w:tcPr>
                <w:p w14:paraId="3F1C54CD">
                  <w:pPr>
                    <w:widowControl/>
                    <w:adjustRightInd w:val="0"/>
                    <w:snapToGrid w:val="0"/>
                    <w:textAlignment w:val="center"/>
                    <w:rPr>
                      <w:kern w:val="0"/>
                      <w:szCs w:val="21"/>
                      <w:lang w:bidi="ar"/>
                    </w:rPr>
                  </w:pPr>
                  <w:r>
                    <w:rPr>
                      <w:rFonts w:hint="eastAsia"/>
                      <w:kern w:val="0"/>
                      <w:szCs w:val="21"/>
                      <w:lang w:bidi="ar"/>
                    </w:rPr>
                    <w:t>1、开展环境风险评估，制定突发环境事件应急预案并备案，配备应急能力和物资，建设环境应急队伍，并定期演练。企业、园区与地方人民政府环境应急预案应当有机衔接。</w:t>
                  </w:r>
                </w:p>
                <w:p w14:paraId="7E75E596">
                  <w:pPr>
                    <w:widowControl/>
                    <w:adjustRightInd w:val="0"/>
                    <w:snapToGrid w:val="0"/>
                    <w:textAlignment w:val="center"/>
                    <w:rPr>
                      <w:kern w:val="0"/>
                      <w:szCs w:val="21"/>
                      <w:lang w:bidi="ar"/>
                    </w:rPr>
                  </w:pPr>
                  <w:r>
                    <w:rPr>
                      <w:rFonts w:hint="eastAsia"/>
                      <w:kern w:val="0"/>
                      <w:szCs w:val="21"/>
                      <w:lang w:bidi="ar"/>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3523FC4A">
                  <w:pPr>
                    <w:widowControl/>
                    <w:adjustRightInd w:val="0"/>
                    <w:snapToGrid w:val="0"/>
                    <w:textAlignment w:val="center"/>
                    <w:rPr>
                      <w:kern w:val="0"/>
                      <w:szCs w:val="21"/>
                      <w:lang w:bidi="ar"/>
                    </w:rPr>
                  </w:pPr>
                  <w:r>
                    <w:rPr>
                      <w:rFonts w:hint="eastAsia"/>
                      <w:kern w:val="0"/>
                      <w:szCs w:val="21"/>
                      <w:lang w:bidi="ar"/>
                    </w:rPr>
                    <w:t>3、建设项目应严格落实环境保护措施和环境风险防范措施，减缓对周边生态环境敏感区的不良环境影响。</w:t>
                  </w:r>
                </w:p>
              </w:tc>
              <w:tc>
                <w:tcPr>
                  <w:tcW w:w="1764" w:type="dxa"/>
                  <w:tcBorders>
                    <w:top w:val="single" w:color="auto" w:sz="4" w:space="0"/>
                    <w:left w:val="single" w:color="auto" w:sz="4" w:space="0"/>
                    <w:bottom w:val="single" w:color="auto" w:sz="4" w:space="0"/>
                    <w:right w:val="single" w:color="auto" w:sz="4" w:space="0"/>
                  </w:tcBorders>
                  <w:vAlign w:val="center"/>
                </w:tcPr>
                <w:p w14:paraId="4FE6C02A">
                  <w:pPr>
                    <w:widowControl/>
                    <w:adjustRightInd w:val="0"/>
                    <w:snapToGrid w:val="0"/>
                    <w:textAlignment w:val="center"/>
                    <w:rPr>
                      <w:kern w:val="0"/>
                      <w:szCs w:val="21"/>
                    </w:rPr>
                  </w:pPr>
                  <w:r>
                    <w:rPr>
                      <w:rFonts w:hint="eastAsia"/>
                      <w:kern w:val="0"/>
                      <w:szCs w:val="21"/>
                    </w:rPr>
                    <w:t>项目建成后不需要调整应急预案。广西华谊能源化工有限公司已制定全厂突发环境事件应急预案并备案；项目不属于土壤重点污染监管单位；项目将严格落实环境保护措施和环境风险防范措施。</w:t>
                  </w:r>
                </w:p>
              </w:tc>
              <w:tc>
                <w:tcPr>
                  <w:tcW w:w="465" w:type="dxa"/>
                  <w:tcBorders>
                    <w:top w:val="single" w:color="auto" w:sz="4" w:space="0"/>
                    <w:left w:val="single" w:color="auto" w:sz="4" w:space="0"/>
                    <w:bottom w:val="single" w:color="auto" w:sz="4" w:space="0"/>
                    <w:right w:val="single" w:color="auto" w:sz="4" w:space="0"/>
                  </w:tcBorders>
                  <w:vAlign w:val="center"/>
                </w:tcPr>
                <w:p w14:paraId="2559E5F4">
                  <w:pPr>
                    <w:widowControl/>
                    <w:adjustRightInd w:val="0"/>
                    <w:snapToGrid w:val="0"/>
                    <w:jc w:val="center"/>
                    <w:textAlignment w:val="center"/>
                    <w:rPr>
                      <w:kern w:val="0"/>
                      <w:szCs w:val="21"/>
                    </w:rPr>
                  </w:pPr>
                  <w:r>
                    <w:rPr>
                      <w:rFonts w:hint="eastAsia"/>
                      <w:kern w:val="0"/>
                      <w:szCs w:val="21"/>
                    </w:rPr>
                    <w:t>符合</w:t>
                  </w:r>
                </w:p>
              </w:tc>
            </w:tr>
            <w:tr w14:paraId="2ADC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7334DF22">
                  <w:pPr>
                    <w:adjustRightInd w:val="0"/>
                    <w:snapToGrid w:val="0"/>
                    <w:jc w:val="center"/>
                    <w:rPr>
                      <w:bCs/>
                      <w:szCs w:val="21"/>
                    </w:rPr>
                  </w:pPr>
                  <w:r>
                    <w:rPr>
                      <w:rFonts w:hint="eastAsia"/>
                      <w:bCs/>
                      <w:szCs w:val="21"/>
                    </w:rPr>
                    <w:t>资源开发利用效率要求</w:t>
                  </w:r>
                </w:p>
              </w:tc>
              <w:tc>
                <w:tcPr>
                  <w:tcW w:w="4065" w:type="dxa"/>
                  <w:tcBorders>
                    <w:top w:val="single" w:color="auto" w:sz="4" w:space="0"/>
                    <w:left w:val="single" w:color="auto" w:sz="4" w:space="0"/>
                    <w:bottom w:val="single" w:color="auto" w:sz="4" w:space="0"/>
                    <w:right w:val="single" w:color="auto" w:sz="4" w:space="0"/>
                  </w:tcBorders>
                  <w:vAlign w:val="center"/>
                </w:tcPr>
                <w:p w14:paraId="30234D4A">
                  <w:pPr>
                    <w:widowControl/>
                    <w:adjustRightInd w:val="0"/>
                    <w:snapToGrid w:val="0"/>
                    <w:textAlignment w:val="center"/>
                    <w:rPr>
                      <w:kern w:val="0"/>
                      <w:szCs w:val="21"/>
                      <w:lang w:bidi="ar"/>
                    </w:rPr>
                  </w:pPr>
                  <w:r>
                    <w:rPr>
                      <w:rFonts w:hint="eastAsia"/>
                      <w:kern w:val="0"/>
                      <w:szCs w:val="21"/>
                      <w:lang w:bidi="ar"/>
                    </w:rPr>
                    <w:t>1、污染物排放以及用水、能耗、物耗、岸线与土地利用等资源环境指标达到行业先进水平。</w:t>
                  </w:r>
                </w:p>
                <w:p w14:paraId="67D6B1F4">
                  <w:pPr>
                    <w:widowControl/>
                    <w:adjustRightInd w:val="0"/>
                    <w:snapToGrid w:val="0"/>
                    <w:textAlignment w:val="center"/>
                    <w:rPr>
                      <w:kern w:val="0"/>
                      <w:szCs w:val="21"/>
                      <w:lang w:bidi="ar"/>
                    </w:rPr>
                  </w:pPr>
                  <w:r>
                    <w:rPr>
                      <w:rFonts w:hint="eastAsia"/>
                      <w:kern w:val="0"/>
                      <w:szCs w:val="21"/>
                      <w:lang w:bidi="ar"/>
                    </w:rPr>
                    <w:t>2、依据《钦州市人民政府关于划定高污染燃料禁燃区的通告》，高污染燃料为：（一）除单台出力大于等于20蒸吨/小时锅炉以外的燃用煤炭及其制品；（二）石油焦、油页岩、原油、重油、渣油、煤焦油，以及各种可燃废物和直接燃用的生物质非成型燃料（树木、秸秆、锯末、稻壳、蔗渣等）。</w:t>
                  </w:r>
                </w:p>
                <w:p w14:paraId="47DAF0BC">
                  <w:pPr>
                    <w:widowControl/>
                    <w:adjustRightInd w:val="0"/>
                    <w:snapToGrid w:val="0"/>
                    <w:textAlignment w:val="center"/>
                    <w:rPr>
                      <w:kern w:val="0"/>
                      <w:szCs w:val="21"/>
                      <w:lang w:bidi="ar"/>
                    </w:rPr>
                  </w:pPr>
                  <w:r>
                    <w:rPr>
                      <w:rFonts w:hint="eastAsia"/>
                      <w:kern w:val="0"/>
                      <w:szCs w:val="21"/>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764" w:type="dxa"/>
                  <w:tcBorders>
                    <w:top w:val="single" w:color="auto" w:sz="4" w:space="0"/>
                    <w:left w:val="single" w:color="auto" w:sz="4" w:space="0"/>
                    <w:bottom w:val="single" w:color="auto" w:sz="4" w:space="0"/>
                    <w:right w:val="single" w:color="auto" w:sz="4" w:space="0"/>
                  </w:tcBorders>
                  <w:vAlign w:val="center"/>
                </w:tcPr>
                <w:p w14:paraId="76334858">
                  <w:pPr>
                    <w:widowControl/>
                    <w:adjustRightInd w:val="0"/>
                    <w:snapToGrid w:val="0"/>
                    <w:textAlignment w:val="center"/>
                    <w:rPr>
                      <w:kern w:val="0"/>
                      <w:szCs w:val="21"/>
                    </w:rPr>
                  </w:pPr>
                  <w:r>
                    <w:rPr>
                      <w:rFonts w:hint="eastAsia"/>
                      <w:kern w:val="0"/>
                      <w:szCs w:val="21"/>
                      <w:lang w:bidi="ar"/>
                    </w:rPr>
                    <w:t>项目污染物排放以及用水、能耗、物耗、岸线与土地利用等资源环境指标达到行业先进水平，项目不涉及使用燃料。</w:t>
                  </w:r>
                </w:p>
              </w:tc>
              <w:tc>
                <w:tcPr>
                  <w:tcW w:w="465" w:type="dxa"/>
                  <w:tcBorders>
                    <w:top w:val="single" w:color="auto" w:sz="4" w:space="0"/>
                    <w:left w:val="single" w:color="auto" w:sz="4" w:space="0"/>
                    <w:bottom w:val="single" w:color="auto" w:sz="4" w:space="0"/>
                    <w:right w:val="single" w:color="auto" w:sz="4" w:space="0"/>
                  </w:tcBorders>
                  <w:vAlign w:val="center"/>
                </w:tcPr>
                <w:p w14:paraId="51EFC0C0">
                  <w:pPr>
                    <w:widowControl/>
                    <w:adjustRightInd w:val="0"/>
                    <w:snapToGrid w:val="0"/>
                    <w:jc w:val="center"/>
                    <w:textAlignment w:val="center"/>
                    <w:rPr>
                      <w:kern w:val="0"/>
                      <w:szCs w:val="21"/>
                    </w:rPr>
                  </w:pPr>
                  <w:r>
                    <w:rPr>
                      <w:rFonts w:hint="eastAsia"/>
                      <w:kern w:val="0"/>
                      <w:szCs w:val="21"/>
                    </w:rPr>
                    <w:t>符合</w:t>
                  </w:r>
                </w:p>
              </w:tc>
            </w:tr>
          </w:tbl>
          <w:p w14:paraId="14C6A80A">
            <w:pPr>
              <w:spacing w:line="500" w:lineRule="atLeast"/>
              <w:ind w:firstLine="480" w:firstLineChars="200"/>
              <w:rPr>
                <w:sz w:val="24"/>
              </w:rPr>
            </w:pPr>
            <w:r>
              <w:rPr>
                <w:rFonts w:hint="eastAsia"/>
                <w:sz w:val="24"/>
              </w:rPr>
              <w:t>根据钦州市生态环境局关于印发《钦州市环境管控单元生态环境准入及管控要求清单（试行）》的通知（钦环发〔2022〕3号）</w:t>
            </w:r>
            <w:r>
              <w:rPr>
                <w:rFonts w:hint="eastAsia"/>
                <w:sz w:val="24"/>
                <w:lang w:val="en-US" w:eastAsia="zh-CN"/>
              </w:rPr>
              <w:t>及广西“生态云”平台建设项目智能研判报告（详见附件15），</w:t>
            </w:r>
            <w:r>
              <w:rPr>
                <w:rFonts w:hint="eastAsia"/>
                <w:sz w:val="24"/>
              </w:rPr>
              <w:t>项目属于广西钦州石化产业园重点管控单元（环境管控单元编码：ZH45070220003）。</w:t>
            </w:r>
          </w:p>
          <w:p w14:paraId="34DC1AB5">
            <w:pPr>
              <w:spacing w:line="500" w:lineRule="atLeast"/>
              <w:jc w:val="center"/>
              <w:rPr>
                <w:b/>
                <w:bCs/>
                <w:sz w:val="24"/>
              </w:rPr>
            </w:pPr>
            <w:r>
              <w:rPr>
                <w:rFonts w:hint="eastAsia"/>
                <w:b/>
                <w:bCs/>
                <w:sz w:val="24"/>
              </w:rPr>
              <w:t>表1-4  与广西钦州石化产业园重点管控单元生态环境准入及管控要求清单</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145"/>
              <w:gridCol w:w="1425"/>
              <w:gridCol w:w="454"/>
            </w:tblGrid>
            <w:tr w14:paraId="4A3B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3" w:type="dxa"/>
                  <w:tcBorders>
                    <w:top w:val="single" w:color="auto" w:sz="4" w:space="0"/>
                    <w:left w:val="single" w:color="auto" w:sz="4" w:space="0"/>
                    <w:bottom w:val="single" w:color="auto" w:sz="4" w:space="0"/>
                    <w:right w:val="single" w:color="auto" w:sz="4" w:space="0"/>
                  </w:tcBorders>
                  <w:vAlign w:val="center"/>
                </w:tcPr>
                <w:p w14:paraId="218D5E5A">
                  <w:pPr>
                    <w:adjustRightInd w:val="0"/>
                    <w:snapToGrid w:val="0"/>
                    <w:jc w:val="center"/>
                    <w:rPr>
                      <w:szCs w:val="21"/>
                    </w:rPr>
                  </w:pPr>
                  <w:r>
                    <w:rPr>
                      <w:szCs w:val="21"/>
                    </w:rPr>
                    <w:t>管控类别</w:t>
                  </w:r>
                </w:p>
              </w:tc>
              <w:tc>
                <w:tcPr>
                  <w:tcW w:w="4344" w:type="dxa"/>
                  <w:tcBorders>
                    <w:top w:val="single" w:color="auto" w:sz="4" w:space="0"/>
                    <w:left w:val="nil"/>
                    <w:bottom w:val="single" w:color="auto" w:sz="4" w:space="0"/>
                    <w:right w:val="single" w:color="auto" w:sz="4" w:space="0"/>
                  </w:tcBorders>
                  <w:vAlign w:val="center"/>
                </w:tcPr>
                <w:p w14:paraId="06436015">
                  <w:pPr>
                    <w:adjustRightInd w:val="0"/>
                    <w:snapToGrid w:val="0"/>
                    <w:jc w:val="center"/>
                    <w:rPr>
                      <w:szCs w:val="21"/>
                    </w:rPr>
                  </w:pPr>
                  <w:r>
                    <w:rPr>
                      <w:rFonts w:hint="eastAsia"/>
                      <w:szCs w:val="21"/>
                    </w:rPr>
                    <w:t>广西钦州石化产业园重点管控单元要求</w:t>
                  </w:r>
                </w:p>
              </w:tc>
              <w:tc>
                <w:tcPr>
                  <w:tcW w:w="1485" w:type="dxa"/>
                  <w:tcBorders>
                    <w:top w:val="single" w:color="auto" w:sz="4" w:space="0"/>
                    <w:left w:val="nil"/>
                    <w:bottom w:val="single" w:color="auto" w:sz="4" w:space="0"/>
                    <w:right w:val="single" w:color="auto" w:sz="4" w:space="0"/>
                  </w:tcBorders>
                  <w:vAlign w:val="center"/>
                </w:tcPr>
                <w:p w14:paraId="1A8C5BB9">
                  <w:pPr>
                    <w:adjustRightInd w:val="0"/>
                    <w:snapToGrid w:val="0"/>
                    <w:jc w:val="center"/>
                    <w:rPr>
                      <w:szCs w:val="21"/>
                    </w:rPr>
                  </w:pPr>
                  <w:r>
                    <w:rPr>
                      <w:szCs w:val="21"/>
                    </w:rPr>
                    <w:t>本项目</w:t>
                  </w:r>
                </w:p>
              </w:tc>
              <w:tc>
                <w:tcPr>
                  <w:tcW w:w="465" w:type="dxa"/>
                  <w:tcBorders>
                    <w:top w:val="single" w:color="auto" w:sz="4" w:space="0"/>
                    <w:left w:val="nil"/>
                    <w:bottom w:val="single" w:color="auto" w:sz="4" w:space="0"/>
                    <w:right w:val="single" w:color="auto" w:sz="4" w:space="0"/>
                  </w:tcBorders>
                  <w:vAlign w:val="center"/>
                </w:tcPr>
                <w:p w14:paraId="156DC891">
                  <w:pPr>
                    <w:adjustRightInd w:val="0"/>
                    <w:snapToGrid w:val="0"/>
                    <w:jc w:val="center"/>
                    <w:rPr>
                      <w:szCs w:val="21"/>
                    </w:rPr>
                  </w:pPr>
                  <w:r>
                    <w:rPr>
                      <w:szCs w:val="21"/>
                    </w:rPr>
                    <w:t>相符性</w:t>
                  </w:r>
                </w:p>
              </w:tc>
            </w:tr>
            <w:tr w14:paraId="4FB1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nil"/>
                    <w:left w:val="single" w:color="auto" w:sz="4" w:space="0"/>
                    <w:bottom w:val="single" w:color="auto" w:sz="4" w:space="0"/>
                    <w:right w:val="single" w:color="auto" w:sz="4" w:space="0"/>
                  </w:tcBorders>
                  <w:vAlign w:val="center"/>
                </w:tcPr>
                <w:p w14:paraId="718A2F63">
                  <w:pPr>
                    <w:adjustRightInd w:val="0"/>
                    <w:snapToGrid w:val="0"/>
                    <w:jc w:val="center"/>
                    <w:rPr>
                      <w:szCs w:val="21"/>
                    </w:rPr>
                  </w:pPr>
                  <w:r>
                    <w:rPr>
                      <w:rFonts w:hint="eastAsia"/>
                      <w:bCs/>
                      <w:szCs w:val="21"/>
                    </w:rPr>
                    <w:t>空间布局约束</w:t>
                  </w:r>
                </w:p>
              </w:tc>
              <w:tc>
                <w:tcPr>
                  <w:tcW w:w="4344" w:type="dxa"/>
                  <w:tcBorders>
                    <w:top w:val="single" w:color="auto" w:sz="4" w:space="0"/>
                    <w:left w:val="nil"/>
                    <w:bottom w:val="single" w:color="auto" w:sz="4" w:space="0"/>
                    <w:right w:val="single" w:color="auto" w:sz="4" w:space="0"/>
                  </w:tcBorders>
                  <w:vAlign w:val="center"/>
                </w:tcPr>
                <w:p w14:paraId="6027F11E">
                  <w:pPr>
                    <w:widowControl/>
                    <w:adjustRightInd w:val="0"/>
                    <w:snapToGrid w:val="0"/>
                    <w:textAlignment w:val="center"/>
                    <w:rPr>
                      <w:kern w:val="0"/>
                      <w:szCs w:val="21"/>
                    </w:rPr>
                  </w:pPr>
                  <w:r>
                    <w:rPr>
                      <w:rFonts w:hint="eastAsia"/>
                      <w:kern w:val="0"/>
                      <w:szCs w:val="21"/>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77A918FD">
                  <w:pPr>
                    <w:widowControl/>
                    <w:adjustRightInd w:val="0"/>
                    <w:snapToGrid w:val="0"/>
                    <w:textAlignment w:val="center"/>
                    <w:rPr>
                      <w:kern w:val="0"/>
                      <w:szCs w:val="21"/>
                    </w:rPr>
                  </w:pPr>
                  <w:r>
                    <w:rPr>
                      <w:rFonts w:hint="eastAsia"/>
                      <w:kern w:val="0"/>
                      <w:szCs w:val="21"/>
                    </w:rPr>
                    <w:t>2、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34993244">
                  <w:pPr>
                    <w:widowControl/>
                    <w:adjustRightInd w:val="0"/>
                    <w:snapToGrid w:val="0"/>
                    <w:textAlignment w:val="center"/>
                    <w:rPr>
                      <w:kern w:val="0"/>
                      <w:szCs w:val="21"/>
                    </w:rPr>
                  </w:pPr>
                  <w:r>
                    <w:rPr>
                      <w:rFonts w:hint="eastAsia"/>
                      <w:kern w:val="0"/>
                      <w:szCs w:val="21"/>
                    </w:rPr>
                    <w:t>3、优化园区规划空间布局，对丙烯腈、苯乙烯、环氧丙烷等新引进项目加强源头风险管控；丙烯腈装置原则上应配套 MMA 装置同步建设，及时消耗丙烯腈装置产生的氢氰酸和废酸，降低环境风险。</w:t>
                  </w:r>
                </w:p>
                <w:p w14:paraId="1393DEB7">
                  <w:pPr>
                    <w:widowControl/>
                    <w:adjustRightInd w:val="0"/>
                    <w:snapToGrid w:val="0"/>
                    <w:textAlignment w:val="center"/>
                    <w:rPr>
                      <w:kern w:val="0"/>
                      <w:szCs w:val="21"/>
                    </w:rPr>
                  </w:pPr>
                  <w:r>
                    <w:rPr>
                      <w:rFonts w:hint="eastAsia"/>
                      <w:kern w:val="0"/>
                      <w:szCs w:val="21"/>
                    </w:rPr>
                    <w:t>4、居住用地周边严控布局潜在污染扰民和环境风险突出的建设项目。</w:t>
                  </w:r>
                </w:p>
              </w:tc>
              <w:tc>
                <w:tcPr>
                  <w:tcW w:w="1485" w:type="dxa"/>
                  <w:tcBorders>
                    <w:top w:val="single" w:color="auto" w:sz="4" w:space="0"/>
                    <w:left w:val="nil"/>
                    <w:bottom w:val="single" w:color="auto" w:sz="4" w:space="0"/>
                    <w:right w:val="single" w:color="auto" w:sz="4" w:space="0"/>
                  </w:tcBorders>
                  <w:vAlign w:val="center"/>
                </w:tcPr>
                <w:p w14:paraId="35F56BD3">
                  <w:pPr>
                    <w:widowControl/>
                    <w:adjustRightInd w:val="0"/>
                    <w:snapToGrid w:val="0"/>
                    <w:jc w:val="center"/>
                    <w:textAlignment w:val="center"/>
                    <w:rPr>
                      <w:kern w:val="0"/>
                      <w:szCs w:val="21"/>
                    </w:rPr>
                  </w:pPr>
                  <w:r>
                    <w:rPr>
                      <w:rFonts w:hint="eastAsia"/>
                      <w:kern w:val="0"/>
                      <w:szCs w:val="21"/>
                    </w:rPr>
                    <w:t>项目不涉及围填海；用地为工业用地，符合园区规划；项目不属于污染扰民和环境风险突出的项目。</w:t>
                  </w:r>
                </w:p>
              </w:tc>
              <w:tc>
                <w:tcPr>
                  <w:tcW w:w="465" w:type="dxa"/>
                  <w:tcBorders>
                    <w:top w:val="single" w:color="auto" w:sz="4" w:space="0"/>
                    <w:left w:val="nil"/>
                    <w:bottom w:val="single" w:color="auto" w:sz="4" w:space="0"/>
                    <w:right w:val="single" w:color="auto" w:sz="4" w:space="0"/>
                  </w:tcBorders>
                  <w:vAlign w:val="center"/>
                </w:tcPr>
                <w:p w14:paraId="4E031329">
                  <w:pPr>
                    <w:widowControl/>
                    <w:adjustRightInd w:val="0"/>
                    <w:snapToGrid w:val="0"/>
                    <w:jc w:val="center"/>
                    <w:textAlignment w:val="center"/>
                    <w:rPr>
                      <w:kern w:val="0"/>
                      <w:szCs w:val="21"/>
                    </w:rPr>
                  </w:pPr>
                  <w:r>
                    <w:rPr>
                      <w:rFonts w:hint="eastAsia"/>
                      <w:kern w:val="0"/>
                      <w:szCs w:val="21"/>
                    </w:rPr>
                    <w:t>符合</w:t>
                  </w:r>
                </w:p>
              </w:tc>
            </w:tr>
            <w:tr w14:paraId="2A98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475D8AE6">
                  <w:pPr>
                    <w:adjustRightInd w:val="0"/>
                    <w:snapToGrid w:val="0"/>
                    <w:jc w:val="center"/>
                    <w:rPr>
                      <w:bCs/>
                      <w:szCs w:val="21"/>
                    </w:rPr>
                  </w:pPr>
                  <w:r>
                    <w:rPr>
                      <w:rFonts w:hint="eastAsia"/>
                      <w:bCs/>
                      <w:szCs w:val="21"/>
                    </w:rPr>
                    <w:t>污染物排放管控</w:t>
                  </w:r>
                </w:p>
              </w:tc>
              <w:tc>
                <w:tcPr>
                  <w:tcW w:w="4344" w:type="dxa"/>
                  <w:tcBorders>
                    <w:top w:val="single" w:color="auto" w:sz="4" w:space="0"/>
                    <w:left w:val="single" w:color="auto" w:sz="4" w:space="0"/>
                    <w:bottom w:val="single" w:color="auto" w:sz="4" w:space="0"/>
                    <w:right w:val="single" w:color="auto" w:sz="4" w:space="0"/>
                  </w:tcBorders>
                  <w:vAlign w:val="center"/>
                </w:tcPr>
                <w:p w14:paraId="41C7B6EB">
                  <w:pPr>
                    <w:widowControl/>
                    <w:adjustRightInd w:val="0"/>
                    <w:snapToGrid w:val="0"/>
                    <w:textAlignment w:val="center"/>
                    <w:rPr>
                      <w:kern w:val="0"/>
                      <w:szCs w:val="21"/>
                      <w:lang w:bidi="ar"/>
                    </w:rPr>
                  </w:pPr>
                  <w:r>
                    <w:rPr>
                      <w:rFonts w:hint="eastAsia"/>
                      <w:kern w:val="0"/>
                      <w:szCs w:val="21"/>
                      <w:lang w:bidi="ar"/>
                    </w:rPr>
                    <w:t>1、大力推进低氮燃烧和烟气脱硝，有序推进园区集中供热。</w:t>
                  </w:r>
                </w:p>
                <w:p w14:paraId="7126F7C5">
                  <w:pPr>
                    <w:widowControl/>
                    <w:adjustRightInd w:val="0"/>
                    <w:snapToGrid w:val="0"/>
                    <w:textAlignment w:val="center"/>
                    <w:rPr>
                      <w:kern w:val="0"/>
                      <w:szCs w:val="21"/>
                      <w:lang w:bidi="ar"/>
                    </w:rPr>
                  </w:pPr>
                  <w:r>
                    <w:rPr>
                      <w:rFonts w:hint="eastAsia"/>
                      <w:kern w:val="0"/>
                      <w:szCs w:val="21"/>
                      <w:lang w:bidi="ar"/>
                    </w:rPr>
                    <w:t>2、推动石化、化工等重点行业挥发性有机物（VOCs）污染防治。推动石化行业VOCs泄漏检测与修复行动、VOCs削减和有毒有害原料替代。</w:t>
                  </w:r>
                </w:p>
                <w:p w14:paraId="79CD8008">
                  <w:pPr>
                    <w:widowControl/>
                    <w:adjustRightInd w:val="0"/>
                    <w:snapToGrid w:val="0"/>
                    <w:textAlignment w:val="center"/>
                    <w:rPr>
                      <w:kern w:val="0"/>
                      <w:szCs w:val="21"/>
                      <w:lang w:bidi="ar"/>
                    </w:rPr>
                  </w:pPr>
                  <w:r>
                    <w:rPr>
                      <w:rFonts w:hint="eastAsia"/>
                      <w:kern w:val="0"/>
                      <w:szCs w:val="21"/>
                      <w:lang w:bidi="ar"/>
                    </w:rPr>
                    <w:t>3、石化、化工行业全面推进行业达标排放改造。</w:t>
                  </w:r>
                </w:p>
                <w:p w14:paraId="0363AA1D">
                  <w:pPr>
                    <w:widowControl/>
                    <w:adjustRightInd w:val="0"/>
                    <w:snapToGrid w:val="0"/>
                    <w:textAlignment w:val="center"/>
                    <w:rPr>
                      <w:kern w:val="0"/>
                      <w:szCs w:val="21"/>
                      <w:lang w:bidi="ar"/>
                    </w:rPr>
                  </w:pPr>
                  <w:r>
                    <w:rPr>
                      <w:rFonts w:hint="eastAsia"/>
                      <w:kern w:val="0"/>
                      <w:szCs w:val="21"/>
                      <w:lang w:bidi="ar"/>
                    </w:rPr>
                    <w:t>4、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p w14:paraId="7AD5BA33">
                  <w:pPr>
                    <w:widowControl/>
                    <w:adjustRightInd w:val="0"/>
                    <w:snapToGrid w:val="0"/>
                    <w:textAlignment w:val="center"/>
                    <w:rPr>
                      <w:kern w:val="0"/>
                      <w:szCs w:val="21"/>
                      <w:lang w:bidi="ar"/>
                    </w:rPr>
                  </w:pPr>
                  <w:r>
                    <w:rPr>
                      <w:rFonts w:hint="eastAsia"/>
                      <w:kern w:val="0"/>
                      <w:szCs w:val="21"/>
                      <w:lang w:bidi="ar"/>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1485" w:type="dxa"/>
                  <w:tcBorders>
                    <w:top w:val="single" w:color="auto" w:sz="4" w:space="0"/>
                    <w:left w:val="single" w:color="auto" w:sz="4" w:space="0"/>
                    <w:bottom w:val="single" w:color="auto" w:sz="4" w:space="0"/>
                    <w:right w:val="single" w:color="auto" w:sz="4" w:space="0"/>
                  </w:tcBorders>
                  <w:vAlign w:val="center"/>
                </w:tcPr>
                <w:p w14:paraId="4B9F3513">
                  <w:pPr>
                    <w:widowControl/>
                    <w:adjustRightInd w:val="0"/>
                    <w:snapToGrid w:val="0"/>
                    <w:textAlignment w:val="center"/>
                    <w:rPr>
                      <w:kern w:val="0"/>
                      <w:szCs w:val="21"/>
                    </w:rPr>
                  </w:pPr>
                  <w:r>
                    <w:rPr>
                      <w:rFonts w:hint="eastAsia"/>
                      <w:kern w:val="0"/>
                      <w:szCs w:val="21"/>
                    </w:rPr>
                    <w:t>本项目</w:t>
                  </w:r>
                  <w:r>
                    <w:rPr>
                      <w:rFonts w:hint="eastAsia"/>
                      <w:kern w:val="0"/>
                      <w:szCs w:val="21"/>
                      <w:lang w:val="en-US" w:eastAsia="zh-CN"/>
                    </w:rPr>
                    <w:t>生产过程产生的VOCs量较少，对环境影响不大</w:t>
                  </w:r>
                  <w:r>
                    <w:rPr>
                      <w:rFonts w:hint="eastAsia"/>
                      <w:kern w:val="0"/>
                      <w:szCs w:val="21"/>
                    </w:rPr>
                    <w:t>；生产</w:t>
                  </w:r>
                  <w:r>
                    <w:rPr>
                      <w:rFonts w:hint="eastAsia"/>
                      <w:kern w:val="0"/>
                      <w:szCs w:val="21"/>
                      <w:lang w:val="en-US" w:eastAsia="zh-CN"/>
                    </w:rPr>
                    <w:t>过程无废水产生</w:t>
                  </w:r>
                  <w:r>
                    <w:rPr>
                      <w:rFonts w:hint="eastAsia"/>
                      <w:kern w:val="0"/>
                      <w:szCs w:val="21"/>
                    </w:rPr>
                    <w:t>。</w:t>
                  </w:r>
                </w:p>
              </w:tc>
              <w:tc>
                <w:tcPr>
                  <w:tcW w:w="465" w:type="dxa"/>
                  <w:tcBorders>
                    <w:top w:val="single" w:color="auto" w:sz="4" w:space="0"/>
                    <w:left w:val="single" w:color="auto" w:sz="4" w:space="0"/>
                    <w:bottom w:val="single" w:color="auto" w:sz="4" w:space="0"/>
                    <w:right w:val="single" w:color="auto" w:sz="4" w:space="0"/>
                  </w:tcBorders>
                  <w:vAlign w:val="center"/>
                </w:tcPr>
                <w:p w14:paraId="3649C1EE">
                  <w:pPr>
                    <w:widowControl/>
                    <w:adjustRightInd w:val="0"/>
                    <w:snapToGrid w:val="0"/>
                    <w:jc w:val="center"/>
                    <w:textAlignment w:val="center"/>
                    <w:rPr>
                      <w:kern w:val="0"/>
                      <w:szCs w:val="21"/>
                    </w:rPr>
                  </w:pPr>
                  <w:r>
                    <w:rPr>
                      <w:rFonts w:hint="eastAsia"/>
                      <w:kern w:val="0"/>
                      <w:szCs w:val="21"/>
                    </w:rPr>
                    <w:t>符合</w:t>
                  </w:r>
                </w:p>
              </w:tc>
            </w:tr>
            <w:tr w14:paraId="34C4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063AE8F3">
                  <w:pPr>
                    <w:adjustRightInd w:val="0"/>
                    <w:snapToGrid w:val="0"/>
                    <w:jc w:val="center"/>
                    <w:rPr>
                      <w:bCs/>
                      <w:szCs w:val="21"/>
                    </w:rPr>
                  </w:pPr>
                  <w:r>
                    <w:rPr>
                      <w:rFonts w:hint="eastAsia"/>
                      <w:bCs/>
                      <w:szCs w:val="21"/>
                    </w:rPr>
                    <w:t>环境风险防控</w:t>
                  </w:r>
                </w:p>
              </w:tc>
              <w:tc>
                <w:tcPr>
                  <w:tcW w:w="4344" w:type="dxa"/>
                  <w:tcBorders>
                    <w:top w:val="single" w:color="auto" w:sz="4" w:space="0"/>
                    <w:left w:val="single" w:color="auto" w:sz="4" w:space="0"/>
                    <w:bottom w:val="single" w:color="auto" w:sz="4" w:space="0"/>
                    <w:right w:val="single" w:color="auto" w:sz="4" w:space="0"/>
                  </w:tcBorders>
                  <w:vAlign w:val="center"/>
                </w:tcPr>
                <w:p w14:paraId="0866ABD1">
                  <w:pPr>
                    <w:widowControl/>
                    <w:adjustRightInd w:val="0"/>
                    <w:snapToGrid w:val="0"/>
                    <w:textAlignment w:val="center"/>
                    <w:rPr>
                      <w:kern w:val="0"/>
                      <w:szCs w:val="21"/>
                      <w:lang w:bidi="ar"/>
                    </w:rPr>
                  </w:pPr>
                  <w:r>
                    <w:rPr>
                      <w:rFonts w:hint="eastAsia"/>
                      <w:kern w:val="0"/>
                      <w:szCs w:val="21"/>
                      <w:lang w:bidi="ar"/>
                    </w:rPr>
                    <w:t>1、建设项目应严格落实环境保护措施和环境风险防范措施，减缓对周边海域和陆域生态环境敏感区的不良环境影响。</w:t>
                  </w:r>
                </w:p>
                <w:p w14:paraId="0430F8E3">
                  <w:pPr>
                    <w:widowControl/>
                    <w:adjustRightInd w:val="0"/>
                    <w:snapToGrid w:val="0"/>
                    <w:textAlignment w:val="center"/>
                    <w:rPr>
                      <w:kern w:val="0"/>
                      <w:szCs w:val="21"/>
                      <w:lang w:bidi="ar"/>
                    </w:rPr>
                  </w:pPr>
                  <w:r>
                    <w:rPr>
                      <w:rFonts w:hint="eastAsia"/>
                      <w:kern w:val="0"/>
                      <w:szCs w:val="21"/>
                      <w:lang w:bidi="ar"/>
                    </w:rPr>
                    <w:t>2、三墩片区实行封闭式管理。开展环境风险评估，制定突发环境事件应急预案并备案，配备应急能力和物资，建设环境应急队伍，并定期演练。企业、园区与地方人民政府环境应急预案应当有机衔接。</w:t>
                  </w:r>
                </w:p>
                <w:p w14:paraId="4A6CD0C6">
                  <w:pPr>
                    <w:widowControl/>
                    <w:adjustRightInd w:val="0"/>
                    <w:snapToGrid w:val="0"/>
                    <w:textAlignment w:val="center"/>
                    <w:rPr>
                      <w:kern w:val="0"/>
                      <w:szCs w:val="21"/>
                      <w:lang w:bidi="ar"/>
                    </w:rPr>
                  </w:pPr>
                  <w:r>
                    <w:rPr>
                      <w:rFonts w:hint="eastAsia"/>
                      <w:kern w:val="0"/>
                      <w:szCs w:val="21"/>
                      <w:lang w:bidi="ar"/>
                    </w:rPr>
                    <w:t>3、土壤污染重点监管单位应当严格控制有毒有害物质排放，并按年度向所在地设区的市人民政府生态环境主管部门报告排放情况；建立土壤污染隐患排查制度，保证持续有效防止有毒有害物质渗漏、流失、扬散。</w:t>
                  </w:r>
                </w:p>
              </w:tc>
              <w:tc>
                <w:tcPr>
                  <w:tcW w:w="1485" w:type="dxa"/>
                  <w:tcBorders>
                    <w:top w:val="single" w:color="auto" w:sz="4" w:space="0"/>
                    <w:left w:val="single" w:color="auto" w:sz="4" w:space="0"/>
                    <w:bottom w:val="single" w:color="auto" w:sz="4" w:space="0"/>
                    <w:right w:val="single" w:color="auto" w:sz="4" w:space="0"/>
                  </w:tcBorders>
                  <w:vAlign w:val="center"/>
                </w:tcPr>
                <w:p w14:paraId="7B7B7BA7">
                  <w:pPr>
                    <w:widowControl/>
                    <w:adjustRightInd w:val="0"/>
                    <w:snapToGrid w:val="0"/>
                    <w:textAlignment w:val="center"/>
                    <w:rPr>
                      <w:kern w:val="0"/>
                      <w:szCs w:val="21"/>
                    </w:rPr>
                  </w:pPr>
                  <w:r>
                    <w:rPr>
                      <w:rFonts w:hint="eastAsia"/>
                      <w:kern w:val="0"/>
                      <w:szCs w:val="21"/>
                    </w:rPr>
                    <w:t>项目建成后将严格落实本评价提出的各项环境保护措施和风险防范措施；项目建成后不需要调整应急预案。广西华谊能源化工有限公司已制定全厂突发环境事件应急预案并备案；项目不属于土壤重点污染监管单位。</w:t>
                  </w:r>
                </w:p>
              </w:tc>
              <w:tc>
                <w:tcPr>
                  <w:tcW w:w="465" w:type="dxa"/>
                  <w:tcBorders>
                    <w:top w:val="single" w:color="auto" w:sz="4" w:space="0"/>
                    <w:left w:val="single" w:color="auto" w:sz="4" w:space="0"/>
                    <w:bottom w:val="single" w:color="auto" w:sz="4" w:space="0"/>
                    <w:right w:val="single" w:color="auto" w:sz="4" w:space="0"/>
                  </w:tcBorders>
                  <w:vAlign w:val="center"/>
                </w:tcPr>
                <w:p w14:paraId="606C8D20">
                  <w:pPr>
                    <w:widowControl/>
                    <w:adjustRightInd w:val="0"/>
                    <w:snapToGrid w:val="0"/>
                    <w:jc w:val="center"/>
                    <w:textAlignment w:val="center"/>
                    <w:rPr>
                      <w:kern w:val="0"/>
                      <w:szCs w:val="21"/>
                    </w:rPr>
                  </w:pPr>
                  <w:r>
                    <w:rPr>
                      <w:rFonts w:hint="eastAsia"/>
                      <w:kern w:val="0"/>
                      <w:szCs w:val="21"/>
                    </w:rPr>
                    <w:t>符合</w:t>
                  </w:r>
                </w:p>
              </w:tc>
            </w:tr>
            <w:tr w14:paraId="04EE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5532A66C">
                  <w:pPr>
                    <w:adjustRightInd w:val="0"/>
                    <w:snapToGrid w:val="0"/>
                    <w:jc w:val="center"/>
                    <w:rPr>
                      <w:bCs/>
                      <w:szCs w:val="21"/>
                    </w:rPr>
                  </w:pPr>
                  <w:r>
                    <w:rPr>
                      <w:rFonts w:hint="eastAsia"/>
                      <w:bCs/>
                      <w:szCs w:val="21"/>
                    </w:rPr>
                    <w:t>资源开发利用效率要求</w:t>
                  </w:r>
                </w:p>
              </w:tc>
              <w:tc>
                <w:tcPr>
                  <w:tcW w:w="4344" w:type="dxa"/>
                  <w:tcBorders>
                    <w:top w:val="single" w:color="auto" w:sz="4" w:space="0"/>
                    <w:left w:val="single" w:color="auto" w:sz="4" w:space="0"/>
                    <w:bottom w:val="single" w:color="auto" w:sz="4" w:space="0"/>
                    <w:right w:val="single" w:color="auto" w:sz="4" w:space="0"/>
                  </w:tcBorders>
                  <w:vAlign w:val="center"/>
                </w:tcPr>
                <w:p w14:paraId="66BCF5B9">
                  <w:pPr>
                    <w:widowControl/>
                    <w:adjustRightInd w:val="0"/>
                    <w:snapToGrid w:val="0"/>
                    <w:textAlignment w:val="center"/>
                    <w:rPr>
                      <w:kern w:val="0"/>
                      <w:szCs w:val="21"/>
                      <w:lang w:bidi="ar"/>
                    </w:rPr>
                  </w:pPr>
                  <w:r>
                    <w:rPr>
                      <w:rFonts w:hint="eastAsia"/>
                      <w:kern w:val="0"/>
                      <w:szCs w:val="21"/>
                      <w:lang w:bidi="ar"/>
                    </w:rPr>
                    <w:t>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依据《钦州市人民政府关于划定高污染燃料禁燃区的通告》，高污染燃料为：</w:t>
                  </w:r>
                </w:p>
                <w:p w14:paraId="0A789564">
                  <w:pPr>
                    <w:widowControl/>
                    <w:adjustRightInd w:val="0"/>
                    <w:snapToGrid w:val="0"/>
                    <w:textAlignment w:val="center"/>
                    <w:rPr>
                      <w:kern w:val="0"/>
                      <w:szCs w:val="21"/>
                      <w:lang w:bidi="ar"/>
                    </w:rPr>
                  </w:pPr>
                  <w:r>
                    <w:rPr>
                      <w:rFonts w:hint="eastAsia"/>
                      <w:kern w:val="0"/>
                      <w:szCs w:val="21"/>
                      <w:lang w:bidi="ar"/>
                    </w:rPr>
                    <w:t>（一）除单台出力大于等于20蒸吨/小时锅炉以外的燃用煤炭及其制品；（二）石油焦、油页岩、原油、重油、渣油、煤焦油，以及各种可燃废物和直接燃用的生物质非成型燃料〈树木、秸秆、锯末、稻壳、蔗渣等〉）。</w:t>
                  </w:r>
                </w:p>
              </w:tc>
              <w:tc>
                <w:tcPr>
                  <w:tcW w:w="1485" w:type="dxa"/>
                  <w:tcBorders>
                    <w:top w:val="single" w:color="auto" w:sz="4" w:space="0"/>
                    <w:left w:val="single" w:color="auto" w:sz="4" w:space="0"/>
                    <w:bottom w:val="single" w:color="auto" w:sz="4" w:space="0"/>
                    <w:right w:val="single" w:color="auto" w:sz="4" w:space="0"/>
                  </w:tcBorders>
                  <w:vAlign w:val="center"/>
                </w:tcPr>
                <w:p w14:paraId="46D5291C">
                  <w:pPr>
                    <w:widowControl/>
                    <w:adjustRightInd w:val="0"/>
                    <w:snapToGrid w:val="0"/>
                    <w:jc w:val="center"/>
                    <w:textAlignment w:val="center"/>
                    <w:rPr>
                      <w:kern w:val="0"/>
                      <w:szCs w:val="21"/>
                    </w:rPr>
                  </w:pPr>
                  <w:r>
                    <w:rPr>
                      <w:rFonts w:hint="eastAsia"/>
                      <w:kern w:val="0"/>
                      <w:szCs w:val="21"/>
                      <w:lang w:bidi="ar"/>
                    </w:rPr>
                    <w:t>项目不涉及使用燃料。</w:t>
                  </w:r>
                </w:p>
              </w:tc>
              <w:tc>
                <w:tcPr>
                  <w:tcW w:w="465" w:type="dxa"/>
                  <w:tcBorders>
                    <w:top w:val="single" w:color="auto" w:sz="4" w:space="0"/>
                    <w:left w:val="single" w:color="auto" w:sz="4" w:space="0"/>
                    <w:bottom w:val="single" w:color="auto" w:sz="4" w:space="0"/>
                    <w:right w:val="single" w:color="auto" w:sz="4" w:space="0"/>
                  </w:tcBorders>
                  <w:vAlign w:val="center"/>
                </w:tcPr>
                <w:p w14:paraId="27938DCB">
                  <w:pPr>
                    <w:widowControl/>
                    <w:adjustRightInd w:val="0"/>
                    <w:snapToGrid w:val="0"/>
                    <w:jc w:val="center"/>
                    <w:textAlignment w:val="center"/>
                    <w:rPr>
                      <w:kern w:val="0"/>
                      <w:szCs w:val="21"/>
                    </w:rPr>
                  </w:pPr>
                  <w:r>
                    <w:rPr>
                      <w:rFonts w:hint="eastAsia"/>
                      <w:kern w:val="0"/>
                      <w:szCs w:val="21"/>
                    </w:rPr>
                    <w:t>符合</w:t>
                  </w:r>
                </w:p>
              </w:tc>
            </w:tr>
          </w:tbl>
          <w:p w14:paraId="2EC9CD65">
            <w:pPr>
              <w:spacing w:line="500" w:lineRule="atLeast"/>
              <w:jc w:val="center"/>
              <w:rPr>
                <w:b/>
                <w:bCs/>
                <w:sz w:val="24"/>
              </w:rPr>
            </w:pPr>
            <w:r>
              <w:rPr>
                <w:rFonts w:hint="eastAsia"/>
                <w:b/>
                <w:bCs/>
                <w:sz w:val="24"/>
              </w:rPr>
              <w:t>表1-5与北部湾经济区生态环境总体准入及管控要求的相符性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769"/>
              <w:gridCol w:w="578"/>
              <w:gridCol w:w="3000"/>
              <w:gridCol w:w="1321"/>
              <w:gridCol w:w="458"/>
            </w:tblGrid>
            <w:tr w14:paraId="77BB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tcBorders>
                    <w:top w:val="single" w:color="auto" w:sz="4" w:space="0"/>
                    <w:left w:val="single" w:color="auto" w:sz="4" w:space="0"/>
                    <w:bottom w:val="single" w:color="auto" w:sz="4" w:space="0"/>
                    <w:right w:val="single" w:color="auto" w:sz="4" w:space="0"/>
                  </w:tcBorders>
                  <w:vAlign w:val="center"/>
                </w:tcPr>
                <w:p w14:paraId="41534ADC">
                  <w:pPr>
                    <w:adjustRightInd w:val="0"/>
                    <w:snapToGrid w:val="0"/>
                    <w:jc w:val="center"/>
                    <w:rPr>
                      <w:bCs/>
                      <w:szCs w:val="21"/>
                    </w:rPr>
                  </w:pPr>
                  <w:r>
                    <w:rPr>
                      <w:bCs/>
                      <w:szCs w:val="21"/>
                    </w:rPr>
                    <w:t>适用</w:t>
                  </w:r>
                </w:p>
                <w:p w14:paraId="05780C17">
                  <w:pPr>
                    <w:adjustRightInd w:val="0"/>
                    <w:snapToGrid w:val="0"/>
                    <w:jc w:val="center"/>
                    <w:rPr>
                      <w:bCs/>
                      <w:szCs w:val="21"/>
                    </w:rPr>
                  </w:pPr>
                  <w:r>
                    <w:rPr>
                      <w:bCs/>
                      <w:szCs w:val="21"/>
                    </w:rPr>
                    <w:t>分区</w:t>
                  </w:r>
                </w:p>
              </w:tc>
              <w:tc>
                <w:tcPr>
                  <w:tcW w:w="591" w:type="pct"/>
                  <w:tcBorders>
                    <w:top w:val="single" w:color="auto" w:sz="4" w:space="0"/>
                    <w:left w:val="single" w:color="auto" w:sz="4" w:space="0"/>
                    <w:bottom w:val="single" w:color="auto" w:sz="4" w:space="0"/>
                    <w:right w:val="single" w:color="auto" w:sz="4" w:space="0"/>
                  </w:tcBorders>
                  <w:vAlign w:val="center"/>
                </w:tcPr>
                <w:p w14:paraId="007D7943">
                  <w:pPr>
                    <w:adjustRightInd w:val="0"/>
                    <w:snapToGrid w:val="0"/>
                    <w:jc w:val="center"/>
                    <w:rPr>
                      <w:bCs/>
                      <w:szCs w:val="21"/>
                    </w:rPr>
                  </w:pPr>
                  <w:r>
                    <w:rPr>
                      <w:bCs/>
                      <w:szCs w:val="21"/>
                    </w:rPr>
                    <w:t>适用对象</w:t>
                  </w:r>
                </w:p>
              </w:tc>
              <w:tc>
                <w:tcPr>
                  <w:tcW w:w="444" w:type="pct"/>
                  <w:tcBorders>
                    <w:top w:val="single" w:color="auto" w:sz="4" w:space="0"/>
                    <w:left w:val="single" w:color="auto" w:sz="4" w:space="0"/>
                    <w:bottom w:val="single" w:color="auto" w:sz="4" w:space="0"/>
                    <w:right w:val="single" w:color="auto" w:sz="4" w:space="0"/>
                  </w:tcBorders>
                  <w:vAlign w:val="center"/>
                </w:tcPr>
                <w:p w14:paraId="533FE43D">
                  <w:pPr>
                    <w:adjustRightInd w:val="0"/>
                    <w:snapToGrid w:val="0"/>
                    <w:jc w:val="center"/>
                    <w:rPr>
                      <w:bCs/>
                      <w:szCs w:val="21"/>
                    </w:rPr>
                  </w:pPr>
                  <w:r>
                    <w:rPr>
                      <w:bCs/>
                      <w:szCs w:val="21"/>
                    </w:rPr>
                    <w:t>管控要求</w:t>
                  </w:r>
                </w:p>
                <w:p w14:paraId="7D18357C">
                  <w:pPr>
                    <w:adjustRightInd w:val="0"/>
                    <w:snapToGrid w:val="0"/>
                    <w:jc w:val="center"/>
                    <w:rPr>
                      <w:bCs/>
                      <w:szCs w:val="21"/>
                    </w:rPr>
                  </w:pPr>
                  <w:r>
                    <w:rPr>
                      <w:bCs/>
                      <w:szCs w:val="21"/>
                    </w:rPr>
                    <w:t>类别</w:t>
                  </w:r>
                </w:p>
              </w:tc>
              <w:tc>
                <w:tcPr>
                  <w:tcW w:w="2306" w:type="pct"/>
                  <w:tcBorders>
                    <w:top w:val="single" w:color="auto" w:sz="4" w:space="0"/>
                    <w:left w:val="single" w:color="auto" w:sz="4" w:space="0"/>
                    <w:bottom w:val="single" w:color="auto" w:sz="4" w:space="0"/>
                    <w:right w:val="single" w:color="auto" w:sz="4" w:space="0"/>
                  </w:tcBorders>
                  <w:vAlign w:val="center"/>
                </w:tcPr>
                <w:p w14:paraId="0354D475">
                  <w:pPr>
                    <w:adjustRightInd w:val="0"/>
                    <w:snapToGrid w:val="0"/>
                    <w:jc w:val="center"/>
                    <w:rPr>
                      <w:bCs/>
                      <w:szCs w:val="21"/>
                    </w:rPr>
                  </w:pPr>
                  <w:r>
                    <w:rPr>
                      <w:bCs/>
                      <w:szCs w:val="21"/>
                    </w:rPr>
                    <w:t>生态环境准入及管控要求</w:t>
                  </w:r>
                </w:p>
              </w:tc>
              <w:tc>
                <w:tcPr>
                  <w:tcW w:w="1015" w:type="pct"/>
                  <w:tcBorders>
                    <w:top w:val="single" w:color="auto" w:sz="4" w:space="0"/>
                    <w:left w:val="single" w:color="auto" w:sz="4" w:space="0"/>
                    <w:bottom w:val="single" w:color="auto" w:sz="4" w:space="0"/>
                    <w:right w:val="single" w:color="auto" w:sz="4" w:space="0"/>
                  </w:tcBorders>
                  <w:vAlign w:val="center"/>
                </w:tcPr>
                <w:p w14:paraId="178FDA8C">
                  <w:pPr>
                    <w:adjustRightInd w:val="0"/>
                    <w:snapToGrid w:val="0"/>
                    <w:jc w:val="center"/>
                    <w:rPr>
                      <w:bCs/>
                      <w:szCs w:val="21"/>
                    </w:rPr>
                  </w:pPr>
                  <w:r>
                    <w:rPr>
                      <w:bCs/>
                      <w:szCs w:val="21"/>
                    </w:rPr>
                    <w:t>项目情况</w:t>
                  </w:r>
                </w:p>
              </w:tc>
              <w:tc>
                <w:tcPr>
                  <w:tcW w:w="352" w:type="pct"/>
                  <w:tcBorders>
                    <w:top w:val="single" w:color="auto" w:sz="4" w:space="0"/>
                    <w:left w:val="single" w:color="auto" w:sz="4" w:space="0"/>
                    <w:bottom w:val="single" w:color="auto" w:sz="4" w:space="0"/>
                    <w:right w:val="single" w:color="auto" w:sz="4" w:space="0"/>
                  </w:tcBorders>
                  <w:vAlign w:val="center"/>
                </w:tcPr>
                <w:p w14:paraId="599C2864">
                  <w:pPr>
                    <w:adjustRightInd w:val="0"/>
                    <w:snapToGrid w:val="0"/>
                    <w:jc w:val="center"/>
                    <w:rPr>
                      <w:bCs/>
                      <w:szCs w:val="21"/>
                    </w:rPr>
                  </w:pPr>
                  <w:r>
                    <w:rPr>
                      <w:bCs/>
                      <w:szCs w:val="21"/>
                    </w:rPr>
                    <w:t>符合性</w:t>
                  </w:r>
                </w:p>
              </w:tc>
            </w:tr>
            <w:tr w14:paraId="11D6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restart"/>
                  <w:tcBorders>
                    <w:top w:val="nil"/>
                    <w:left w:val="single" w:color="auto" w:sz="4" w:space="0"/>
                    <w:right w:val="single" w:color="auto" w:sz="4" w:space="0"/>
                  </w:tcBorders>
                  <w:vAlign w:val="center"/>
                </w:tcPr>
                <w:p w14:paraId="6D9CFBA1">
                  <w:pPr>
                    <w:adjustRightInd w:val="0"/>
                    <w:snapToGrid w:val="0"/>
                    <w:jc w:val="center"/>
                    <w:rPr>
                      <w:bCs/>
                      <w:szCs w:val="21"/>
                    </w:rPr>
                  </w:pPr>
                  <w:r>
                    <w:rPr>
                      <w:bCs/>
                      <w:szCs w:val="21"/>
                    </w:rPr>
                    <w:t>北部湾经济区全部分区</w:t>
                  </w:r>
                </w:p>
              </w:tc>
              <w:tc>
                <w:tcPr>
                  <w:tcW w:w="591" w:type="pct"/>
                  <w:vMerge w:val="restart"/>
                  <w:tcBorders>
                    <w:top w:val="nil"/>
                    <w:left w:val="single" w:color="auto" w:sz="4" w:space="0"/>
                    <w:right w:val="single" w:color="auto" w:sz="4" w:space="0"/>
                  </w:tcBorders>
                  <w:vAlign w:val="center"/>
                </w:tcPr>
                <w:p w14:paraId="4078C918">
                  <w:pPr>
                    <w:adjustRightInd w:val="0"/>
                    <w:snapToGrid w:val="0"/>
                    <w:jc w:val="center"/>
                    <w:rPr>
                      <w:bCs/>
                      <w:szCs w:val="21"/>
                    </w:rPr>
                  </w:pPr>
                  <w:r>
                    <w:rPr>
                      <w:bCs/>
                      <w:szCs w:val="21"/>
                    </w:rPr>
                    <w:t>北部湾经济区（本清单适用于南宁市、北海市、钦州市、防城港市和玉林市）</w:t>
                  </w:r>
                </w:p>
              </w:tc>
              <w:tc>
                <w:tcPr>
                  <w:tcW w:w="444" w:type="pct"/>
                  <w:tcBorders>
                    <w:top w:val="single" w:color="auto" w:sz="4" w:space="0"/>
                    <w:left w:val="single" w:color="auto" w:sz="4" w:space="0"/>
                    <w:bottom w:val="single" w:color="auto" w:sz="4" w:space="0"/>
                    <w:right w:val="single" w:color="auto" w:sz="4" w:space="0"/>
                  </w:tcBorders>
                  <w:vAlign w:val="center"/>
                </w:tcPr>
                <w:p w14:paraId="61D3C7CA">
                  <w:pPr>
                    <w:adjustRightInd w:val="0"/>
                    <w:snapToGrid w:val="0"/>
                    <w:jc w:val="center"/>
                    <w:rPr>
                      <w:bCs/>
                      <w:szCs w:val="21"/>
                    </w:rPr>
                  </w:pPr>
                  <w:r>
                    <w:rPr>
                      <w:bCs/>
                      <w:szCs w:val="21"/>
                    </w:rPr>
                    <w:t>空间</w:t>
                  </w:r>
                </w:p>
                <w:p w14:paraId="0D3A8EC6">
                  <w:pPr>
                    <w:adjustRightInd w:val="0"/>
                    <w:snapToGrid w:val="0"/>
                    <w:jc w:val="center"/>
                    <w:rPr>
                      <w:bCs/>
                      <w:szCs w:val="21"/>
                    </w:rPr>
                  </w:pPr>
                  <w:r>
                    <w:rPr>
                      <w:bCs/>
                      <w:szCs w:val="21"/>
                    </w:rPr>
                    <w:t>布局约束</w:t>
                  </w:r>
                </w:p>
              </w:tc>
              <w:tc>
                <w:tcPr>
                  <w:tcW w:w="2306" w:type="pct"/>
                  <w:tcBorders>
                    <w:top w:val="single" w:color="auto" w:sz="4" w:space="0"/>
                    <w:left w:val="single" w:color="auto" w:sz="4" w:space="0"/>
                    <w:bottom w:val="single" w:color="auto" w:sz="4" w:space="0"/>
                    <w:right w:val="single" w:color="auto" w:sz="4" w:space="0"/>
                  </w:tcBorders>
                  <w:vAlign w:val="center"/>
                </w:tcPr>
                <w:p w14:paraId="47C96F26">
                  <w:pPr>
                    <w:adjustRightInd w:val="0"/>
                    <w:snapToGrid w:val="0"/>
                    <w:jc w:val="left"/>
                    <w:rPr>
                      <w:bCs/>
                      <w:szCs w:val="21"/>
                    </w:rPr>
                  </w:pPr>
                  <w:r>
                    <w:rPr>
                      <w:bCs/>
                      <w:szCs w:val="21"/>
                    </w:rPr>
                    <w:t>1．坚持高质量发展和高水平保护并重，引领广西高质量发展的重要增长极和成为具有区域影响力和带动力的重要增长极，建设宜居宜业宜游蓝色生态湾区。</w:t>
                  </w:r>
                </w:p>
                <w:p w14:paraId="30F499FE">
                  <w:pPr>
                    <w:adjustRightInd w:val="0"/>
                    <w:snapToGrid w:val="0"/>
                    <w:jc w:val="left"/>
                    <w:rPr>
                      <w:bCs/>
                      <w:szCs w:val="21"/>
                    </w:rPr>
                  </w:pPr>
                  <w:r>
                    <w:rPr>
                      <w:bCs/>
                      <w:szCs w:val="21"/>
                    </w:rPr>
                    <w:t>2．实行严格的资源环境生态红线管控，合理开发和节约资源，加强对水源林、防护林、湿地等生态系统的保护与修复。</w:t>
                  </w:r>
                </w:p>
                <w:p w14:paraId="0EA941FD">
                  <w:pPr>
                    <w:adjustRightInd w:val="0"/>
                    <w:snapToGrid w:val="0"/>
                    <w:jc w:val="left"/>
                    <w:rPr>
                      <w:bCs/>
                      <w:szCs w:val="21"/>
                    </w:rPr>
                  </w:pPr>
                  <w:r>
                    <w:rPr>
                      <w:bCs/>
                      <w:szCs w:val="21"/>
                    </w:rPr>
                    <w:t>3．加大滨海湿地保护和修复力度，对红树林、珊瑚礁、海草床等重要海洋生态系统实行最严格的保护措施，加强珍稀濒危物种及重要海洋生态系统的生境保护。加强沿海防护林体系建设，加强对防城江、北仑河、钦江等重要江河源头区、湖库型饮用水源地等区域水土流失预防。推进互花米草防治。</w:t>
                  </w:r>
                </w:p>
                <w:p w14:paraId="734E8954">
                  <w:pPr>
                    <w:adjustRightInd w:val="0"/>
                    <w:snapToGrid w:val="0"/>
                    <w:jc w:val="left"/>
                    <w:rPr>
                      <w:bCs/>
                      <w:szCs w:val="21"/>
                    </w:rPr>
                  </w:pPr>
                  <w:r>
                    <w:rPr>
                      <w:bCs/>
                      <w:szCs w:val="21"/>
                    </w:rPr>
                    <w:t>4．严格围填海管控，禁止在海域内实施连岛行动。保护北部湾自然岸线，严格控制岸线利用项目准入门槛。合理有序开发利用滩涂资源。</w:t>
                  </w:r>
                </w:p>
                <w:p w14:paraId="0D94F8C7">
                  <w:pPr>
                    <w:adjustRightInd w:val="0"/>
                    <w:snapToGrid w:val="0"/>
                    <w:jc w:val="left"/>
                    <w:rPr>
                      <w:bCs/>
                      <w:szCs w:val="21"/>
                    </w:rPr>
                  </w:pPr>
                  <w:r>
                    <w:rPr>
                      <w:bCs/>
                      <w:szCs w:val="21"/>
                    </w:rPr>
                    <w:t>5．南流江流域、廉州湾海域超过环境承载力的县市区严格区域主要污染物管控要求，新改扩“两高”、重点行业建设项目实行主要污染物区域削减方案。廉州湾沿岸新设排污口选址必须符合《中华人民共和国海洋环境保护法》《</w:t>
                  </w:r>
                  <w:r>
                    <w:rPr>
                      <w:rFonts w:hint="eastAsia"/>
                      <w:bCs/>
                      <w:szCs w:val="21"/>
                    </w:rPr>
                    <w:t>中华人民共和国防治陆源污染物污染损害海洋环境管理条例</w:t>
                  </w:r>
                  <w:r>
                    <w:rPr>
                      <w:bCs/>
                      <w:szCs w:val="21"/>
                    </w:rPr>
                    <w:t>》等有关规定。</w:t>
                  </w:r>
                </w:p>
                <w:p w14:paraId="240D9200">
                  <w:pPr>
                    <w:adjustRightInd w:val="0"/>
                    <w:snapToGrid w:val="0"/>
                    <w:jc w:val="left"/>
                    <w:rPr>
                      <w:bCs/>
                      <w:szCs w:val="21"/>
                    </w:rPr>
                  </w:pPr>
                  <w:r>
                    <w:rPr>
                      <w:bCs/>
                      <w:szCs w:val="21"/>
                    </w:rPr>
                    <w:t>6．依法依规推动落后产能有序退出。</w:t>
                  </w:r>
                </w:p>
                <w:p w14:paraId="21FDBAEA">
                  <w:pPr>
                    <w:adjustRightInd w:val="0"/>
                    <w:snapToGrid w:val="0"/>
                    <w:jc w:val="left"/>
                    <w:rPr>
                      <w:bCs/>
                      <w:szCs w:val="21"/>
                    </w:rPr>
                  </w:pPr>
                  <w:r>
                    <w:rPr>
                      <w:bCs/>
                      <w:szCs w:val="21"/>
                    </w:rPr>
                    <w:t>7．严禁占用运河沿线两岸1公里范围内预留作为生态廊道的用地，科学规划平陆运河沿岸生态廊道空间和开发保护核心管制区。</w:t>
                  </w:r>
                </w:p>
                <w:p w14:paraId="3C552D4C">
                  <w:pPr>
                    <w:adjustRightInd w:val="0"/>
                    <w:snapToGrid w:val="0"/>
                    <w:jc w:val="left"/>
                    <w:rPr>
                      <w:bCs/>
                      <w:szCs w:val="21"/>
                    </w:rPr>
                  </w:pPr>
                  <w:r>
                    <w:rPr>
                      <w:bCs/>
                      <w:szCs w:val="21"/>
                    </w:rPr>
                    <w:t>8．执行平陆运河绿色工程防范管控重点清单、打造特色亮点清单，平陆运河绿色工程评估指标体系。</w:t>
                  </w:r>
                </w:p>
              </w:tc>
              <w:tc>
                <w:tcPr>
                  <w:tcW w:w="1015" w:type="pct"/>
                  <w:tcBorders>
                    <w:top w:val="single" w:color="auto" w:sz="4" w:space="0"/>
                    <w:left w:val="single" w:color="auto" w:sz="4" w:space="0"/>
                    <w:bottom w:val="single" w:color="auto" w:sz="4" w:space="0"/>
                    <w:right w:val="single" w:color="auto" w:sz="4" w:space="0"/>
                  </w:tcBorders>
                  <w:vAlign w:val="center"/>
                </w:tcPr>
                <w:p w14:paraId="537383CE">
                  <w:pPr>
                    <w:adjustRightInd w:val="0"/>
                    <w:snapToGrid w:val="0"/>
                    <w:jc w:val="left"/>
                    <w:rPr>
                      <w:bCs/>
                      <w:szCs w:val="21"/>
                    </w:rPr>
                  </w:pPr>
                  <w:r>
                    <w:rPr>
                      <w:bCs/>
                      <w:szCs w:val="21"/>
                    </w:rPr>
                    <w:t>1、项目</w:t>
                  </w:r>
                  <w:r>
                    <w:rPr>
                      <w:rFonts w:hint="eastAsia"/>
                      <w:bCs/>
                      <w:szCs w:val="21"/>
                      <w:lang w:val="en-US" w:eastAsia="zh-CN"/>
                    </w:rPr>
                    <w:t>符合地方规划和产业政策</w:t>
                  </w:r>
                  <w:r>
                    <w:rPr>
                      <w:bCs/>
                      <w:szCs w:val="21"/>
                    </w:rPr>
                    <w:t>。</w:t>
                  </w:r>
                </w:p>
                <w:p w14:paraId="65B5FA48">
                  <w:pPr>
                    <w:adjustRightInd w:val="0"/>
                    <w:snapToGrid w:val="0"/>
                    <w:jc w:val="left"/>
                    <w:rPr>
                      <w:bCs/>
                      <w:szCs w:val="21"/>
                    </w:rPr>
                  </w:pPr>
                  <w:r>
                    <w:rPr>
                      <w:bCs/>
                      <w:szCs w:val="21"/>
                    </w:rPr>
                    <w:t xml:space="preserve">2、项目符合资源环境生态红线管控要求。 </w:t>
                  </w:r>
                </w:p>
                <w:p w14:paraId="15570334">
                  <w:pPr>
                    <w:adjustRightInd w:val="0"/>
                    <w:snapToGrid w:val="0"/>
                    <w:jc w:val="left"/>
                    <w:rPr>
                      <w:bCs/>
                      <w:szCs w:val="21"/>
                    </w:rPr>
                  </w:pPr>
                  <w:r>
                    <w:rPr>
                      <w:bCs/>
                      <w:szCs w:val="21"/>
                    </w:rPr>
                    <w:t>3、项目不涉及滨海湿地、红树林、珊瑚礁等海洋生态系统。</w:t>
                  </w:r>
                </w:p>
                <w:p w14:paraId="4317F029">
                  <w:pPr>
                    <w:adjustRightInd w:val="0"/>
                    <w:snapToGrid w:val="0"/>
                    <w:jc w:val="left"/>
                    <w:rPr>
                      <w:bCs/>
                      <w:szCs w:val="21"/>
                    </w:rPr>
                  </w:pPr>
                  <w:r>
                    <w:rPr>
                      <w:bCs/>
                      <w:szCs w:val="21"/>
                    </w:rPr>
                    <w:t>4、项目不涉及开发利用滩涂资源。</w:t>
                  </w:r>
                </w:p>
                <w:p w14:paraId="51474BD1">
                  <w:pPr>
                    <w:adjustRightInd w:val="0"/>
                    <w:snapToGrid w:val="0"/>
                    <w:jc w:val="left"/>
                    <w:rPr>
                      <w:bCs/>
                      <w:szCs w:val="21"/>
                    </w:rPr>
                  </w:pPr>
                  <w:r>
                    <w:rPr>
                      <w:bCs/>
                      <w:szCs w:val="21"/>
                    </w:rPr>
                    <w:t>5、项目不涉及南流江流域、廉州湾海域。</w:t>
                  </w:r>
                </w:p>
                <w:p w14:paraId="5A550267">
                  <w:pPr>
                    <w:adjustRightInd w:val="0"/>
                    <w:snapToGrid w:val="0"/>
                    <w:jc w:val="left"/>
                    <w:rPr>
                      <w:bCs/>
                      <w:szCs w:val="21"/>
                    </w:rPr>
                  </w:pPr>
                  <w:r>
                    <w:rPr>
                      <w:bCs/>
                      <w:szCs w:val="21"/>
                    </w:rPr>
                    <w:t>6、项目不属于</w:t>
                  </w:r>
                  <w:r>
                    <w:rPr>
                      <w:rFonts w:hint="eastAsia"/>
                      <w:bCs/>
                      <w:szCs w:val="21"/>
                    </w:rPr>
                    <w:t>生产类项目，不属于</w:t>
                  </w:r>
                  <w:r>
                    <w:rPr>
                      <w:bCs/>
                      <w:szCs w:val="21"/>
                    </w:rPr>
                    <w:t>产能落后行业。</w:t>
                  </w:r>
                </w:p>
                <w:p w14:paraId="517ECDF5">
                  <w:pPr>
                    <w:adjustRightInd w:val="0"/>
                    <w:snapToGrid w:val="0"/>
                    <w:jc w:val="left"/>
                    <w:rPr>
                      <w:bCs/>
                      <w:szCs w:val="21"/>
                    </w:rPr>
                  </w:pPr>
                  <w:r>
                    <w:rPr>
                      <w:bCs/>
                      <w:szCs w:val="21"/>
                    </w:rPr>
                    <w:t>7、项目位于钦州石化产业园内，用地为</w:t>
                  </w:r>
                  <w:r>
                    <w:rPr>
                      <w:rFonts w:hint="eastAsia"/>
                      <w:bCs/>
                      <w:szCs w:val="21"/>
                    </w:rPr>
                    <w:t>工业</w:t>
                  </w:r>
                  <w:r>
                    <w:rPr>
                      <w:bCs/>
                      <w:szCs w:val="21"/>
                    </w:rPr>
                    <w:t>用地，不涉及平陆运河沿岸生态廊道空间和开发保护核心管制区。</w:t>
                  </w:r>
                </w:p>
                <w:p w14:paraId="2AB7A663">
                  <w:pPr>
                    <w:adjustRightInd w:val="0"/>
                    <w:snapToGrid w:val="0"/>
                    <w:jc w:val="left"/>
                    <w:rPr>
                      <w:bCs/>
                      <w:szCs w:val="21"/>
                    </w:rPr>
                  </w:pPr>
                  <w:r>
                    <w:rPr>
                      <w:bCs/>
                      <w:szCs w:val="21"/>
                    </w:rPr>
                    <w:t>8、项目不涉及平陆运河。</w:t>
                  </w:r>
                </w:p>
              </w:tc>
              <w:tc>
                <w:tcPr>
                  <w:tcW w:w="352" w:type="pct"/>
                  <w:tcBorders>
                    <w:top w:val="single" w:color="auto" w:sz="4" w:space="0"/>
                    <w:left w:val="single" w:color="auto" w:sz="4" w:space="0"/>
                    <w:bottom w:val="single" w:color="auto" w:sz="4" w:space="0"/>
                    <w:right w:val="single" w:color="auto" w:sz="4" w:space="0"/>
                  </w:tcBorders>
                  <w:vAlign w:val="center"/>
                </w:tcPr>
                <w:p w14:paraId="50092367">
                  <w:pPr>
                    <w:adjustRightInd w:val="0"/>
                    <w:snapToGrid w:val="0"/>
                    <w:jc w:val="center"/>
                    <w:rPr>
                      <w:bCs/>
                      <w:szCs w:val="21"/>
                    </w:rPr>
                  </w:pPr>
                  <w:r>
                    <w:rPr>
                      <w:bCs/>
                      <w:szCs w:val="21"/>
                    </w:rPr>
                    <w:t>符合</w:t>
                  </w:r>
                </w:p>
              </w:tc>
            </w:tr>
            <w:tr w14:paraId="4DD7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continue"/>
                  <w:tcBorders>
                    <w:left w:val="single" w:color="auto" w:sz="4" w:space="0"/>
                    <w:right w:val="single" w:color="auto" w:sz="4" w:space="0"/>
                  </w:tcBorders>
                  <w:vAlign w:val="center"/>
                </w:tcPr>
                <w:p w14:paraId="7F0C9399">
                  <w:pPr>
                    <w:adjustRightInd w:val="0"/>
                    <w:snapToGrid w:val="0"/>
                    <w:jc w:val="center"/>
                    <w:rPr>
                      <w:bCs/>
                      <w:szCs w:val="21"/>
                    </w:rPr>
                  </w:pPr>
                </w:p>
              </w:tc>
              <w:tc>
                <w:tcPr>
                  <w:tcW w:w="591" w:type="pct"/>
                  <w:vMerge w:val="continue"/>
                  <w:tcBorders>
                    <w:left w:val="single" w:color="auto" w:sz="4" w:space="0"/>
                    <w:right w:val="single" w:color="auto" w:sz="4" w:space="0"/>
                  </w:tcBorders>
                  <w:vAlign w:val="center"/>
                </w:tcPr>
                <w:p w14:paraId="779F24D0">
                  <w:pPr>
                    <w:adjustRightInd w:val="0"/>
                    <w:snapToGrid w:val="0"/>
                    <w:jc w:val="center"/>
                    <w:rPr>
                      <w:bCs/>
                      <w:szCs w:val="21"/>
                    </w:rPr>
                  </w:pPr>
                </w:p>
              </w:tc>
              <w:tc>
                <w:tcPr>
                  <w:tcW w:w="444" w:type="pct"/>
                  <w:tcBorders>
                    <w:top w:val="single" w:color="auto" w:sz="4" w:space="0"/>
                    <w:left w:val="single" w:color="auto" w:sz="4" w:space="0"/>
                    <w:bottom w:val="single" w:color="auto" w:sz="4" w:space="0"/>
                    <w:right w:val="single" w:color="auto" w:sz="4" w:space="0"/>
                  </w:tcBorders>
                  <w:vAlign w:val="center"/>
                </w:tcPr>
                <w:p w14:paraId="73D8286C">
                  <w:pPr>
                    <w:adjustRightInd w:val="0"/>
                    <w:snapToGrid w:val="0"/>
                    <w:jc w:val="center"/>
                    <w:rPr>
                      <w:bCs/>
                      <w:szCs w:val="21"/>
                    </w:rPr>
                  </w:pPr>
                  <w:r>
                    <w:rPr>
                      <w:bCs/>
                      <w:szCs w:val="21"/>
                    </w:rPr>
                    <w:t>污染物排放管控</w:t>
                  </w:r>
                </w:p>
              </w:tc>
              <w:tc>
                <w:tcPr>
                  <w:tcW w:w="2306" w:type="pct"/>
                  <w:tcBorders>
                    <w:top w:val="single" w:color="auto" w:sz="4" w:space="0"/>
                    <w:left w:val="single" w:color="auto" w:sz="4" w:space="0"/>
                    <w:bottom w:val="single" w:color="auto" w:sz="4" w:space="0"/>
                    <w:right w:val="single" w:color="auto" w:sz="4" w:space="0"/>
                  </w:tcBorders>
                  <w:vAlign w:val="center"/>
                </w:tcPr>
                <w:p w14:paraId="51F1FF4C">
                  <w:pPr>
                    <w:adjustRightInd w:val="0"/>
                    <w:snapToGrid w:val="0"/>
                    <w:jc w:val="left"/>
                    <w:rPr>
                      <w:bCs/>
                      <w:szCs w:val="21"/>
                    </w:rPr>
                  </w:pPr>
                  <w:r>
                    <w:rPr>
                      <w:bCs/>
                      <w:szCs w:val="21"/>
                    </w:rPr>
                    <w:t>1．坚持陆海统筹，强化重大海域、入海河流、海岸带的生态环境统筹协同管控，开展北部湾沿海城市生态环境综合治理。推行河长制、湖长制，持续推进钦江、南流江、九洲江等流域综合治理，鼓励施行生态养殖和清洁生产，从源头控制生产、生活污水排放。推行湾长制，协同推进近岸海域污染治理，实施蓝色海湾整治行动和北部湾入海河流综合治理工程，严格控制水产养殖污染、港口码头船舶污染、采沙污染。</w:t>
                  </w:r>
                </w:p>
                <w:p w14:paraId="5F378421">
                  <w:pPr>
                    <w:adjustRightInd w:val="0"/>
                    <w:snapToGrid w:val="0"/>
                    <w:jc w:val="left"/>
                    <w:rPr>
                      <w:bCs/>
                      <w:szCs w:val="21"/>
                    </w:rPr>
                  </w:pPr>
                  <w:r>
                    <w:rPr>
                      <w:bCs/>
                      <w:szCs w:val="21"/>
                    </w:rPr>
                    <w:t>2．围绕建设蓝色海湾城市群，深入推进北钦防生态环境基础设施一体化，统筹推进北钦防三市生态环境齐保共治。加强港口码头环境保护基础设施建设，重点加强有色矿产、硫磺、煤等堆场配套环保设施建设。建立生态环境联防联治平台和机制，推动建立北部湾城市群跨行政区生态环境保护和生态补偿机制。</w:t>
                  </w:r>
                </w:p>
                <w:p w14:paraId="0DA291F8">
                  <w:pPr>
                    <w:adjustRightInd w:val="0"/>
                    <w:snapToGrid w:val="0"/>
                    <w:jc w:val="left"/>
                    <w:rPr>
                      <w:bCs/>
                      <w:szCs w:val="21"/>
                    </w:rPr>
                  </w:pPr>
                  <w:r>
                    <w:rPr>
                      <w:bCs/>
                      <w:szCs w:val="21"/>
                    </w:rPr>
                    <w:t>3．推进区域大气污染联防联控。共同开展重点行业污染整治和重污染天气联合应对，加强挥发性有机化合物（VOCs）和氮氧化物（NOx）协同控制，协同应对区域多污染物，联合开展空气污染综合治理，改善空气质量。严格城市空气质量达标管理，改善城市环境空气质量，对大气质量改善进度进行监督和考核。</w:t>
                  </w:r>
                </w:p>
                <w:p w14:paraId="535C4BE4">
                  <w:pPr>
                    <w:adjustRightInd w:val="0"/>
                    <w:snapToGrid w:val="0"/>
                    <w:jc w:val="left"/>
                    <w:rPr>
                      <w:bCs/>
                      <w:szCs w:val="21"/>
                    </w:rPr>
                  </w:pPr>
                  <w:r>
                    <w:rPr>
                      <w:bCs/>
                      <w:szCs w:val="21"/>
                    </w:rPr>
                    <w:t>4．严格控制“两高”行业项目布局和建设，提升“两高”行业清洁生产和减污降碳水平。以碳达峰、碳中和愿景为导向，推动产业转型升级、能源结构优化。开展碳排放权、排污权交易试点。重点管控行业建设项目无主要污染物排放指标来源的，应提出有效的区域削减方案，确保项目投产后区域环境质量不恶化。</w:t>
                  </w:r>
                </w:p>
                <w:p w14:paraId="5275ABAC">
                  <w:pPr>
                    <w:adjustRightInd w:val="0"/>
                    <w:snapToGrid w:val="0"/>
                    <w:jc w:val="left"/>
                    <w:rPr>
                      <w:bCs/>
                      <w:szCs w:val="21"/>
                    </w:rPr>
                  </w:pPr>
                  <w:r>
                    <w:rPr>
                      <w:bCs/>
                      <w:szCs w:val="21"/>
                    </w:rPr>
                    <w:t>5．以平陆运河、北部湾港为重点，加强船舶和港口污染防治，加快淘汰老旧船舶，鼓励引导高能耗船舶技术改造升级和提前退出。推动新能源、清洁能源动力船舶应用，加快港口供电设施建设，提高船舶</w:t>
                  </w:r>
                  <w:r>
                    <w:rPr>
                      <w:rFonts w:hint="eastAsia"/>
                      <w:bCs/>
                      <w:szCs w:val="21"/>
                    </w:rPr>
                    <w:t>供</w:t>
                  </w:r>
                  <w:r>
                    <w:rPr>
                      <w:bCs/>
                      <w:szCs w:val="21"/>
                    </w:rPr>
                    <w:t>电设施使用率。</w:t>
                  </w:r>
                </w:p>
                <w:p w14:paraId="35980C73">
                  <w:pPr>
                    <w:adjustRightInd w:val="0"/>
                    <w:snapToGrid w:val="0"/>
                    <w:jc w:val="left"/>
                    <w:rPr>
                      <w:bCs/>
                      <w:szCs w:val="21"/>
                    </w:rPr>
                  </w:pPr>
                  <w:r>
                    <w:rPr>
                      <w:bCs/>
                      <w:szCs w:val="21"/>
                    </w:rPr>
                    <w:t>6．平陆运河沿线城市实施生活污水集中处理设施能力提升全覆盖工程，开展城市污水处理设施差别化精准提标改造。</w:t>
                  </w:r>
                </w:p>
              </w:tc>
              <w:tc>
                <w:tcPr>
                  <w:tcW w:w="1015" w:type="pct"/>
                  <w:tcBorders>
                    <w:top w:val="single" w:color="auto" w:sz="4" w:space="0"/>
                    <w:left w:val="single" w:color="auto" w:sz="4" w:space="0"/>
                    <w:bottom w:val="single" w:color="auto" w:sz="4" w:space="0"/>
                    <w:right w:val="single" w:color="auto" w:sz="4" w:space="0"/>
                  </w:tcBorders>
                  <w:vAlign w:val="center"/>
                </w:tcPr>
                <w:p w14:paraId="7E2DE569">
                  <w:pPr>
                    <w:adjustRightInd w:val="0"/>
                    <w:snapToGrid w:val="0"/>
                    <w:jc w:val="left"/>
                    <w:rPr>
                      <w:bCs/>
                      <w:szCs w:val="21"/>
                    </w:rPr>
                  </w:pPr>
                  <w:r>
                    <w:rPr>
                      <w:bCs/>
                      <w:szCs w:val="21"/>
                    </w:rPr>
                    <w:t>1、项目不涉及。</w:t>
                  </w:r>
                </w:p>
                <w:p w14:paraId="45DD3B84">
                  <w:pPr>
                    <w:adjustRightInd w:val="0"/>
                    <w:snapToGrid w:val="0"/>
                    <w:jc w:val="left"/>
                    <w:rPr>
                      <w:rFonts w:hint="eastAsia" w:eastAsia="宋体"/>
                      <w:bCs/>
                      <w:szCs w:val="21"/>
                      <w:lang w:val="en-US" w:eastAsia="zh-CN"/>
                    </w:rPr>
                  </w:pPr>
                  <w:r>
                    <w:rPr>
                      <w:bCs/>
                      <w:szCs w:val="21"/>
                    </w:rPr>
                    <w:t>2、项目不涉及。</w:t>
                  </w:r>
                </w:p>
                <w:p w14:paraId="68750603">
                  <w:pPr>
                    <w:adjustRightInd w:val="0"/>
                    <w:snapToGrid w:val="0"/>
                    <w:jc w:val="left"/>
                    <w:rPr>
                      <w:bCs/>
                      <w:szCs w:val="21"/>
                    </w:rPr>
                  </w:pPr>
                  <w:r>
                    <w:rPr>
                      <w:bCs/>
                      <w:szCs w:val="21"/>
                    </w:rPr>
                    <w:t>3、项目</w:t>
                  </w:r>
                  <w:r>
                    <w:rPr>
                      <w:rFonts w:hint="eastAsia"/>
                      <w:bCs/>
                      <w:szCs w:val="21"/>
                      <w:lang w:val="en-US" w:eastAsia="zh-CN"/>
                    </w:rPr>
                    <w:t>运营过程VOCs排放量较少，</w:t>
                  </w:r>
                  <w:r>
                    <w:rPr>
                      <w:bCs/>
                      <w:szCs w:val="21"/>
                    </w:rPr>
                    <w:t>不会</w:t>
                  </w:r>
                  <w:r>
                    <w:rPr>
                      <w:rFonts w:hint="eastAsia"/>
                      <w:bCs/>
                      <w:szCs w:val="21"/>
                    </w:rPr>
                    <w:t>造成</w:t>
                  </w:r>
                  <w:r>
                    <w:rPr>
                      <w:bCs/>
                      <w:szCs w:val="21"/>
                    </w:rPr>
                    <w:t>区域环境质量降级。</w:t>
                  </w:r>
                </w:p>
                <w:p w14:paraId="10845069">
                  <w:pPr>
                    <w:adjustRightInd w:val="0"/>
                    <w:snapToGrid w:val="0"/>
                    <w:jc w:val="left"/>
                    <w:rPr>
                      <w:bCs/>
                      <w:szCs w:val="21"/>
                    </w:rPr>
                  </w:pPr>
                  <w:r>
                    <w:rPr>
                      <w:bCs/>
                      <w:szCs w:val="21"/>
                    </w:rPr>
                    <w:t>4、项目不属于</w:t>
                  </w:r>
                  <w:r>
                    <w:rPr>
                      <w:rFonts w:hint="eastAsia"/>
                      <w:bCs/>
                      <w:szCs w:val="21"/>
                    </w:rPr>
                    <w:t>“</w:t>
                  </w:r>
                  <w:r>
                    <w:rPr>
                      <w:bCs/>
                      <w:szCs w:val="21"/>
                    </w:rPr>
                    <w:t>两高</w:t>
                  </w:r>
                  <w:r>
                    <w:rPr>
                      <w:rFonts w:hint="eastAsia"/>
                      <w:bCs/>
                      <w:szCs w:val="21"/>
                    </w:rPr>
                    <w:t>”</w:t>
                  </w:r>
                  <w:r>
                    <w:rPr>
                      <w:bCs/>
                      <w:szCs w:val="21"/>
                    </w:rPr>
                    <w:t>项目。</w:t>
                  </w:r>
                </w:p>
                <w:p w14:paraId="12AF779D">
                  <w:pPr>
                    <w:adjustRightInd w:val="0"/>
                    <w:snapToGrid w:val="0"/>
                    <w:jc w:val="left"/>
                    <w:rPr>
                      <w:bCs/>
                      <w:szCs w:val="21"/>
                    </w:rPr>
                  </w:pPr>
                  <w:r>
                    <w:rPr>
                      <w:bCs/>
                      <w:szCs w:val="21"/>
                    </w:rPr>
                    <w:t>5、项目不涉及船舶和港口。</w:t>
                  </w:r>
                </w:p>
                <w:p w14:paraId="26F95648">
                  <w:pPr>
                    <w:adjustRightInd w:val="0"/>
                    <w:snapToGrid w:val="0"/>
                    <w:jc w:val="left"/>
                    <w:rPr>
                      <w:bCs/>
                      <w:szCs w:val="21"/>
                    </w:rPr>
                  </w:pPr>
                  <w:r>
                    <w:rPr>
                      <w:bCs/>
                      <w:szCs w:val="21"/>
                    </w:rPr>
                    <w:t>6、项目不涉及</w:t>
                  </w:r>
                  <w:r>
                    <w:rPr>
                      <w:rFonts w:hint="eastAsia"/>
                      <w:bCs/>
                      <w:szCs w:val="21"/>
                    </w:rPr>
                    <w:t>平陆运河</w:t>
                  </w:r>
                  <w:r>
                    <w:rPr>
                      <w:bCs/>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68419977">
                  <w:pPr>
                    <w:adjustRightInd w:val="0"/>
                    <w:snapToGrid w:val="0"/>
                    <w:jc w:val="center"/>
                    <w:rPr>
                      <w:bCs/>
                      <w:szCs w:val="21"/>
                    </w:rPr>
                  </w:pPr>
                  <w:r>
                    <w:rPr>
                      <w:bCs/>
                      <w:szCs w:val="21"/>
                    </w:rPr>
                    <w:t>符合</w:t>
                  </w:r>
                </w:p>
              </w:tc>
            </w:tr>
            <w:tr w14:paraId="6DF0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continue"/>
                  <w:tcBorders>
                    <w:left w:val="single" w:color="auto" w:sz="4" w:space="0"/>
                    <w:right w:val="single" w:color="auto" w:sz="4" w:space="0"/>
                  </w:tcBorders>
                  <w:vAlign w:val="center"/>
                </w:tcPr>
                <w:p w14:paraId="19959E32">
                  <w:pPr>
                    <w:adjustRightInd w:val="0"/>
                    <w:snapToGrid w:val="0"/>
                    <w:jc w:val="center"/>
                    <w:rPr>
                      <w:bCs/>
                      <w:szCs w:val="21"/>
                    </w:rPr>
                  </w:pPr>
                </w:p>
              </w:tc>
              <w:tc>
                <w:tcPr>
                  <w:tcW w:w="591" w:type="pct"/>
                  <w:vMerge w:val="continue"/>
                  <w:tcBorders>
                    <w:left w:val="single" w:color="auto" w:sz="4" w:space="0"/>
                    <w:right w:val="single" w:color="auto" w:sz="4" w:space="0"/>
                  </w:tcBorders>
                  <w:vAlign w:val="center"/>
                </w:tcPr>
                <w:p w14:paraId="040B7582">
                  <w:pPr>
                    <w:adjustRightInd w:val="0"/>
                    <w:snapToGrid w:val="0"/>
                    <w:jc w:val="center"/>
                    <w:rPr>
                      <w:bCs/>
                      <w:szCs w:val="21"/>
                    </w:rPr>
                  </w:pPr>
                </w:p>
              </w:tc>
              <w:tc>
                <w:tcPr>
                  <w:tcW w:w="444" w:type="pct"/>
                  <w:tcBorders>
                    <w:top w:val="single" w:color="auto" w:sz="4" w:space="0"/>
                    <w:left w:val="single" w:color="auto" w:sz="4" w:space="0"/>
                    <w:bottom w:val="single" w:color="auto" w:sz="4" w:space="0"/>
                    <w:right w:val="single" w:color="auto" w:sz="4" w:space="0"/>
                  </w:tcBorders>
                  <w:vAlign w:val="center"/>
                </w:tcPr>
                <w:p w14:paraId="6B23D945">
                  <w:pPr>
                    <w:adjustRightInd w:val="0"/>
                    <w:snapToGrid w:val="0"/>
                    <w:jc w:val="center"/>
                    <w:rPr>
                      <w:bCs/>
                      <w:szCs w:val="21"/>
                    </w:rPr>
                  </w:pPr>
                  <w:r>
                    <w:rPr>
                      <w:bCs/>
                      <w:szCs w:val="21"/>
                    </w:rPr>
                    <w:t>环境风险防控</w:t>
                  </w:r>
                </w:p>
              </w:tc>
              <w:tc>
                <w:tcPr>
                  <w:tcW w:w="2306" w:type="pct"/>
                  <w:tcBorders>
                    <w:top w:val="single" w:color="auto" w:sz="4" w:space="0"/>
                    <w:left w:val="single" w:color="auto" w:sz="4" w:space="0"/>
                    <w:bottom w:val="single" w:color="auto" w:sz="4" w:space="0"/>
                    <w:right w:val="single" w:color="auto" w:sz="4" w:space="0"/>
                  </w:tcBorders>
                  <w:vAlign w:val="center"/>
                </w:tcPr>
                <w:p w14:paraId="2492772E">
                  <w:pPr>
                    <w:adjustRightInd w:val="0"/>
                    <w:snapToGrid w:val="0"/>
                    <w:jc w:val="left"/>
                    <w:rPr>
                      <w:bCs/>
                      <w:szCs w:val="21"/>
                    </w:rPr>
                  </w:pPr>
                  <w:r>
                    <w:rPr>
                      <w:bCs/>
                      <w:szCs w:val="21"/>
                    </w:rPr>
                    <w:t>1．强化沿海工业园区和沿海石油、石化、化工、冶炼及危化品储运等企业的环境风险防控。</w:t>
                  </w:r>
                </w:p>
                <w:p w14:paraId="784A2EED">
                  <w:pPr>
                    <w:adjustRightInd w:val="0"/>
                    <w:snapToGrid w:val="0"/>
                    <w:jc w:val="left"/>
                    <w:rPr>
                      <w:bCs/>
                      <w:szCs w:val="21"/>
                    </w:rPr>
                  </w:pPr>
                  <w:r>
                    <w:rPr>
                      <w:bCs/>
                      <w:szCs w:val="21"/>
                    </w:rPr>
                    <w:t>2．建立和完善海上溢油、危险化学品泄漏、赤潮应急反应预案，提升应对海洋突发环境事件能力，防范海上溢油、危险化学品泄漏等重大环境风险。加强海洋环境监测，实施海洋环境预警预报工程。</w:t>
                  </w:r>
                </w:p>
                <w:p w14:paraId="6245360E">
                  <w:pPr>
                    <w:adjustRightInd w:val="0"/>
                    <w:snapToGrid w:val="0"/>
                    <w:jc w:val="left"/>
                    <w:rPr>
                      <w:bCs/>
                      <w:szCs w:val="21"/>
                    </w:rPr>
                  </w:pPr>
                  <w:r>
                    <w:rPr>
                      <w:bCs/>
                      <w:szCs w:val="21"/>
                    </w:rPr>
                    <w:t>3．实行严格的核污染监控管理，提升核安全治理能力，提高核设施安全水平，降低核安全风险，推进放射性污染防治，确保辐射环境质量保持良好，强化核辐射安全监管体系，消除核安全隐患。</w:t>
                  </w:r>
                </w:p>
              </w:tc>
              <w:tc>
                <w:tcPr>
                  <w:tcW w:w="1015" w:type="pct"/>
                  <w:tcBorders>
                    <w:top w:val="single" w:color="auto" w:sz="4" w:space="0"/>
                    <w:left w:val="single" w:color="auto" w:sz="4" w:space="0"/>
                    <w:bottom w:val="single" w:color="auto" w:sz="4" w:space="0"/>
                    <w:right w:val="single" w:color="auto" w:sz="4" w:space="0"/>
                  </w:tcBorders>
                  <w:vAlign w:val="center"/>
                </w:tcPr>
                <w:p w14:paraId="16247BEB">
                  <w:pPr>
                    <w:adjustRightInd w:val="0"/>
                    <w:snapToGrid w:val="0"/>
                    <w:jc w:val="left"/>
                    <w:rPr>
                      <w:bCs/>
                      <w:szCs w:val="21"/>
                    </w:rPr>
                  </w:pPr>
                  <w:r>
                    <w:rPr>
                      <w:bCs/>
                      <w:szCs w:val="21"/>
                    </w:rPr>
                    <w:t>1、本次评价已要求建设单位落实各项环境保护措施和环境风险防范措施。</w:t>
                  </w:r>
                </w:p>
                <w:p w14:paraId="4C242EB3">
                  <w:pPr>
                    <w:adjustRightInd w:val="0"/>
                    <w:snapToGrid w:val="0"/>
                    <w:jc w:val="left"/>
                    <w:rPr>
                      <w:bCs/>
                      <w:szCs w:val="21"/>
                    </w:rPr>
                  </w:pPr>
                  <w:r>
                    <w:rPr>
                      <w:bCs/>
                      <w:szCs w:val="21"/>
                    </w:rPr>
                    <w:t>2、</w:t>
                  </w:r>
                  <w:r>
                    <w:rPr>
                      <w:rFonts w:hint="eastAsia"/>
                      <w:bCs/>
                      <w:szCs w:val="21"/>
                    </w:rPr>
                    <w:t>本项目建成后不需要调整应急预案。广西华谊能源化工有限公司已制定全厂突发环境事件应急预案并备案</w:t>
                  </w:r>
                  <w:r>
                    <w:rPr>
                      <w:bCs/>
                      <w:szCs w:val="21"/>
                    </w:rPr>
                    <w:t>。</w:t>
                  </w:r>
                </w:p>
                <w:p w14:paraId="03EEA6BC">
                  <w:pPr>
                    <w:adjustRightInd w:val="0"/>
                    <w:snapToGrid w:val="0"/>
                    <w:jc w:val="left"/>
                    <w:rPr>
                      <w:szCs w:val="21"/>
                    </w:rPr>
                  </w:pPr>
                  <w:r>
                    <w:rPr>
                      <w:bCs/>
                      <w:szCs w:val="21"/>
                    </w:rPr>
                    <w:t>3、项目不涉及</w:t>
                  </w:r>
                  <w:r>
                    <w:rPr>
                      <w:rFonts w:hint="eastAsia"/>
                      <w:bCs/>
                      <w:szCs w:val="21"/>
                    </w:rPr>
                    <w:t>核污染</w:t>
                  </w:r>
                  <w:r>
                    <w:rPr>
                      <w:bCs/>
                      <w:szCs w:val="21"/>
                    </w:rPr>
                    <w:t>。</w:t>
                  </w:r>
                </w:p>
              </w:tc>
              <w:tc>
                <w:tcPr>
                  <w:tcW w:w="352" w:type="pct"/>
                  <w:tcBorders>
                    <w:top w:val="single" w:color="auto" w:sz="4" w:space="0"/>
                    <w:left w:val="single" w:color="auto" w:sz="4" w:space="0"/>
                    <w:bottom w:val="single" w:color="auto" w:sz="4" w:space="0"/>
                    <w:right w:val="single" w:color="auto" w:sz="4" w:space="0"/>
                  </w:tcBorders>
                  <w:vAlign w:val="center"/>
                </w:tcPr>
                <w:p w14:paraId="0CEF0476">
                  <w:pPr>
                    <w:adjustRightInd w:val="0"/>
                    <w:snapToGrid w:val="0"/>
                    <w:jc w:val="center"/>
                    <w:rPr>
                      <w:bCs/>
                      <w:szCs w:val="21"/>
                    </w:rPr>
                  </w:pPr>
                  <w:r>
                    <w:rPr>
                      <w:bCs/>
                      <w:szCs w:val="21"/>
                    </w:rPr>
                    <w:t>符合</w:t>
                  </w:r>
                </w:p>
              </w:tc>
            </w:tr>
            <w:tr w14:paraId="6DC7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Merge w:val="continue"/>
                  <w:tcBorders>
                    <w:left w:val="single" w:color="auto" w:sz="4" w:space="0"/>
                    <w:right w:val="single" w:color="auto" w:sz="4" w:space="0"/>
                  </w:tcBorders>
                  <w:vAlign w:val="center"/>
                </w:tcPr>
                <w:p w14:paraId="7F1B4B85">
                  <w:pPr>
                    <w:adjustRightInd w:val="0"/>
                    <w:snapToGrid w:val="0"/>
                    <w:jc w:val="center"/>
                    <w:rPr>
                      <w:bCs/>
                      <w:szCs w:val="21"/>
                    </w:rPr>
                  </w:pPr>
                </w:p>
              </w:tc>
              <w:tc>
                <w:tcPr>
                  <w:tcW w:w="591" w:type="pct"/>
                  <w:vMerge w:val="continue"/>
                  <w:tcBorders>
                    <w:left w:val="single" w:color="auto" w:sz="4" w:space="0"/>
                    <w:right w:val="single" w:color="auto" w:sz="4" w:space="0"/>
                  </w:tcBorders>
                  <w:vAlign w:val="center"/>
                </w:tcPr>
                <w:p w14:paraId="2EA78475">
                  <w:pPr>
                    <w:adjustRightInd w:val="0"/>
                    <w:snapToGrid w:val="0"/>
                    <w:jc w:val="center"/>
                    <w:rPr>
                      <w:bCs/>
                      <w:szCs w:val="21"/>
                    </w:rPr>
                  </w:pPr>
                </w:p>
              </w:tc>
              <w:tc>
                <w:tcPr>
                  <w:tcW w:w="444" w:type="pct"/>
                  <w:tcBorders>
                    <w:top w:val="single" w:color="auto" w:sz="4" w:space="0"/>
                    <w:left w:val="single" w:color="auto" w:sz="4" w:space="0"/>
                    <w:right w:val="single" w:color="auto" w:sz="4" w:space="0"/>
                  </w:tcBorders>
                  <w:vAlign w:val="center"/>
                </w:tcPr>
                <w:p w14:paraId="58F0DCEC">
                  <w:pPr>
                    <w:adjustRightInd w:val="0"/>
                    <w:snapToGrid w:val="0"/>
                    <w:jc w:val="center"/>
                    <w:rPr>
                      <w:bCs/>
                      <w:szCs w:val="21"/>
                    </w:rPr>
                  </w:pPr>
                  <w:r>
                    <w:rPr>
                      <w:bCs/>
                      <w:szCs w:val="21"/>
                    </w:rPr>
                    <w:t>资源开发利用效率要求</w:t>
                  </w:r>
                </w:p>
              </w:tc>
              <w:tc>
                <w:tcPr>
                  <w:tcW w:w="2306" w:type="pct"/>
                  <w:tcBorders>
                    <w:top w:val="single" w:color="auto" w:sz="4" w:space="0"/>
                    <w:left w:val="single" w:color="auto" w:sz="4" w:space="0"/>
                    <w:bottom w:val="single" w:color="auto" w:sz="4" w:space="0"/>
                    <w:right w:val="single" w:color="auto" w:sz="4" w:space="0"/>
                  </w:tcBorders>
                  <w:vAlign w:val="center"/>
                </w:tcPr>
                <w:p w14:paraId="4B5EB12D">
                  <w:pPr>
                    <w:pStyle w:val="76"/>
                    <w:widowControl w:val="0"/>
                    <w:ind w:firstLine="0" w:firstLineChars="0"/>
                    <w:jc w:val="both"/>
                    <w:rPr>
                      <w:rFonts w:ascii="Times New Roman" w:hAnsi="Times New Roman"/>
                      <w:szCs w:val="21"/>
                    </w:rPr>
                  </w:pPr>
                  <w:r>
                    <w:rPr>
                      <w:rFonts w:ascii="Times New Roman" w:hAnsi="Times New Roman"/>
                      <w:kern w:val="2"/>
                      <w:szCs w:val="21"/>
                    </w:rPr>
                    <w:t>1．严格执行能耗“双控”，新建项目能源利用效率应达到国内先进水平。2．实施水资源消耗总量和强度“双控”。</w:t>
                  </w:r>
                </w:p>
              </w:tc>
              <w:tc>
                <w:tcPr>
                  <w:tcW w:w="1015" w:type="pct"/>
                  <w:tcBorders>
                    <w:top w:val="single" w:color="auto" w:sz="4" w:space="0"/>
                    <w:left w:val="single" w:color="auto" w:sz="4" w:space="0"/>
                    <w:bottom w:val="single" w:color="auto" w:sz="4" w:space="0"/>
                    <w:right w:val="single" w:color="auto" w:sz="4" w:space="0"/>
                  </w:tcBorders>
                  <w:vAlign w:val="center"/>
                </w:tcPr>
                <w:p w14:paraId="20F75324">
                  <w:pPr>
                    <w:adjustRightInd w:val="0"/>
                    <w:snapToGrid w:val="0"/>
                    <w:jc w:val="left"/>
                    <w:rPr>
                      <w:bCs/>
                      <w:szCs w:val="21"/>
                    </w:rPr>
                  </w:pPr>
                  <w:r>
                    <w:rPr>
                      <w:rFonts w:hint="eastAsia"/>
                      <w:szCs w:val="21"/>
                    </w:rPr>
                    <w:t>项目能源主要是电能、蒸汽，项目运行后将按要求严格执行能耗“双控”，能源利用效率可以满足国内先进水平。</w:t>
                  </w:r>
                </w:p>
              </w:tc>
              <w:tc>
                <w:tcPr>
                  <w:tcW w:w="352" w:type="pct"/>
                  <w:tcBorders>
                    <w:top w:val="single" w:color="auto" w:sz="4" w:space="0"/>
                    <w:left w:val="single" w:color="auto" w:sz="4" w:space="0"/>
                    <w:bottom w:val="single" w:color="auto" w:sz="4" w:space="0"/>
                    <w:right w:val="single" w:color="auto" w:sz="4" w:space="0"/>
                  </w:tcBorders>
                  <w:vAlign w:val="center"/>
                </w:tcPr>
                <w:p w14:paraId="2EADE515">
                  <w:pPr>
                    <w:adjustRightInd w:val="0"/>
                    <w:snapToGrid w:val="0"/>
                    <w:jc w:val="center"/>
                    <w:rPr>
                      <w:bCs/>
                      <w:szCs w:val="21"/>
                    </w:rPr>
                  </w:pPr>
                  <w:r>
                    <w:rPr>
                      <w:bCs/>
                      <w:szCs w:val="21"/>
                    </w:rPr>
                    <w:t>符合</w:t>
                  </w:r>
                </w:p>
              </w:tc>
            </w:tr>
          </w:tbl>
          <w:p w14:paraId="1E765E53">
            <w:pPr>
              <w:spacing w:line="500" w:lineRule="atLeast"/>
              <w:ind w:firstLine="480" w:firstLineChars="200"/>
              <w:rPr>
                <w:sz w:val="24"/>
              </w:rPr>
            </w:pPr>
            <w:r>
              <w:rPr>
                <w:rFonts w:hint="eastAsia"/>
                <w:sz w:val="24"/>
              </w:rPr>
              <w:t>综上，项目符合钦州市、北部湾经济区、钦州港经济技术开发区、广西钦州石化产业园环境准入及管控要求。</w:t>
            </w:r>
          </w:p>
        </w:tc>
      </w:tr>
    </w:tbl>
    <w:p w14:paraId="339134FB">
      <w:pPr>
        <w:widowControl/>
        <w:jc w:val="left"/>
        <w:rPr>
          <w:rFonts w:ascii="Calibri" w:hAnsi="Calibri" w:cs="Arial"/>
          <w:b/>
          <w:kern w:val="44"/>
          <w:sz w:val="28"/>
          <w:szCs w:val="28"/>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8D1A0B8">
      <w:pPr>
        <w:tabs>
          <w:tab w:val="left" w:pos="3225"/>
        </w:tabs>
        <w:spacing w:line="500" w:lineRule="exact"/>
        <w:outlineLvl w:val="0"/>
        <w:rPr>
          <w:rFonts w:ascii="Calibri" w:hAnsi="Calibri" w:cs="Arial"/>
          <w:b/>
          <w:kern w:val="44"/>
          <w:sz w:val="28"/>
          <w:szCs w:val="28"/>
        </w:rPr>
      </w:pPr>
      <w:bookmarkStart w:id="9" w:name="_Toc31956"/>
      <w:bookmarkStart w:id="10" w:name="_Toc30408"/>
      <w:bookmarkStart w:id="11" w:name="_Toc23155"/>
      <w:r>
        <w:rPr>
          <w:rFonts w:hint="eastAsia" w:ascii="Calibri" w:hAnsi="Calibri" w:cs="Arial"/>
          <w:b/>
          <w:kern w:val="44"/>
          <w:sz w:val="28"/>
          <w:szCs w:val="28"/>
        </w:rPr>
        <w:t>二、建设项目工程分析</w:t>
      </w:r>
      <w:bookmarkEnd w:id="9"/>
      <w:bookmarkEnd w:id="10"/>
      <w:bookmarkEnd w:id="1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639"/>
      </w:tblGrid>
      <w:tr w14:paraId="4DA1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14:paraId="2555FDA7">
            <w:pPr>
              <w:pStyle w:val="22"/>
              <w:adjustRightInd w:val="0"/>
              <w:snapToGrid w:val="0"/>
              <w:spacing w:before="0" w:beforeAutospacing="0" w:after="0" w:afterAutospacing="0"/>
              <w:jc w:val="center"/>
              <w:rPr>
                <w:rFonts w:ascii="Times New Roman" w:hAnsi="Times New Roman" w:cs="Arial"/>
                <w:bCs/>
                <w:kern w:val="2"/>
                <w:szCs w:val="24"/>
                <w:highlight w:val="yellow"/>
              </w:rPr>
            </w:pPr>
            <w:r>
              <w:rPr>
                <w:rFonts w:hint="eastAsia" w:cs="宋体"/>
                <w:sz w:val="21"/>
                <w:szCs w:val="21"/>
              </w:rPr>
              <w:t>建设内容</w:t>
            </w:r>
          </w:p>
        </w:tc>
        <w:tc>
          <w:tcPr>
            <w:tcW w:w="8639" w:type="dxa"/>
          </w:tcPr>
          <w:p w14:paraId="3248633A">
            <w:pPr>
              <w:spacing w:line="500" w:lineRule="atLeast"/>
              <w:ind w:firstLine="482" w:firstLineChars="200"/>
              <w:jc w:val="left"/>
              <w:rPr>
                <w:b/>
                <w:sz w:val="24"/>
              </w:rPr>
            </w:pPr>
            <w:r>
              <w:rPr>
                <w:rFonts w:hint="eastAsia"/>
                <w:b/>
                <w:sz w:val="24"/>
              </w:rPr>
              <w:t>1、项目由来</w:t>
            </w:r>
          </w:p>
          <w:p w14:paraId="4DB9A4EB">
            <w:pPr>
              <w:spacing w:line="500" w:lineRule="atLeast"/>
              <w:ind w:firstLine="480" w:firstLineChars="200"/>
              <w:jc w:val="left"/>
              <w:rPr>
                <w:rFonts w:hint="eastAsia"/>
                <w:sz w:val="24"/>
              </w:rPr>
            </w:pPr>
            <w:r>
              <w:rPr>
                <w:rFonts w:hint="eastAsia"/>
                <w:sz w:val="24"/>
              </w:rPr>
              <w:t>上海华谊控股集团有限公司（简称“华谊集团”）是上海市大型国有化工企业集团，集团坚持“绿色发展、创新发展、高端发展、跨市发展、一体化发展”五大发展战略，形成“能源化工、绿色轮胎、先进材料、精细化工、化工服务”五大核心业务。集团已在江苏、安徽、重庆、新疆、内蒙古、山东等16个省市自治区及海外拥有46家工厂及生产基地，基本形成“一个华谊，全国业务，海外发展”的发展格局。</w:t>
            </w:r>
          </w:p>
          <w:p w14:paraId="0DE06DC2">
            <w:pPr>
              <w:spacing w:line="500" w:lineRule="atLeast"/>
              <w:ind w:firstLine="480" w:firstLineChars="200"/>
              <w:jc w:val="left"/>
              <w:rPr>
                <w:rFonts w:hint="eastAsia"/>
                <w:sz w:val="24"/>
              </w:rPr>
            </w:pPr>
            <w:r>
              <w:rPr>
                <w:rFonts w:hint="eastAsia"/>
                <w:sz w:val="24"/>
              </w:rPr>
              <w:t>集团积极响应国家“一带一路”倡议，充分发挥广西钦州西部陆海新通道优势，在北部湾打造华谊钦州化工新材料一体化基地。广西基地成立了广西华谊能源化工有限公司（简称“广西华谊能化”）、广西华谊新材料有限公司（简称“广西华谊新材料”）、广西华谊氯碱化工有限公司（简称“广西华谊氯碱”）三个子公司，该三个公司共同负责推进钦州港经济技术开发区石化产业园内规划建设化工新材料一体化基地（简称：该基地），该基地产业规划分三期规划实施，建设主要产品包括：甲醇，醋酸，工业气体，乙二醇等，产品畅销国内并部分向周边和欧美等国家、地区出口。该基地一期为工业气体岛，二期为轻烃综合利用项目和盐化工项目，三期为甲醇制烯烃和碳四综合利用。</w:t>
            </w:r>
          </w:p>
          <w:p w14:paraId="44973294">
            <w:pPr>
              <w:spacing w:line="500" w:lineRule="atLeast"/>
              <w:ind w:firstLine="480" w:firstLineChars="200"/>
              <w:jc w:val="left"/>
              <w:rPr>
                <w:rFonts w:hint="eastAsia"/>
                <w:sz w:val="24"/>
              </w:rPr>
            </w:pPr>
            <w:r>
              <w:rPr>
                <w:rFonts w:hint="eastAsia"/>
                <w:sz w:val="24"/>
              </w:rPr>
              <w:t>广西华谊能源化工有限公司（以下简称“广西华谊能化”）于2016年4月在广西壮族自治区钦州港经济技术开发区注册成立。广西华谊能化以煤为原料，采用先进的粉煤气化技术生产合成气，已建设规模为64.4万Nm</w:t>
            </w:r>
            <w:r>
              <w:rPr>
                <w:rFonts w:hint="eastAsia"/>
                <w:sz w:val="24"/>
                <w:vertAlign w:val="superscript"/>
              </w:rPr>
              <w:t>3</w:t>
            </w:r>
            <w:r>
              <w:rPr>
                <w:rFonts w:hint="eastAsia"/>
                <w:sz w:val="24"/>
              </w:rPr>
              <w:t>/h (CO+H</w:t>
            </w:r>
            <w:r>
              <w:rPr>
                <w:rFonts w:hint="eastAsia"/>
                <w:sz w:val="24"/>
                <w:vertAlign w:val="subscript"/>
              </w:rPr>
              <w:t>2</w:t>
            </w:r>
            <w:r>
              <w:rPr>
                <w:rFonts w:hint="eastAsia"/>
                <w:sz w:val="24"/>
              </w:rPr>
              <w:t>）煤气化、净化及CO分离、10万Nm</w:t>
            </w:r>
            <w:r>
              <w:rPr>
                <w:rFonts w:hint="eastAsia"/>
                <w:sz w:val="24"/>
                <w:vertAlign w:val="superscript"/>
              </w:rPr>
              <w:t>3</w:t>
            </w:r>
            <w:r>
              <w:rPr>
                <w:rFonts w:hint="eastAsia"/>
                <w:sz w:val="24"/>
              </w:rPr>
              <w:t>/h制氢、两套100万吨/年甲醇、20万吨/年乙二醇、一套</w:t>
            </w:r>
            <w:r>
              <w:rPr>
                <w:rFonts w:hint="eastAsia"/>
                <w:sz w:val="24"/>
                <w:lang w:val="en-US" w:eastAsia="zh-CN"/>
              </w:rPr>
              <w:t>70</w:t>
            </w:r>
            <w:r>
              <w:rPr>
                <w:rFonts w:hint="eastAsia"/>
                <w:sz w:val="24"/>
              </w:rPr>
              <w:t>万吨/年醋酸、一套</w:t>
            </w:r>
            <w:r>
              <w:rPr>
                <w:rFonts w:hint="eastAsia"/>
                <w:sz w:val="24"/>
                <w:lang w:val="en-US" w:eastAsia="zh-CN"/>
              </w:rPr>
              <w:t>98</w:t>
            </w:r>
            <w:r>
              <w:rPr>
                <w:rFonts w:hint="eastAsia"/>
                <w:sz w:val="24"/>
              </w:rPr>
              <w:t>万吨醋酸、2.7万吨/年硫回收等装置（一用一备）及相关配套辅助设施。</w:t>
            </w:r>
          </w:p>
          <w:p w14:paraId="7C77739A">
            <w:pPr>
              <w:spacing w:line="500" w:lineRule="atLeast"/>
              <w:ind w:firstLine="480" w:firstLineChars="200"/>
              <w:jc w:val="left"/>
              <w:rPr>
                <w:rFonts w:hint="default" w:eastAsia="宋体"/>
                <w:sz w:val="24"/>
                <w:lang w:val="en-US" w:eastAsia="zh-CN"/>
              </w:rPr>
            </w:pPr>
            <w:r>
              <w:rPr>
                <w:rFonts w:hint="eastAsia"/>
                <w:sz w:val="24"/>
                <w:lang w:val="en-US" w:eastAsia="zh-CN"/>
              </w:rPr>
              <w:t>厂区内</w:t>
            </w:r>
            <w:r>
              <w:rPr>
                <w:rFonts w:hint="eastAsia"/>
                <w:sz w:val="24"/>
              </w:rPr>
              <w:t>醋酸装置</w:t>
            </w:r>
            <w:r>
              <w:rPr>
                <w:rFonts w:hint="eastAsia"/>
                <w:sz w:val="24"/>
                <w:lang w:eastAsia="zh-CN"/>
              </w:rPr>
              <w:t>（一套70万吨/年醋酸、一套98万吨醋酸）</w:t>
            </w:r>
            <w:r>
              <w:rPr>
                <w:rFonts w:hint="eastAsia"/>
                <w:sz w:val="24"/>
                <w:lang w:val="en-US" w:eastAsia="zh-CN"/>
              </w:rPr>
              <w:t>生产过程中均会产生60醋酸，</w:t>
            </w:r>
            <w:r>
              <w:rPr>
                <w:rFonts w:hint="eastAsia"/>
                <w:sz w:val="24"/>
              </w:rPr>
              <w:t>目前</w:t>
            </w:r>
            <w:r>
              <w:rPr>
                <w:rFonts w:hint="eastAsia"/>
                <w:sz w:val="24"/>
                <w:lang w:eastAsia="zh-CN"/>
              </w:rPr>
              <w:t>60醋酸</w:t>
            </w:r>
            <w:r>
              <w:rPr>
                <w:rFonts w:hint="eastAsia"/>
                <w:sz w:val="24"/>
              </w:rPr>
              <w:t>作为副产品外</w:t>
            </w:r>
            <w:r>
              <w:rPr>
                <w:rFonts w:hint="eastAsia"/>
                <w:sz w:val="24"/>
                <w:lang w:val="en-US" w:eastAsia="zh-CN"/>
              </w:rPr>
              <w:t>售</w:t>
            </w:r>
            <w:r>
              <w:rPr>
                <w:rFonts w:hint="eastAsia"/>
                <w:sz w:val="24"/>
              </w:rPr>
              <w:t>，为</w:t>
            </w:r>
            <w:r>
              <w:rPr>
                <w:rFonts w:hint="eastAsia"/>
                <w:sz w:val="24"/>
                <w:lang w:val="en-US" w:eastAsia="zh-CN"/>
              </w:rPr>
              <w:t>了</w:t>
            </w:r>
            <w:r>
              <w:rPr>
                <w:rFonts w:hint="eastAsia"/>
                <w:sz w:val="24"/>
              </w:rPr>
              <w:t>回收利用</w:t>
            </w:r>
            <w:r>
              <w:rPr>
                <w:rFonts w:hint="eastAsia"/>
                <w:sz w:val="24"/>
                <w:lang w:eastAsia="zh-CN"/>
              </w:rPr>
              <w:t>60醋酸</w:t>
            </w:r>
            <w:r>
              <w:rPr>
                <w:rFonts w:hint="eastAsia"/>
                <w:sz w:val="24"/>
                <w:lang w:val="en-US" w:eastAsia="zh-CN"/>
              </w:rPr>
              <w:t>中的醋酸</w:t>
            </w:r>
            <w:r>
              <w:rPr>
                <w:rFonts w:hint="eastAsia"/>
                <w:sz w:val="24"/>
              </w:rPr>
              <w:t>，增加产品率，提高经济效益，</w:t>
            </w:r>
            <w:r>
              <w:rPr>
                <w:rFonts w:hint="eastAsia"/>
                <w:sz w:val="24"/>
                <w:lang w:val="en-US" w:eastAsia="zh-CN"/>
              </w:rPr>
              <w:t>因此</w:t>
            </w:r>
            <w:r>
              <w:rPr>
                <w:rFonts w:hint="eastAsia"/>
                <w:sz w:val="24"/>
              </w:rPr>
              <w:t>在现有</w:t>
            </w:r>
            <w:r>
              <w:rPr>
                <w:rFonts w:hint="eastAsia"/>
                <w:sz w:val="24"/>
                <w:lang w:val="en-US" w:eastAsia="zh-CN"/>
              </w:rPr>
              <w:t>工程</w:t>
            </w:r>
            <w:r>
              <w:rPr>
                <w:rFonts w:hint="eastAsia"/>
                <w:sz w:val="24"/>
              </w:rPr>
              <w:t>基础上新增60</w:t>
            </w:r>
            <w:r>
              <w:rPr>
                <w:rFonts w:hint="eastAsia"/>
                <w:sz w:val="24"/>
                <w:lang w:eastAsia="zh-CN"/>
              </w:rPr>
              <w:t>醋酸分离</w:t>
            </w:r>
            <w:r>
              <w:rPr>
                <w:rFonts w:hint="eastAsia"/>
                <w:sz w:val="24"/>
              </w:rPr>
              <w:t>回收</w:t>
            </w:r>
            <w:r>
              <w:rPr>
                <w:rFonts w:hint="eastAsia"/>
                <w:sz w:val="24"/>
                <w:lang w:val="en-US" w:eastAsia="zh-CN"/>
              </w:rPr>
              <w:t>装置</w:t>
            </w:r>
            <w:r>
              <w:rPr>
                <w:rFonts w:hint="eastAsia"/>
                <w:sz w:val="24"/>
              </w:rPr>
              <w:t>，对</w:t>
            </w:r>
            <w:r>
              <w:rPr>
                <w:rFonts w:hint="eastAsia"/>
                <w:sz w:val="24"/>
                <w:lang w:val="en-US" w:eastAsia="zh-CN"/>
              </w:rPr>
              <w:t>副产的</w:t>
            </w:r>
            <w:r>
              <w:rPr>
                <w:rFonts w:hint="eastAsia"/>
                <w:sz w:val="24"/>
                <w:lang w:eastAsia="zh-CN"/>
              </w:rPr>
              <w:t>60醋酸</w:t>
            </w:r>
            <w:r>
              <w:rPr>
                <w:rFonts w:hint="eastAsia"/>
                <w:sz w:val="24"/>
              </w:rPr>
              <w:t>进行分离回收得到醋酸和丙酸。</w:t>
            </w:r>
            <w:r>
              <w:rPr>
                <w:rFonts w:hint="eastAsia"/>
                <w:sz w:val="24"/>
                <w:lang w:val="en-US" w:eastAsia="zh-CN"/>
              </w:rPr>
              <w:t>分离回收过程属于单纯物理分离，不发生化学反应。</w:t>
            </w:r>
          </w:p>
          <w:p w14:paraId="1910FEBF">
            <w:pPr>
              <w:spacing w:line="500" w:lineRule="atLeast"/>
              <w:ind w:firstLine="480" w:firstLineChars="200"/>
              <w:jc w:val="left"/>
              <w:rPr>
                <w:sz w:val="24"/>
              </w:rPr>
            </w:pPr>
            <w:r>
              <w:rPr>
                <w:rFonts w:hint="eastAsia"/>
                <w:sz w:val="24"/>
              </w:rPr>
              <w:t>根据《中华人民共和国环境保护法》、《中华人民共和国环境影响评价法》和《建设项目环境保护管理条例》（国务院令第682号）的规定，该项目应进行环境影响评价。</w:t>
            </w:r>
            <w:r>
              <w:rPr>
                <w:rFonts w:hint="eastAsia"/>
                <w:sz w:val="24"/>
                <w:lang w:val="en-US" w:eastAsia="zh-CN"/>
              </w:rPr>
              <w:t>针对本次扩建部分的建设内容，</w:t>
            </w:r>
            <w:r>
              <w:rPr>
                <w:rFonts w:hint="eastAsia"/>
                <w:sz w:val="24"/>
              </w:rPr>
              <w:t>根据《建设项目环境影响评价分类管理名录（2021年版）》，项目属于“二十三、化学原料和化学制品制造业2644</w:t>
            </w:r>
            <w:r>
              <w:rPr>
                <w:rFonts w:hint="eastAsia"/>
                <w:sz w:val="24"/>
                <w:lang w:val="en-US" w:eastAsia="zh-CN"/>
              </w:rPr>
              <w:t>-</w:t>
            </w:r>
            <w:r>
              <w:rPr>
                <w:rFonts w:hint="eastAsia"/>
                <w:sz w:val="24"/>
              </w:rPr>
              <w:t>专用化学产品制造266-单纯物理分离、物理提纯、混合、分装的”，因此本项目需要编制报告表。</w:t>
            </w:r>
          </w:p>
          <w:p w14:paraId="2D3AE7C8">
            <w:pPr>
              <w:spacing w:line="500" w:lineRule="atLeast"/>
              <w:ind w:firstLine="480" w:firstLineChars="200"/>
              <w:jc w:val="left"/>
              <w:rPr>
                <w:sz w:val="24"/>
              </w:rPr>
            </w:pPr>
            <w:r>
              <w:rPr>
                <w:rFonts w:hint="eastAsia"/>
                <w:sz w:val="24"/>
              </w:rPr>
              <w:t>建设单位广西华谊能源化工有限公司委托了广西中冠智合生态环境有限公司承担本项目的环境影响评价工作。我公司接受委托后，成立项目环境影响评价工作小组，在组织有关人员进行现场勘查和资料收集的基础上，依据国家和地方相关法律法规及有关规定，严格按照环境影响评价技术导则要求，编制《</w:t>
            </w:r>
            <w:r>
              <w:rPr>
                <w:rFonts w:hint="eastAsia"/>
                <w:sz w:val="24"/>
                <w:highlight w:val="none"/>
              </w:rPr>
              <w:t>60</w:t>
            </w:r>
            <w:r>
              <w:rPr>
                <w:rFonts w:hint="eastAsia"/>
                <w:sz w:val="24"/>
                <w:highlight w:val="none"/>
                <w:lang w:eastAsia="zh-CN"/>
              </w:rPr>
              <w:t>醋酸分离</w:t>
            </w:r>
            <w:r>
              <w:rPr>
                <w:rFonts w:hint="eastAsia"/>
                <w:sz w:val="24"/>
                <w:highlight w:val="none"/>
              </w:rPr>
              <w:t>项目</w:t>
            </w:r>
            <w:r>
              <w:rPr>
                <w:rFonts w:hint="eastAsia"/>
                <w:sz w:val="24"/>
              </w:rPr>
              <w:t>环境影响报告表》，供建设单位上报审批。</w:t>
            </w:r>
          </w:p>
          <w:p w14:paraId="563AC730">
            <w:pPr>
              <w:spacing w:line="500" w:lineRule="atLeast"/>
              <w:ind w:firstLine="482" w:firstLineChars="200"/>
              <w:rPr>
                <w:b/>
                <w:sz w:val="24"/>
              </w:rPr>
            </w:pPr>
            <w:r>
              <w:rPr>
                <w:rFonts w:hint="eastAsia"/>
                <w:b/>
                <w:sz w:val="24"/>
              </w:rPr>
              <w:t>2、项目主要建设内容</w:t>
            </w:r>
          </w:p>
          <w:p w14:paraId="5CBBE70F">
            <w:pPr>
              <w:spacing w:line="500" w:lineRule="atLeast"/>
              <w:ind w:firstLine="480" w:firstLineChars="200"/>
              <w:rPr>
                <w:rFonts w:hint="eastAsia"/>
                <w:sz w:val="24"/>
              </w:rPr>
            </w:pPr>
            <w:r>
              <w:rPr>
                <w:rFonts w:cs="Arial"/>
                <w:bCs/>
                <w:sz w:val="24"/>
              </w:rPr>
              <w:t>项目位于</w:t>
            </w:r>
            <w:r>
              <w:rPr>
                <w:rFonts w:hint="eastAsia" w:cs="Arial"/>
                <w:bCs/>
                <w:sz w:val="24"/>
              </w:rPr>
              <w:t>广西壮族自治区钦州市中国（广西）自由贸易试验区钦州港片区广西华谊能源化工有限公司区厂内，主要</w:t>
            </w:r>
            <w:r>
              <w:rPr>
                <w:rFonts w:hint="eastAsia" w:cs="Arial"/>
                <w:bCs/>
                <w:sz w:val="24"/>
                <w:lang w:val="en-US" w:eastAsia="zh-CN"/>
              </w:rPr>
              <w:t>在醋酸装置区</w:t>
            </w:r>
            <w:r>
              <w:rPr>
                <w:rFonts w:hint="eastAsia" w:cs="Arial"/>
                <w:bCs/>
                <w:sz w:val="24"/>
              </w:rPr>
              <w:t>新增</w:t>
            </w:r>
            <w:r>
              <w:rPr>
                <w:rFonts w:hint="eastAsia" w:cs="Arial"/>
                <w:bCs/>
                <w:sz w:val="24"/>
                <w:lang w:val="en-US" w:eastAsia="zh-CN"/>
              </w:rPr>
              <w:t>一套</w:t>
            </w:r>
            <w:r>
              <w:rPr>
                <w:rFonts w:hint="eastAsia" w:cs="Arial"/>
                <w:bCs/>
                <w:sz w:val="24"/>
              </w:rPr>
              <w:t>60</w:t>
            </w:r>
            <w:r>
              <w:rPr>
                <w:rFonts w:hint="eastAsia" w:cs="Arial"/>
                <w:bCs/>
                <w:sz w:val="24"/>
                <w:lang w:eastAsia="zh-CN"/>
              </w:rPr>
              <w:t>醋酸分离</w:t>
            </w:r>
            <w:r>
              <w:rPr>
                <w:rFonts w:hint="eastAsia" w:cs="Arial"/>
                <w:bCs/>
                <w:sz w:val="24"/>
              </w:rPr>
              <w:t>回收装置，对</w:t>
            </w:r>
            <w:r>
              <w:rPr>
                <w:rFonts w:hint="eastAsia" w:cs="Arial"/>
                <w:bCs/>
                <w:sz w:val="24"/>
                <w:lang w:eastAsia="zh-CN"/>
              </w:rPr>
              <w:t>60醋酸</w:t>
            </w:r>
            <w:r>
              <w:rPr>
                <w:rFonts w:hint="eastAsia" w:cs="Arial"/>
                <w:bCs/>
                <w:sz w:val="24"/>
              </w:rPr>
              <w:t>进行</w:t>
            </w:r>
            <w:r>
              <w:rPr>
                <w:rFonts w:hint="eastAsia" w:cs="Arial"/>
                <w:bCs/>
                <w:sz w:val="24"/>
                <w:lang w:val="en-US" w:eastAsia="zh-CN"/>
              </w:rPr>
              <w:t>物理</w:t>
            </w:r>
            <w:r>
              <w:rPr>
                <w:rFonts w:hint="eastAsia" w:cs="Arial"/>
                <w:bCs/>
                <w:sz w:val="24"/>
              </w:rPr>
              <w:t>分离回收</w:t>
            </w:r>
            <w:r>
              <w:rPr>
                <w:rFonts w:hint="eastAsia" w:cs="Arial"/>
                <w:bCs/>
                <w:sz w:val="24"/>
                <w:lang w:val="en-US" w:eastAsia="zh-CN"/>
              </w:rPr>
              <w:t>得到醋酸和丙酸</w:t>
            </w:r>
            <w:r>
              <w:rPr>
                <w:rFonts w:hint="eastAsia" w:cs="Arial"/>
                <w:bCs/>
                <w:sz w:val="24"/>
              </w:rPr>
              <w:t>。</w:t>
            </w:r>
            <w:r>
              <w:rPr>
                <w:rFonts w:hint="eastAsia"/>
                <w:sz w:val="24"/>
              </w:rPr>
              <w:t xml:space="preserve">项目主要建设内容见表2-1。 </w:t>
            </w:r>
          </w:p>
          <w:p w14:paraId="1A104444">
            <w:pPr>
              <w:pStyle w:val="51"/>
              <w:numPr>
                <w:ilvl w:val="2"/>
                <w:numId w:val="3"/>
              </w:numPr>
              <w:spacing w:line="500" w:lineRule="atLeast"/>
              <w:ind w:firstLineChars="0"/>
              <w:jc w:val="center"/>
              <w:rPr>
                <w:b/>
                <w:sz w:val="24"/>
              </w:rPr>
            </w:pPr>
            <w:r>
              <w:rPr>
                <w:rFonts w:hint="eastAsia"/>
                <w:b/>
                <w:sz w:val="24"/>
              </w:rPr>
              <w:t>本项目工程组成一览表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35"/>
              <w:gridCol w:w="1550"/>
              <w:gridCol w:w="4879"/>
              <w:gridCol w:w="1049"/>
            </w:tblGrid>
            <w:tr w14:paraId="59CE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6" w:type="pct"/>
                  <w:gridSpan w:val="2"/>
                  <w:vAlign w:val="center"/>
                </w:tcPr>
                <w:p w14:paraId="0668558B">
                  <w:pPr>
                    <w:topLinePunct/>
                    <w:autoSpaceDE w:val="0"/>
                    <w:autoSpaceDN w:val="0"/>
                    <w:adjustRightInd w:val="0"/>
                    <w:jc w:val="center"/>
                    <w:rPr>
                      <w:szCs w:val="21"/>
                      <w:u w:val="none"/>
                    </w:rPr>
                  </w:pPr>
                  <w:r>
                    <w:rPr>
                      <w:rFonts w:hint="eastAsia"/>
                      <w:szCs w:val="21"/>
                      <w:u w:val="none"/>
                    </w:rPr>
                    <w:t>工程名称</w:t>
                  </w:r>
                </w:p>
              </w:tc>
              <w:tc>
                <w:tcPr>
                  <w:tcW w:w="2899" w:type="pct"/>
                  <w:vAlign w:val="center"/>
                </w:tcPr>
                <w:p w14:paraId="333DE372">
                  <w:pPr>
                    <w:topLinePunct/>
                    <w:autoSpaceDE w:val="0"/>
                    <w:autoSpaceDN w:val="0"/>
                    <w:adjustRightInd w:val="0"/>
                    <w:jc w:val="center"/>
                    <w:rPr>
                      <w:rFonts w:hint="eastAsia"/>
                      <w:szCs w:val="21"/>
                      <w:u w:val="none"/>
                    </w:rPr>
                  </w:pPr>
                  <w:r>
                    <w:rPr>
                      <w:rFonts w:hint="eastAsia"/>
                      <w:szCs w:val="21"/>
                      <w:u w:val="none"/>
                    </w:rPr>
                    <w:t>主要内容</w:t>
                  </w:r>
                </w:p>
              </w:tc>
              <w:tc>
                <w:tcPr>
                  <w:tcW w:w="623" w:type="pct"/>
                  <w:vAlign w:val="center"/>
                </w:tcPr>
                <w:p w14:paraId="1E2D1743">
                  <w:pPr>
                    <w:topLinePunct/>
                    <w:autoSpaceDE w:val="0"/>
                    <w:autoSpaceDN w:val="0"/>
                    <w:adjustRightInd w:val="0"/>
                    <w:jc w:val="center"/>
                    <w:rPr>
                      <w:szCs w:val="21"/>
                      <w:u w:val="none"/>
                    </w:rPr>
                  </w:pPr>
                  <w:r>
                    <w:rPr>
                      <w:rFonts w:hint="eastAsia"/>
                      <w:szCs w:val="21"/>
                      <w:u w:val="none"/>
                    </w:rPr>
                    <w:t>备注</w:t>
                  </w:r>
                </w:p>
              </w:tc>
            </w:tr>
            <w:tr w14:paraId="6A3C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restart"/>
                  <w:vAlign w:val="center"/>
                </w:tcPr>
                <w:p w14:paraId="73D1DE7C">
                  <w:pPr>
                    <w:topLinePunct/>
                    <w:autoSpaceDE w:val="0"/>
                    <w:autoSpaceDN w:val="0"/>
                    <w:adjustRightInd w:val="0"/>
                    <w:jc w:val="center"/>
                    <w:rPr>
                      <w:szCs w:val="21"/>
                      <w:u w:val="none"/>
                    </w:rPr>
                  </w:pPr>
                  <w:r>
                    <w:rPr>
                      <w:rFonts w:hint="eastAsia"/>
                      <w:szCs w:val="21"/>
                      <w:u w:val="none"/>
                    </w:rPr>
                    <w:t>主体工程</w:t>
                  </w:r>
                </w:p>
              </w:tc>
              <w:tc>
                <w:tcPr>
                  <w:tcW w:w="921" w:type="pct"/>
                  <w:vAlign w:val="center"/>
                </w:tcPr>
                <w:p w14:paraId="24980E43">
                  <w:pPr>
                    <w:topLinePunct/>
                    <w:autoSpaceDE w:val="0"/>
                    <w:autoSpaceDN w:val="0"/>
                    <w:adjustRightInd w:val="0"/>
                    <w:jc w:val="center"/>
                    <w:rPr>
                      <w:rFonts w:hint="default" w:eastAsia="宋体"/>
                      <w:szCs w:val="21"/>
                      <w:u w:val="none"/>
                      <w:lang w:val="en-US" w:eastAsia="zh-CN"/>
                    </w:rPr>
                  </w:pPr>
                  <w:r>
                    <w:rPr>
                      <w:rFonts w:hint="eastAsia"/>
                      <w:szCs w:val="21"/>
                      <w:u w:val="none"/>
                      <w:lang w:val="en-US" w:eastAsia="zh-CN"/>
                    </w:rPr>
                    <w:t>60醋酸分离装置</w:t>
                  </w:r>
                </w:p>
              </w:tc>
              <w:tc>
                <w:tcPr>
                  <w:tcW w:w="2899" w:type="pct"/>
                  <w:vAlign w:val="center"/>
                </w:tcPr>
                <w:p w14:paraId="1BA1AADA">
                  <w:pPr>
                    <w:topLinePunct/>
                    <w:autoSpaceDE w:val="0"/>
                    <w:autoSpaceDN w:val="0"/>
                    <w:adjustRightInd w:val="0"/>
                    <w:jc w:val="center"/>
                    <w:rPr>
                      <w:rFonts w:hint="default" w:eastAsia="宋体"/>
                      <w:szCs w:val="21"/>
                      <w:u w:val="none"/>
                      <w:lang w:val="en-US" w:eastAsia="zh-CN"/>
                    </w:rPr>
                  </w:pPr>
                  <w:r>
                    <w:rPr>
                      <w:rFonts w:hint="eastAsia"/>
                      <w:szCs w:val="21"/>
                      <w:u w:val="none"/>
                      <w:lang w:val="en-US" w:eastAsia="zh-CN"/>
                    </w:rPr>
                    <w:t>在醋酸装置区内新增一套醋酸分离装置，对60醋酸进行物理分离回收得到醋酸和丙酸进行外售</w:t>
                  </w:r>
                </w:p>
              </w:tc>
              <w:tc>
                <w:tcPr>
                  <w:tcW w:w="623" w:type="pct"/>
                  <w:vAlign w:val="center"/>
                </w:tcPr>
                <w:p w14:paraId="37A71F49">
                  <w:pPr>
                    <w:topLinePunct/>
                    <w:autoSpaceDE w:val="0"/>
                    <w:autoSpaceDN w:val="0"/>
                    <w:adjustRightInd w:val="0"/>
                    <w:jc w:val="center"/>
                    <w:rPr>
                      <w:rFonts w:hint="eastAsia" w:eastAsia="宋体"/>
                      <w:szCs w:val="21"/>
                      <w:u w:val="none"/>
                      <w:lang w:eastAsia="zh-CN"/>
                    </w:rPr>
                  </w:pPr>
                  <w:r>
                    <w:rPr>
                      <w:rFonts w:hint="eastAsia"/>
                      <w:szCs w:val="21"/>
                      <w:u w:val="none"/>
                      <w:lang w:val="en-US" w:eastAsia="zh-CN"/>
                    </w:rPr>
                    <w:t>新建</w:t>
                  </w:r>
                </w:p>
              </w:tc>
            </w:tr>
            <w:tr w14:paraId="5292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0D6E4B63">
                  <w:pPr>
                    <w:topLinePunct/>
                    <w:autoSpaceDE w:val="0"/>
                    <w:autoSpaceDN w:val="0"/>
                    <w:adjustRightInd w:val="0"/>
                    <w:jc w:val="center"/>
                    <w:rPr>
                      <w:rFonts w:hint="eastAsia"/>
                      <w:szCs w:val="21"/>
                      <w:u w:val="none"/>
                    </w:rPr>
                  </w:pPr>
                </w:p>
              </w:tc>
              <w:tc>
                <w:tcPr>
                  <w:tcW w:w="921" w:type="pct"/>
                  <w:vAlign w:val="center"/>
                </w:tcPr>
                <w:p w14:paraId="0B6BFE17">
                  <w:pPr>
                    <w:topLinePunct/>
                    <w:autoSpaceDE w:val="0"/>
                    <w:autoSpaceDN w:val="0"/>
                    <w:adjustRightInd w:val="0"/>
                    <w:jc w:val="center"/>
                    <w:rPr>
                      <w:rFonts w:hint="eastAsia"/>
                      <w:szCs w:val="21"/>
                      <w:u w:val="single"/>
                      <w:lang w:val="en-US" w:eastAsia="zh-CN"/>
                    </w:rPr>
                  </w:pPr>
                  <w:r>
                    <w:rPr>
                      <w:rFonts w:hint="eastAsia"/>
                      <w:szCs w:val="21"/>
                      <w:u w:val="single"/>
                      <w:lang w:val="en-US" w:eastAsia="zh-CN"/>
                    </w:rPr>
                    <w:t>70万t/a醋酸装置</w:t>
                  </w:r>
                </w:p>
              </w:tc>
              <w:tc>
                <w:tcPr>
                  <w:tcW w:w="2899" w:type="pct"/>
                  <w:vAlign w:val="center"/>
                </w:tcPr>
                <w:p w14:paraId="0496F9C9">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装置主要由反应区、反应液冷却及冷凝液回收区、精馏区、尾气净化区、催化剂制备区、脱碘区组成，本项目60醋酸经分离装置处理后得到的醋酸气相进入到醋酸装置精制塔，与醋酸装置产生的醋酸一同进入产品醋酸储罐</w:t>
                  </w:r>
                </w:p>
              </w:tc>
              <w:tc>
                <w:tcPr>
                  <w:tcW w:w="623" w:type="pct"/>
                  <w:vAlign w:val="center"/>
                </w:tcPr>
                <w:p w14:paraId="2CCB3716">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依托现有70万t/a醋酸装置精制塔</w:t>
                  </w:r>
                </w:p>
              </w:tc>
            </w:tr>
            <w:tr w14:paraId="5418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restart"/>
                  <w:vAlign w:val="center"/>
                </w:tcPr>
                <w:p w14:paraId="582E8015">
                  <w:pPr>
                    <w:topLinePunct/>
                    <w:autoSpaceDE w:val="0"/>
                    <w:autoSpaceDN w:val="0"/>
                    <w:adjustRightInd w:val="0"/>
                    <w:jc w:val="center"/>
                    <w:rPr>
                      <w:rFonts w:hint="eastAsia"/>
                      <w:szCs w:val="21"/>
                      <w:u w:val="none"/>
                    </w:rPr>
                  </w:pPr>
                  <w:r>
                    <w:rPr>
                      <w:rFonts w:hint="eastAsia"/>
                      <w:szCs w:val="21"/>
                      <w:u w:val="none"/>
                      <w:lang w:val="en-US" w:eastAsia="zh-CN"/>
                    </w:rPr>
                    <w:t>储运工程</w:t>
                  </w:r>
                </w:p>
              </w:tc>
              <w:tc>
                <w:tcPr>
                  <w:tcW w:w="921" w:type="pct"/>
                  <w:vAlign w:val="center"/>
                </w:tcPr>
                <w:p w14:paraId="2EE65AB1">
                  <w:pPr>
                    <w:topLinePunct/>
                    <w:autoSpaceDE w:val="0"/>
                    <w:autoSpaceDN w:val="0"/>
                    <w:adjustRightInd w:val="0"/>
                    <w:jc w:val="center"/>
                    <w:rPr>
                      <w:rFonts w:hint="default"/>
                      <w:szCs w:val="21"/>
                      <w:u w:val="none"/>
                      <w:lang w:val="en-US" w:eastAsia="zh-CN"/>
                    </w:rPr>
                  </w:pPr>
                  <w:r>
                    <w:rPr>
                      <w:rFonts w:hint="eastAsia"/>
                      <w:szCs w:val="21"/>
                      <w:u w:val="none"/>
                      <w:lang w:val="en-US" w:eastAsia="zh-CN"/>
                    </w:rPr>
                    <w:t>60醋酸槽</w:t>
                  </w:r>
                </w:p>
              </w:tc>
              <w:tc>
                <w:tcPr>
                  <w:tcW w:w="2899" w:type="pct"/>
                  <w:vAlign w:val="center"/>
                </w:tcPr>
                <w:p w14:paraId="28FCF827">
                  <w:pPr>
                    <w:topLinePunct/>
                    <w:autoSpaceDE w:val="0"/>
                    <w:autoSpaceDN w:val="0"/>
                    <w:adjustRightInd w:val="0"/>
                    <w:jc w:val="center"/>
                    <w:rPr>
                      <w:rFonts w:hint="default"/>
                      <w:szCs w:val="21"/>
                      <w:u w:val="none"/>
                      <w:lang w:val="en-US" w:eastAsia="zh-CN"/>
                    </w:rPr>
                  </w:pPr>
                  <w:r>
                    <w:rPr>
                      <w:rFonts w:hint="eastAsia"/>
                      <w:szCs w:val="21"/>
                      <w:u w:val="none"/>
                      <w:lang w:val="en-US" w:eastAsia="zh-CN"/>
                    </w:rPr>
                    <w:t>位于醋酸装置东北面，主要用于贮存现在醋酸装置副产的60醋酸</w:t>
                  </w:r>
                </w:p>
              </w:tc>
              <w:tc>
                <w:tcPr>
                  <w:tcW w:w="623" w:type="pct"/>
                  <w:vAlign w:val="center"/>
                </w:tcPr>
                <w:p w14:paraId="55752864">
                  <w:pPr>
                    <w:topLinePunct/>
                    <w:autoSpaceDE w:val="0"/>
                    <w:autoSpaceDN w:val="0"/>
                    <w:adjustRightInd w:val="0"/>
                    <w:jc w:val="center"/>
                    <w:rPr>
                      <w:rFonts w:hint="default"/>
                      <w:szCs w:val="21"/>
                      <w:u w:val="none"/>
                      <w:lang w:val="en-US" w:eastAsia="zh-CN"/>
                    </w:rPr>
                  </w:pPr>
                  <w:r>
                    <w:rPr>
                      <w:rFonts w:hint="eastAsia"/>
                      <w:szCs w:val="21"/>
                      <w:u w:val="none"/>
                      <w:lang w:val="en-US" w:eastAsia="zh-CN"/>
                    </w:rPr>
                    <w:t>依托现有</w:t>
                  </w:r>
                </w:p>
              </w:tc>
            </w:tr>
            <w:tr w14:paraId="6506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602F6232">
                  <w:pPr>
                    <w:topLinePunct/>
                    <w:autoSpaceDE w:val="0"/>
                    <w:autoSpaceDN w:val="0"/>
                    <w:adjustRightInd w:val="0"/>
                    <w:jc w:val="center"/>
                    <w:rPr>
                      <w:rFonts w:hint="eastAsia"/>
                      <w:szCs w:val="21"/>
                      <w:u w:val="none"/>
                    </w:rPr>
                  </w:pPr>
                </w:p>
              </w:tc>
              <w:tc>
                <w:tcPr>
                  <w:tcW w:w="921" w:type="pct"/>
                  <w:vAlign w:val="center"/>
                </w:tcPr>
                <w:p w14:paraId="6ADC8EBE">
                  <w:pPr>
                    <w:topLinePunct/>
                    <w:autoSpaceDE w:val="0"/>
                    <w:autoSpaceDN w:val="0"/>
                    <w:adjustRightInd w:val="0"/>
                    <w:jc w:val="center"/>
                    <w:rPr>
                      <w:rFonts w:hint="default"/>
                      <w:szCs w:val="21"/>
                      <w:u w:val="none"/>
                      <w:lang w:val="en-US" w:eastAsia="zh-CN"/>
                    </w:rPr>
                  </w:pPr>
                  <w:r>
                    <w:rPr>
                      <w:rFonts w:hint="eastAsia"/>
                      <w:szCs w:val="21"/>
                      <w:u w:val="none"/>
                      <w:lang w:val="en-US" w:eastAsia="zh-CN"/>
                    </w:rPr>
                    <w:t>废液罐</w:t>
                  </w:r>
                </w:p>
              </w:tc>
              <w:tc>
                <w:tcPr>
                  <w:tcW w:w="2899" w:type="pct"/>
                  <w:vAlign w:val="center"/>
                </w:tcPr>
                <w:p w14:paraId="6B776B0A">
                  <w:pPr>
                    <w:topLinePunct/>
                    <w:autoSpaceDE w:val="0"/>
                    <w:autoSpaceDN w:val="0"/>
                    <w:adjustRightInd w:val="0"/>
                    <w:jc w:val="center"/>
                    <w:rPr>
                      <w:rFonts w:hint="default"/>
                      <w:szCs w:val="21"/>
                      <w:u w:val="none"/>
                      <w:lang w:val="en-US" w:eastAsia="zh-CN"/>
                    </w:rPr>
                  </w:pPr>
                  <w:r>
                    <w:rPr>
                      <w:rFonts w:hint="eastAsia"/>
                      <w:szCs w:val="21"/>
                      <w:u w:val="none"/>
                      <w:lang w:val="en-US" w:eastAsia="zh-CN"/>
                    </w:rPr>
                    <w:t>固定顶，氮封储罐，容积为50m</w:t>
                  </w:r>
                  <w:r>
                    <w:rPr>
                      <w:rFonts w:hint="eastAsia"/>
                      <w:szCs w:val="21"/>
                      <w:u w:val="none"/>
                      <w:vertAlign w:val="superscript"/>
                      <w:lang w:val="en-US" w:eastAsia="zh-CN"/>
                    </w:rPr>
                    <w:t>3</w:t>
                  </w:r>
                  <w:r>
                    <w:rPr>
                      <w:rFonts w:hint="eastAsia"/>
                      <w:szCs w:val="21"/>
                      <w:u w:val="none"/>
                      <w:lang w:val="en-US" w:eastAsia="zh-CN"/>
                    </w:rPr>
                    <w:t>，位于现有醋酸罐区西南面</w:t>
                  </w:r>
                </w:p>
              </w:tc>
              <w:tc>
                <w:tcPr>
                  <w:tcW w:w="623" w:type="pct"/>
                  <w:vAlign w:val="center"/>
                </w:tcPr>
                <w:p w14:paraId="210AEE44">
                  <w:pPr>
                    <w:topLinePunct/>
                    <w:autoSpaceDE w:val="0"/>
                    <w:autoSpaceDN w:val="0"/>
                    <w:adjustRightInd w:val="0"/>
                    <w:jc w:val="center"/>
                    <w:rPr>
                      <w:rFonts w:hint="default"/>
                      <w:szCs w:val="21"/>
                      <w:u w:val="none"/>
                      <w:lang w:val="en-US" w:eastAsia="zh-CN"/>
                    </w:rPr>
                  </w:pPr>
                  <w:r>
                    <w:rPr>
                      <w:rFonts w:hint="eastAsia"/>
                      <w:szCs w:val="21"/>
                      <w:u w:val="none"/>
                      <w:lang w:val="en-US" w:eastAsia="zh-CN"/>
                    </w:rPr>
                    <w:t>新建</w:t>
                  </w:r>
                </w:p>
              </w:tc>
            </w:tr>
            <w:tr w14:paraId="27EE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2C655EFD">
                  <w:pPr>
                    <w:topLinePunct/>
                    <w:autoSpaceDE w:val="0"/>
                    <w:autoSpaceDN w:val="0"/>
                    <w:adjustRightInd w:val="0"/>
                    <w:jc w:val="center"/>
                    <w:rPr>
                      <w:rFonts w:hint="eastAsia"/>
                      <w:szCs w:val="21"/>
                      <w:u w:val="none"/>
                      <w:lang w:val="en-US" w:eastAsia="zh-CN"/>
                    </w:rPr>
                  </w:pPr>
                </w:p>
              </w:tc>
              <w:tc>
                <w:tcPr>
                  <w:tcW w:w="921" w:type="pct"/>
                  <w:vAlign w:val="center"/>
                </w:tcPr>
                <w:p w14:paraId="050034A0">
                  <w:pPr>
                    <w:topLinePunct/>
                    <w:autoSpaceDE w:val="0"/>
                    <w:autoSpaceDN w:val="0"/>
                    <w:adjustRightInd w:val="0"/>
                    <w:jc w:val="center"/>
                    <w:rPr>
                      <w:rFonts w:hint="default"/>
                      <w:szCs w:val="21"/>
                      <w:u w:val="none"/>
                      <w:lang w:val="en-US" w:eastAsia="zh-CN"/>
                    </w:rPr>
                  </w:pPr>
                  <w:r>
                    <w:rPr>
                      <w:rFonts w:hint="eastAsia"/>
                      <w:szCs w:val="21"/>
                      <w:u w:val="none"/>
                      <w:lang w:val="en-US" w:eastAsia="zh-CN"/>
                    </w:rPr>
                    <w:t>丙酸缓冲罐</w:t>
                  </w:r>
                </w:p>
              </w:tc>
              <w:tc>
                <w:tcPr>
                  <w:tcW w:w="2899" w:type="pct"/>
                  <w:vAlign w:val="center"/>
                </w:tcPr>
                <w:p w14:paraId="570F9E9F">
                  <w:pPr>
                    <w:topLinePunct/>
                    <w:autoSpaceDE w:val="0"/>
                    <w:autoSpaceDN w:val="0"/>
                    <w:adjustRightInd w:val="0"/>
                    <w:jc w:val="center"/>
                    <w:rPr>
                      <w:rFonts w:hint="eastAsia"/>
                      <w:szCs w:val="21"/>
                      <w:u w:val="none"/>
                      <w:lang w:val="en-US" w:eastAsia="zh-CN"/>
                    </w:rPr>
                  </w:pPr>
                  <w:r>
                    <w:rPr>
                      <w:rFonts w:hint="eastAsia"/>
                      <w:szCs w:val="21"/>
                      <w:u w:val="none"/>
                      <w:lang w:val="en-US" w:eastAsia="zh-CN"/>
                    </w:rPr>
                    <w:t>固定顶，氮封储罐，容积为50m</w:t>
                  </w:r>
                  <w:r>
                    <w:rPr>
                      <w:rFonts w:hint="eastAsia"/>
                      <w:szCs w:val="21"/>
                      <w:u w:val="none"/>
                      <w:vertAlign w:val="superscript"/>
                      <w:lang w:val="en-US" w:eastAsia="zh-CN"/>
                    </w:rPr>
                    <w:t>3</w:t>
                  </w:r>
                  <w:r>
                    <w:rPr>
                      <w:rFonts w:hint="eastAsia"/>
                      <w:szCs w:val="21"/>
                      <w:u w:val="none"/>
                      <w:lang w:val="en-US" w:eastAsia="zh-CN"/>
                    </w:rPr>
                    <w:t>，位于现有醋酸罐区西南面</w:t>
                  </w:r>
                </w:p>
              </w:tc>
              <w:tc>
                <w:tcPr>
                  <w:tcW w:w="623" w:type="pct"/>
                  <w:vAlign w:val="center"/>
                </w:tcPr>
                <w:p w14:paraId="3FE9A8CD">
                  <w:pPr>
                    <w:topLinePunct/>
                    <w:autoSpaceDE w:val="0"/>
                    <w:autoSpaceDN w:val="0"/>
                    <w:adjustRightInd w:val="0"/>
                    <w:jc w:val="center"/>
                    <w:rPr>
                      <w:rFonts w:hint="default"/>
                      <w:szCs w:val="21"/>
                      <w:u w:val="none"/>
                      <w:lang w:val="en-US" w:eastAsia="zh-CN"/>
                    </w:rPr>
                  </w:pPr>
                  <w:r>
                    <w:rPr>
                      <w:rFonts w:hint="eastAsia"/>
                      <w:szCs w:val="21"/>
                      <w:u w:val="none"/>
                      <w:lang w:val="en-US" w:eastAsia="zh-CN"/>
                    </w:rPr>
                    <w:t>新建</w:t>
                  </w:r>
                </w:p>
              </w:tc>
            </w:tr>
            <w:tr w14:paraId="42C3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0B3070FD">
                  <w:pPr>
                    <w:topLinePunct/>
                    <w:autoSpaceDE w:val="0"/>
                    <w:autoSpaceDN w:val="0"/>
                    <w:adjustRightInd w:val="0"/>
                    <w:jc w:val="center"/>
                    <w:rPr>
                      <w:rFonts w:hint="eastAsia"/>
                      <w:szCs w:val="21"/>
                      <w:u w:val="none"/>
                      <w:lang w:val="en-US" w:eastAsia="zh-CN"/>
                    </w:rPr>
                  </w:pPr>
                </w:p>
              </w:tc>
              <w:tc>
                <w:tcPr>
                  <w:tcW w:w="921" w:type="pct"/>
                  <w:vAlign w:val="center"/>
                </w:tcPr>
                <w:p w14:paraId="2BE0DEE8">
                  <w:pPr>
                    <w:topLinePunct/>
                    <w:autoSpaceDE w:val="0"/>
                    <w:autoSpaceDN w:val="0"/>
                    <w:adjustRightInd w:val="0"/>
                    <w:jc w:val="center"/>
                    <w:rPr>
                      <w:rFonts w:hint="default"/>
                      <w:szCs w:val="21"/>
                      <w:u w:val="single"/>
                      <w:lang w:val="en-US" w:eastAsia="zh-CN"/>
                    </w:rPr>
                  </w:pPr>
                  <w:r>
                    <w:rPr>
                      <w:rFonts w:hint="eastAsia" w:eastAsia="宋体"/>
                      <w:sz w:val="21"/>
                      <w:szCs w:val="21"/>
                      <w:u w:val="single"/>
                    </w:rPr>
                    <w:t>醋酸中间罐</w:t>
                  </w:r>
                </w:p>
              </w:tc>
              <w:tc>
                <w:tcPr>
                  <w:tcW w:w="2899" w:type="pct"/>
                  <w:vAlign w:val="center"/>
                </w:tcPr>
                <w:p w14:paraId="04D0C965">
                  <w:pPr>
                    <w:topLinePunct/>
                    <w:autoSpaceDE w:val="0"/>
                    <w:autoSpaceDN w:val="0"/>
                    <w:adjustRightInd w:val="0"/>
                    <w:jc w:val="center"/>
                    <w:rPr>
                      <w:rFonts w:hint="default"/>
                      <w:szCs w:val="21"/>
                      <w:u w:val="single"/>
                      <w:lang w:val="en-US" w:eastAsia="zh-CN"/>
                    </w:rPr>
                  </w:pPr>
                  <w:r>
                    <w:rPr>
                      <w:rFonts w:hint="eastAsia" w:eastAsia="宋体"/>
                      <w:sz w:val="21"/>
                      <w:szCs w:val="21"/>
                      <w:u w:val="single"/>
                    </w:rPr>
                    <w:t>依托4×1000m</w:t>
                  </w:r>
                  <w:r>
                    <w:rPr>
                      <w:rFonts w:hint="eastAsia" w:eastAsia="宋体"/>
                      <w:sz w:val="21"/>
                      <w:szCs w:val="21"/>
                      <w:u w:val="single"/>
                      <w:vertAlign w:val="superscript"/>
                    </w:rPr>
                    <w:t>3</w:t>
                  </w:r>
                  <w:r>
                    <w:rPr>
                      <w:rFonts w:hint="eastAsia" w:eastAsia="宋体"/>
                      <w:sz w:val="21"/>
                      <w:szCs w:val="21"/>
                      <w:u w:val="single"/>
                    </w:rPr>
                    <w:t>固定顶醋酸中间罐，无需新增中间罐</w:t>
                  </w:r>
                </w:p>
              </w:tc>
              <w:tc>
                <w:tcPr>
                  <w:tcW w:w="623" w:type="pct"/>
                  <w:vAlign w:val="center"/>
                </w:tcPr>
                <w:p w14:paraId="6EA38441">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依托现有</w:t>
                  </w:r>
                </w:p>
              </w:tc>
            </w:tr>
            <w:tr w14:paraId="61D0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5BFE98C8">
                  <w:pPr>
                    <w:topLinePunct/>
                    <w:autoSpaceDE w:val="0"/>
                    <w:autoSpaceDN w:val="0"/>
                    <w:adjustRightInd w:val="0"/>
                    <w:jc w:val="center"/>
                    <w:rPr>
                      <w:rFonts w:hint="eastAsia"/>
                      <w:szCs w:val="21"/>
                      <w:u w:val="none"/>
                      <w:lang w:val="en-US" w:eastAsia="zh-CN"/>
                    </w:rPr>
                  </w:pPr>
                </w:p>
              </w:tc>
              <w:tc>
                <w:tcPr>
                  <w:tcW w:w="921" w:type="pct"/>
                  <w:shd w:val="clear" w:color="auto" w:fill="auto"/>
                  <w:vAlign w:val="center"/>
                </w:tcPr>
                <w:p w14:paraId="077BA583">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醋酸产品罐</w:t>
                  </w:r>
                </w:p>
              </w:tc>
              <w:tc>
                <w:tcPr>
                  <w:tcW w:w="2899" w:type="pct"/>
                  <w:shd w:val="clear" w:color="auto" w:fill="auto"/>
                  <w:vAlign w:val="center"/>
                </w:tcPr>
                <w:p w14:paraId="1F93571C">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3×10000m</w:t>
                  </w:r>
                  <w:r>
                    <w:rPr>
                      <w:rFonts w:hint="eastAsia" w:eastAsia="宋体"/>
                      <w:sz w:val="21"/>
                      <w:szCs w:val="21"/>
                      <w:u w:val="single"/>
                      <w:vertAlign w:val="superscript"/>
                    </w:rPr>
                    <w:t>3</w:t>
                  </w:r>
                  <w:r>
                    <w:rPr>
                      <w:rFonts w:hint="eastAsia" w:eastAsia="宋体"/>
                      <w:sz w:val="21"/>
                      <w:szCs w:val="21"/>
                      <w:u w:val="single"/>
                    </w:rPr>
                    <w:t>固定顶醋酸产品罐</w:t>
                  </w:r>
                </w:p>
              </w:tc>
              <w:tc>
                <w:tcPr>
                  <w:tcW w:w="623" w:type="pct"/>
                  <w:shd w:val="clear" w:color="auto" w:fill="auto"/>
                  <w:vAlign w:val="center"/>
                </w:tcPr>
                <w:p w14:paraId="01289732">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依托</w:t>
                  </w:r>
                  <w:r>
                    <w:rPr>
                      <w:rFonts w:hint="eastAsia" w:eastAsia="宋体"/>
                      <w:sz w:val="21"/>
                      <w:szCs w:val="21"/>
                      <w:u w:val="single"/>
                    </w:rPr>
                    <w:t>孚宝</w:t>
                  </w:r>
                </w:p>
              </w:tc>
            </w:tr>
            <w:tr w14:paraId="4949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2919EA99">
                  <w:pPr>
                    <w:topLinePunct/>
                    <w:autoSpaceDE w:val="0"/>
                    <w:autoSpaceDN w:val="0"/>
                    <w:adjustRightInd w:val="0"/>
                    <w:jc w:val="center"/>
                    <w:rPr>
                      <w:rFonts w:hint="eastAsia"/>
                      <w:szCs w:val="21"/>
                      <w:u w:val="none"/>
                      <w:lang w:val="en-US" w:eastAsia="zh-CN"/>
                    </w:rPr>
                  </w:pPr>
                </w:p>
              </w:tc>
              <w:tc>
                <w:tcPr>
                  <w:tcW w:w="921" w:type="pct"/>
                  <w:shd w:val="clear" w:color="auto" w:fill="auto"/>
                  <w:vAlign w:val="center"/>
                </w:tcPr>
                <w:p w14:paraId="54070E97">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醋酸</w:t>
                  </w:r>
                  <w:r>
                    <w:rPr>
                      <w:rFonts w:hint="eastAsia" w:eastAsia="宋体"/>
                      <w:sz w:val="21"/>
                      <w:szCs w:val="21"/>
                      <w:u w:val="single"/>
                    </w:rPr>
                    <w:t>装卸系统</w:t>
                  </w:r>
                </w:p>
              </w:tc>
              <w:tc>
                <w:tcPr>
                  <w:tcW w:w="2899" w:type="pct"/>
                  <w:shd w:val="clear" w:color="auto" w:fill="auto"/>
                  <w:vAlign w:val="center"/>
                </w:tcPr>
                <w:p w14:paraId="73AAECC0">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依托现有装卸系统</w:t>
                  </w:r>
                </w:p>
              </w:tc>
              <w:tc>
                <w:tcPr>
                  <w:tcW w:w="623" w:type="pct"/>
                  <w:shd w:val="clear" w:color="auto" w:fill="auto"/>
                  <w:vAlign w:val="center"/>
                </w:tcPr>
                <w:p w14:paraId="634F4EBE">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依托</w:t>
                  </w:r>
                  <w:r>
                    <w:rPr>
                      <w:rFonts w:hint="eastAsia" w:eastAsia="宋体"/>
                      <w:sz w:val="21"/>
                      <w:szCs w:val="21"/>
                      <w:u w:val="single"/>
                    </w:rPr>
                    <w:t>孚宝</w:t>
                  </w:r>
                </w:p>
              </w:tc>
            </w:tr>
            <w:tr w14:paraId="5F03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restart"/>
                  <w:vAlign w:val="center"/>
                </w:tcPr>
                <w:p w14:paraId="385E4817">
                  <w:pPr>
                    <w:topLinePunct/>
                    <w:autoSpaceDE w:val="0"/>
                    <w:autoSpaceDN w:val="0"/>
                    <w:adjustRightInd w:val="0"/>
                    <w:jc w:val="center"/>
                    <w:rPr>
                      <w:rFonts w:hint="default"/>
                      <w:szCs w:val="21"/>
                      <w:u w:val="none"/>
                      <w:lang w:val="en-US" w:eastAsia="zh-CN"/>
                    </w:rPr>
                  </w:pPr>
                  <w:r>
                    <w:rPr>
                      <w:rFonts w:hint="eastAsia"/>
                      <w:szCs w:val="21"/>
                      <w:u w:val="none"/>
                      <w:lang w:val="en-US" w:eastAsia="zh-CN"/>
                    </w:rPr>
                    <w:t>辅助工程</w:t>
                  </w:r>
                </w:p>
              </w:tc>
              <w:tc>
                <w:tcPr>
                  <w:tcW w:w="921" w:type="pct"/>
                  <w:shd w:val="clear" w:color="auto" w:fill="auto"/>
                  <w:vAlign w:val="center"/>
                </w:tcPr>
                <w:p w14:paraId="1BCE1000">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办公辅助</w:t>
                  </w:r>
                </w:p>
              </w:tc>
              <w:tc>
                <w:tcPr>
                  <w:tcW w:w="2899" w:type="pct"/>
                  <w:shd w:val="clear" w:color="auto" w:fill="auto"/>
                  <w:vAlign w:val="center"/>
                </w:tcPr>
                <w:p w14:paraId="3B810F2A">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依托现有</w:t>
                  </w:r>
                  <w:r>
                    <w:rPr>
                      <w:rFonts w:eastAsia="宋体"/>
                      <w:sz w:val="21"/>
                      <w:szCs w:val="21"/>
                      <w:u w:val="single"/>
                    </w:rPr>
                    <w:t>综合楼、办公辅楼、中央控制室、中心化验室、生活服务中心、餐厅等</w:t>
                  </w:r>
                </w:p>
              </w:tc>
              <w:tc>
                <w:tcPr>
                  <w:tcW w:w="623" w:type="pct"/>
                  <w:shd w:val="clear" w:color="auto" w:fill="auto"/>
                  <w:vAlign w:val="center"/>
                </w:tcPr>
                <w:p w14:paraId="721EA929">
                  <w:pPr>
                    <w:widowControl/>
                    <w:spacing w:line="240" w:lineRule="exact"/>
                    <w:jc w:val="center"/>
                    <w:rPr>
                      <w:rFonts w:hint="default" w:eastAsia="宋体"/>
                      <w:sz w:val="21"/>
                      <w:szCs w:val="21"/>
                      <w:u w:val="single"/>
                      <w:lang w:val="en-US" w:eastAsia="zh-CN"/>
                    </w:rPr>
                  </w:pPr>
                  <w:r>
                    <w:rPr>
                      <w:rFonts w:hint="eastAsia"/>
                      <w:sz w:val="21"/>
                      <w:szCs w:val="21"/>
                      <w:u w:val="single"/>
                      <w:lang w:val="en-US" w:eastAsia="zh-CN"/>
                    </w:rPr>
                    <w:t>依托现有</w:t>
                  </w:r>
                </w:p>
              </w:tc>
            </w:tr>
            <w:tr w14:paraId="0AFB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57ED7A7B">
                  <w:pPr>
                    <w:topLinePunct/>
                    <w:autoSpaceDE w:val="0"/>
                    <w:autoSpaceDN w:val="0"/>
                    <w:adjustRightInd w:val="0"/>
                    <w:jc w:val="center"/>
                    <w:rPr>
                      <w:rFonts w:hint="eastAsia"/>
                      <w:szCs w:val="21"/>
                      <w:u w:val="none"/>
                      <w:lang w:val="en-US" w:eastAsia="zh-CN"/>
                    </w:rPr>
                  </w:pPr>
                </w:p>
              </w:tc>
              <w:tc>
                <w:tcPr>
                  <w:tcW w:w="921" w:type="pct"/>
                  <w:shd w:val="clear" w:color="auto" w:fill="FFFFFF"/>
                  <w:vAlign w:val="center"/>
                </w:tcPr>
                <w:p w14:paraId="7DF030C3">
                  <w:pPr>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循环水场</w:t>
                  </w:r>
                </w:p>
              </w:tc>
              <w:tc>
                <w:tcPr>
                  <w:tcW w:w="2899" w:type="pct"/>
                  <w:shd w:val="clear" w:color="auto" w:fill="auto"/>
                  <w:vAlign w:val="center"/>
                </w:tcPr>
                <w:p w14:paraId="4DD7EDAB">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依托现有循环水站，给水温度和回水温度为33.5/43.5℃，其供应能力为1</w:t>
                  </w:r>
                  <w:r>
                    <w:rPr>
                      <w:rFonts w:eastAsia="宋体"/>
                      <w:sz w:val="21"/>
                      <w:szCs w:val="21"/>
                      <w:u w:val="single"/>
                    </w:rPr>
                    <w:t>30000t/h</w:t>
                  </w:r>
                </w:p>
              </w:tc>
              <w:tc>
                <w:tcPr>
                  <w:tcW w:w="623" w:type="pct"/>
                  <w:shd w:val="clear" w:color="auto" w:fill="auto"/>
                  <w:vAlign w:val="center"/>
                </w:tcPr>
                <w:p w14:paraId="597FB907">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szCs w:val="21"/>
                      <w:u w:val="single"/>
                    </w:rPr>
                    <w:t>依托</w:t>
                  </w:r>
                  <w:r>
                    <w:rPr>
                      <w:rFonts w:hint="eastAsia"/>
                      <w:szCs w:val="21"/>
                      <w:u w:val="single"/>
                      <w:lang w:val="en-US" w:eastAsia="zh-CN"/>
                    </w:rPr>
                    <w:t>现有</w:t>
                  </w:r>
                </w:p>
              </w:tc>
            </w:tr>
            <w:tr w14:paraId="11B3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restart"/>
                  <w:vAlign w:val="center"/>
                </w:tcPr>
                <w:p w14:paraId="67B3DF6B">
                  <w:pPr>
                    <w:topLinePunct/>
                    <w:autoSpaceDE w:val="0"/>
                    <w:autoSpaceDN w:val="0"/>
                    <w:adjustRightInd w:val="0"/>
                    <w:jc w:val="center"/>
                    <w:rPr>
                      <w:szCs w:val="21"/>
                      <w:u w:val="none"/>
                    </w:rPr>
                  </w:pPr>
                  <w:r>
                    <w:rPr>
                      <w:rFonts w:hint="eastAsia"/>
                      <w:szCs w:val="21"/>
                      <w:u w:val="none"/>
                    </w:rPr>
                    <w:t>公用工程</w:t>
                  </w:r>
                </w:p>
              </w:tc>
              <w:tc>
                <w:tcPr>
                  <w:tcW w:w="921" w:type="pct"/>
                  <w:vAlign w:val="center"/>
                </w:tcPr>
                <w:p w14:paraId="0F043080">
                  <w:pPr>
                    <w:topLinePunct/>
                    <w:autoSpaceDE w:val="0"/>
                    <w:autoSpaceDN w:val="0"/>
                    <w:adjustRightInd w:val="0"/>
                    <w:jc w:val="center"/>
                    <w:rPr>
                      <w:szCs w:val="21"/>
                      <w:u w:val="none"/>
                    </w:rPr>
                  </w:pPr>
                  <w:r>
                    <w:rPr>
                      <w:rFonts w:hint="eastAsia"/>
                      <w:szCs w:val="21"/>
                      <w:u w:val="none"/>
                    </w:rPr>
                    <w:t>供水</w:t>
                  </w:r>
                </w:p>
              </w:tc>
              <w:tc>
                <w:tcPr>
                  <w:tcW w:w="2899" w:type="pct"/>
                  <w:vAlign w:val="center"/>
                </w:tcPr>
                <w:p w14:paraId="6174F12F">
                  <w:pPr>
                    <w:topLinePunct/>
                    <w:autoSpaceDE w:val="0"/>
                    <w:autoSpaceDN w:val="0"/>
                    <w:adjustRightInd w:val="0"/>
                    <w:jc w:val="center"/>
                    <w:rPr>
                      <w:szCs w:val="21"/>
                      <w:u w:val="none"/>
                    </w:rPr>
                  </w:pPr>
                  <w:r>
                    <w:rPr>
                      <w:szCs w:val="21"/>
                      <w:u w:val="none"/>
                    </w:rPr>
                    <w:t>依托厂区内现有工业水管网</w:t>
                  </w:r>
                </w:p>
              </w:tc>
              <w:tc>
                <w:tcPr>
                  <w:tcW w:w="623" w:type="pct"/>
                  <w:vMerge w:val="restart"/>
                  <w:vAlign w:val="center"/>
                </w:tcPr>
                <w:p w14:paraId="1DFEDCD5">
                  <w:pPr>
                    <w:topLinePunct/>
                    <w:autoSpaceDE w:val="0"/>
                    <w:autoSpaceDN w:val="0"/>
                    <w:adjustRightInd w:val="0"/>
                    <w:jc w:val="center"/>
                    <w:rPr>
                      <w:rFonts w:hint="default" w:eastAsia="宋体"/>
                      <w:szCs w:val="21"/>
                      <w:u w:val="none"/>
                      <w:lang w:val="en-US" w:eastAsia="zh-CN"/>
                    </w:rPr>
                  </w:pPr>
                  <w:r>
                    <w:rPr>
                      <w:rFonts w:hint="eastAsia"/>
                      <w:szCs w:val="21"/>
                      <w:u w:val="none"/>
                      <w:lang w:val="en-US" w:eastAsia="zh-CN"/>
                    </w:rPr>
                    <w:t>依托现有</w:t>
                  </w:r>
                </w:p>
              </w:tc>
            </w:tr>
            <w:tr w14:paraId="0BCD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02610DA6">
                  <w:pPr>
                    <w:topLinePunct/>
                    <w:autoSpaceDE w:val="0"/>
                    <w:autoSpaceDN w:val="0"/>
                    <w:adjustRightInd w:val="0"/>
                    <w:jc w:val="center"/>
                    <w:rPr>
                      <w:szCs w:val="21"/>
                      <w:u w:val="none"/>
                    </w:rPr>
                  </w:pPr>
                </w:p>
              </w:tc>
              <w:tc>
                <w:tcPr>
                  <w:tcW w:w="921" w:type="pct"/>
                  <w:vAlign w:val="center"/>
                </w:tcPr>
                <w:p w14:paraId="3C6232A6">
                  <w:pPr>
                    <w:topLinePunct/>
                    <w:autoSpaceDE w:val="0"/>
                    <w:autoSpaceDN w:val="0"/>
                    <w:adjustRightInd w:val="0"/>
                    <w:jc w:val="center"/>
                    <w:rPr>
                      <w:szCs w:val="21"/>
                      <w:u w:val="none"/>
                    </w:rPr>
                  </w:pPr>
                  <w:r>
                    <w:rPr>
                      <w:rFonts w:hint="eastAsia"/>
                      <w:szCs w:val="21"/>
                      <w:u w:val="none"/>
                    </w:rPr>
                    <w:t>供电</w:t>
                  </w:r>
                </w:p>
              </w:tc>
              <w:tc>
                <w:tcPr>
                  <w:tcW w:w="2899" w:type="pct"/>
                  <w:vAlign w:val="center"/>
                </w:tcPr>
                <w:p w14:paraId="7FEDB9C5">
                  <w:pPr>
                    <w:topLinePunct/>
                    <w:autoSpaceDE w:val="0"/>
                    <w:autoSpaceDN w:val="0"/>
                    <w:adjustRightInd w:val="0"/>
                    <w:jc w:val="center"/>
                    <w:rPr>
                      <w:szCs w:val="21"/>
                      <w:u w:val="none"/>
                    </w:rPr>
                  </w:pPr>
                  <w:r>
                    <w:rPr>
                      <w:szCs w:val="21"/>
                      <w:u w:val="none"/>
                    </w:rPr>
                    <w:t>依托厂区现有变电所</w:t>
                  </w:r>
                </w:p>
              </w:tc>
              <w:tc>
                <w:tcPr>
                  <w:tcW w:w="623" w:type="pct"/>
                  <w:vMerge w:val="continue"/>
                  <w:vAlign w:val="center"/>
                </w:tcPr>
                <w:p w14:paraId="7CC3E964">
                  <w:pPr>
                    <w:topLinePunct/>
                    <w:autoSpaceDE w:val="0"/>
                    <w:autoSpaceDN w:val="0"/>
                    <w:adjustRightInd w:val="0"/>
                    <w:jc w:val="center"/>
                    <w:rPr>
                      <w:szCs w:val="21"/>
                      <w:u w:val="none"/>
                    </w:rPr>
                  </w:pPr>
                </w:p>
              </w:tc>
            </w:tr>
            <w:tr w14:paraId="000A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6184FBF4">
                  <w:pPr>
                    <w:topLinePunct/>
                    <w:autoSpaceDE w:val="0"/>
                    <w:autoSpaceDN w:val="0"/>
                    <w:adjustRightInd w:val="0"/>
                    <w:jc w:val="center"/>
                    <w:rPr>
                      <w:szCs w:val="21"/>
                      <w:u w:val="none"/>
                    </w:rPr>
                  </w:pPr>
                </w:p>
              </w:tc>
              <w:tc>
                <w:tcPr>
                  <w:tcW w:w="921" w:type="pct"/>
                  <w:vAlign w:val="center"/>
                </w:tcPr>
                <w:p w14:paraId="0C6E000D">
                  <w:pPr>
                    <w:topLinePunct/>
                    <w:autoSpaceDE w:val="0"/>
                    <w:autoSpaceDN w:val="0"/>
                    <w:adjustRightInd w:val="0"/>
                    <w:jc w:val="center"/>
                    <w:rPr>
                      <w:szCs w:val="21"/>
                      <w:u w:val="none"/>
                    </w:rPr>
                  </w:pPr>
                  <w:r>
                    <w:rPr>
                      <w:rFonts w:hint="eastAsia"/>
                      <w:szCs w:val="21"/>
                      <w:u w:val="none"/>
                    </w:rPr>
                    <w:t>供汽</w:t>
                  </w:r>
                </w:p>
              </w:tc>
              <w:tc>
                <w:tcPr>
                  <w:tcW w:w="2899" w:type="pct"/>
                  <w:vAlign w:val="center"/>
                </w:tcPr>
                <w:p w14:paraId="5A43AD42">
                  <w:pPr>
                    <w:topLinePunct/>
                    <w:autoSpaceDE w:val="0"/>
                    <w:autoSpaceDN w:val="0"/>
                    <w:adjustRightInd w:val="0"/>
                    <w:jc w:val="center"/>
                    <w:rPr>
                      <w:rFonts w:hint="eastAsia" w:eastAsia="宋体"/>
                      <w:szCs w:val="21"/>
                      <w:u w:val="none"/>
                      <w:lang w:val="en-US" w:eastAsia="zh-CN"/>
                    </w:rPr>
                  </w:pPr>
                  <w:r>
                    <w:rPr>
                      <w:rFonts w:hint="eastAsia"/>
                      <w:szCs w:val="21"/>
                      <w:u w:val="none"/>
                      <w:lang w:val="en-US" w:eastAsia="zh-CN"/>
                    </w:rPr>
                    <w:t>本项目蒸汽依托厂区现有汽管网提供，园区统一供汽，厂内自建管道与厂外供汽。</w:t>
                  </w:r>
                </w:p>
              </w:tc>
              <w:tc>
                <w:tcPr>
                  <w:tcW w:w="623" w:type="pct"/>
                  <w:vMerge w:val="continue"/>
                  <w:vAlign w:val="center"/>
                </w:tcPr>
                <w:p w14:paraId="2723A122">
                  <w:pPr>
                    <w:topLinePunct/>
                    <w:autoSpaceDE w:val="0"/>
                    <w:autoSpaceDN w:val="0"/>
                    <w:adjustRightInd w:val="0"/>
                    <w:jc w:val="center"/>
                    <w:rPr>
                      <w:szCs w:val="21"/>
                      <w:u w:val="none"/>
                    </w:rPr>
                  </w:pPr>
                </w:p>
              </w:tc>
            </w:tr>
            <w:tr w14:paraId="0078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3F67024F">
                  <w:pPr>
                    <w:topLinePunct/>
                    <w:autoSpaceDE w:val="0"/>
                    <w:autoSpaceDN w:val="0"/>
                    <w:adjustRightInd w:val="0"/>
                    <w:jc w:val="center"/>
                    <w:rPr>
                      <w:szCs w:val="21"/>
                      <w:u w:val="none"/>
                    </w:rPr>
                  </w:pPr>
                </w:p>
              </w:tc>
              <w:tc>
                <w:tcPr>
                  <w:tcW w:w="921" w:type="pct"/>
                  <w:vMerge w:val="restart"/>
                  <w:shd w:val="clear" w:color="auto" w:fill="FFFFFF"/>
                  <w:vAlign w:val="center"/>
                </w:tcPr>
                <w:p w14:paraId="54F8B473">
                  <w:pPr>
                    <w:jc w:val="center"/>
                    <w:rPr>
                      <w:rFonts w:hint="default" w:ascii="Times New Roman" w:hAnsi="Times New Roman" w:eastAsia="宋体" w:cs="Times New Roman"/>
                      <w:kern w:val="2"/>
                      <w:sz w:val="21"/>
                      <w:szCs w:val="21"/>
                      <w:u w:val="single"/>
                      <w:lang w:val="en-US" w:eastAsia="zh-CN" w:bidi="ar-SA"/>
                    </w:rPr>
                  </w:pPr>
                  <w:r>
                    <w:rPr>
                      <w:rFonts w:hint="eastAsia" w:cs="Times New Roman"/>
                      <w:kern w:val="2"/>
                      <w:sz w:val="21"/>
                      <w:szCs w:val="21"/>
                      <w:u w:val="single"/>
                      <w:lang w:val="en-US" w:eastAsia="zh-CN" w:bidi="ar-SA"/>
                    </w:rPr>
                    <w:t>排水</w:t>
                  </w:r>
                </w:p>
              </w:tc>
              <w:tc>
                <w:tcPr>
                  <w:tcW w:w="2899" w:type="pct"/>
                  <w:shd w:val="clear" w:color="auto" w:fill="auto"/>
                  <w:vAlign w:val="center"/>
                </w:tcPr>
                <w:p w14:paraId="5F4C65C4">
                  <w:pPr>
                    <w:widowControl/>
                    <w:spacing w:line="240" w:lineRule="exact"/>
                    <w:ind w:left="0" w:leftChars="0" w:right="0" w:rightChars="0" w:firstLine="0" w:firstLineChars="0"/>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厂区内生产</w:t>
                  </w:r>
                  <w:r>
                    <w:rPr>
                      <w:rFonts w:eastAsia="宋体"/>
                      <w:sz w:val="21"/>
                      <w:szCs w:val="21"/>
                      <w:u w:val="single"/>
                    </w:rPr>
                    <w:t>废水依托</w:t>
                  </w:r>
                  <w:r>
                    <w:rPr>
                      <w:rFonts w:hint="eastAsia" w:eastAsia="宋体"/>
                      <w:sz w:val="21"/>
                      <w:szCs w:val="21"/>
                      <w:u w:val="single"/>
                    </w:rPr>
                    <w:t>广西</w:t>
                  </w:r>
                  <w:r>
                    <w:rPr>
                      <w:rFonts w:eastAsia="宋体"/>
                      <w:sz w:val="21"/>
                      <w:szCs w:val="21"/>
                      <w:u w:val="single"/>
                    </w:rPr>
                    <w:t>天宜</w:t>
                  </w:r>
                  <w:r>
                    <w:rPr>
                      <w:rFonts w:hint="eastAsia"/>
                      <w:sz w:val="21"/>
                      <w:szCs w:val="21"/>
                      <w:u w:val="single"/>
                      <w:lang w:eastAsia="zh-CN"/>
                    </w:rPr>
                    <w:t>污水处理厂</w:t>
                  </w:r>
                  <w:r>
                    <w:rPr>
                      <w:rFonts w:eastAsia="宋体"/>
                      <w:sz w:val="21"/>
                      <w:szCs w:val="21"/>
                      <w:u w:val="single"/>
                    </w:rPr>
                    <w:t>（</w:t>
                  </w:r>
                  <w:r>
                    <w:rPr>
                      <w:rFonts w:hint="eastAsia" w:eastAsia="宋体"/>
                      <w:sz w:val="21"/>
                      <w:szCs w:val="21"/>
                      <w:u w:val="single"/>
                    </w:rPr>
                    <w:t>一</w:t>
                  </w:r>
                  <w:r>
                    <w:rPr>
                      <w:rFonts w:eastAsia="宋体"/>
                      <w:sz w:val="21"/>
                      <w:szCs w:val="21"/>
                      <w:u w:val="single"/>
                    </w:rPr>
                    <w:t>期）处理，深海达标排放</w:t>
                  </w:r>
                  <w:r>
                    <w:rPr>
                      <w:rFonts w:hint="eastAsia"/>
                      <w:sz w:val="21"/>
                      <w:szCs w:val="21"/>
                      <w:u w:val="single"/>
                      <w:lang w:eastAsia="zh-CN"/>
                    </w:rPr>
                    <w:t>，</w:t>
                  </w:r>
                  <w:r>
                    <w:rPr>
                      <w:rFonts w:hint="eastAsia"/>
                      <w:sz w:val="21"/>
                      <w:szCs w:val="21"/>
                      <w:u w:val="single"/>
                      <w:lang w:val="en-US" w:eastAsia="zh-CN"/>
                    </w:rPr>
                    <w:t>本项目生产过程无废水产生。</w:t>
                  </w:r>
                </w:p>
              </w:tc>
              <w:tc>
                <w:tcPr>
                  <w:tcW w:w="623" w:type="pct"/>
                  <w:shd w:val="clear" w:color="auto" w:fill="auto"/>
                  <w:vAlign w:val="center"/>
                </w:tcPr>
                <w:p w14:paraId="350F8AF9">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依托</w:t>
                  </w:r>
                  <w:r>
                    <w:rPr>
                      <w:rFonts w:hint="eastAsia" w:eastAsia="宋体"/>
                      <w:sz w:val="21"/>
                      <w:szCs w:val="21"/>
                      <w:u w:val="single"/>
                    </w:rPr>
                    <w:t>广西天宜环境</w:t>
                  </w:r>
                </w:p>
              </w:tc>
            </w:tr>
            <w:tr w14:paraId="6694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5" w:type="pct"/>
                  <w:vMerge w:val="continue"/>
                  <w:vAlign w:val="center"/>
                </w:tcPr>
                <w:p w14:paraId="191D16BB">
                  <w:pPr>
                    <w:topLinePunct/>
                    <w:autoSpaceDE w:val="0"/>
                    <w:autoSpaceDN w:val="0"/>
                    <w:adjustRightInd w:val="0"/>
                    <w:jc w:val="center"/>
                    <w:rPr>
                      <w:szCs w:val="21"/>
                      <w:u w:val="none"/>
                    </w:rPr>
                  </w:pPr>
                </w:p>
              </w:tc>
              <w:tc>
                <w:tcPr>
                  <w:tcW w:w="921" w:type="pct"/>
                  <w:vMerge w:val="continue"/>
                  <w:shd w:val="clear" w:color="auto" w:fill="FFFFFF"/>
                  <w:vAlign w:val="center"/>
                </w:tcPr>
                <w:p w14:paraId="5D17A7D3">
                  <w:pPr>
                    <w:jc w:val="center"/>
                    <w:rPr>
                      <w:rFonts w:hint="eastAsia" w:cs="Times New Roman"/>
                      <w:kern w:val="2"/>
                      <w:sz w:val="21"/>
                      <w:szCs w:val="21"/>
                      <w:u w:val="single"/>
                      <w:lang w:val="en-US" w:eastAsia="zh-CN" w:bidi="ar-SA"/>
                    </w:rPr>
                  </w:pPr>
                </w:p>
              </w:tc>
              <w:tc>
                <w:tcPr>
                  <w:tcW w:w="2899" w:type="pct"/>
                  <w:shd w:val="clear" w:color="auto" w:fill="auto"/>
                  <w:vAlign w:val="center"/>
                </w:tcPr>
                <w:p w14:paraId="61AA2821">
                  <w:pPr>
                    <w:widowControl/>
                    <w:spacing w:line="240" w:lineRule="exact"/>
                    <w:ind w:left="0" w:leftChars="0" w:right="0" w:rightChars="0" w:firstLine="0" w:firstLineChars="0"/>
                    <w:jc w:val="center"/>
                    <w:rPr>
                      <w:rFonts w:hint="default" w:ascii="Times New Roman" w:hAnsi="Times New Roman" w:eastAsia="宋体" w:cs="Times New Roman"/>
                      <w:kern w:val="2"/>
                      <w:sz w:val="21"/>
                      <w:szCs w:val="21"/>
                      <w:u w:val="single"/>
                      <w:lang w:val="en-US" w:eastAsia="zh-CN" w:bidi="ar-SA"/>
                    </w:rPr>
                  </w:pPr>
                  <w:r>
                    <w:rPr>
                      <w:rFonts w:eastAsia="宋体"/>
                      <w:sz w:val="21"/>
                      <w:szCs w:val="21"/>
                      <w:u w:val="single"/>
                    </w:rPr>
                    <w:t>采用重力流管道收集后，排入项目雨水监测池，监测合格排至厂外园区雨水管渠。外排雨水管上设置切断阀。发生事故时，关闭外排雨水管道切断阀，将事故消防废水排入事故水收集池贮存。保证事故水不外排</w:t>
                  </w:r>
                </w:p>
              </w:tc>
              <w:tc>
                <w:tcPr>
                  <w:tcW w:w="623" w:type="pct"/>
                  <w:shd w:val="clear" w:color="auto" w:fill="auto"/>
                  <w:vAlign w:val="center"/>
                </w:tcPr>
                <w:p w14:paraId="68CBC355">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依托</w:t>
                  </w:r>
                  <w:r>
                    <w:rPr>
                      <w:rFonts w:hint="eastAsia"/>
                      <w:sz w:val="21"/>
                      <w:szCs w:val="21"/>
                      <w:u w:val="single"/>
                      <w:lang w:val="en-US" w:eastAsia="zh-CN"/>
                    </w:rPr>
                    <w:t>现有</w:t>
                  </w:r>
                </w:p>
              </w:tc>
            </w:tr>
            <w:tr w14:paraId="35BD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restart"/>
                  <w:vAlign w:val="center"/>
                </w:tcPr>
                <w:p w14:paraId="6B6AA79B">
                  <w:pPr>
                    <w:topLinePunct/>
                    <w:autoSpaceDE w:val="0"/>
                    <w:autoSpaceDN w:val="0"/>
                    <w:adjustRightInd w:val="0"/>
                    <w:jc w:val="center"/>
                    <w:rPr>
                      <w:szCs w:val="21"/>
                      <w:u w:val="none"/>
                    </w:rPr>
                  </w:pPr>
                  <w:r>
                    <w:rPr>
                      <w:rFonts w:hint="eastAsia"/>
                      <w:szCs w:val="21"/>
                      <w:u w:val="none"/>
                    </w:rPr>
                    <w:t>环保工程</w:t>
                  </w:r>
                </w:p>
              </w:tc>
              <w:tc>
                <w:tcPr>
                  <w:tcW w:w="921" w:type="pct"/>
                  <w:shd w:val="clear" w:color="auto" w:fill="auto"/>
                  <w:vAlign w:val="center"/>
                </w:tcPr>
                <w:p w14:paraId="35684EB2">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醋酸中间罐尾气</w:t>
                  </w:r>
                </w:p>
              </w:tc>
              <w:tc>
                <w:tcPr>
                  <w:tcW w:w="2899" w:type="pct"/>
                  <w:shd w:val="clear" w:color="auto" w:fill="auto"/>
                  <w:vAlign w:val="center"/>
                </w:tcPr>
                <w:p w14:paraId="3DC4DBB0">
                  <w:pPr>
                    <w:widowControl/>
                    <w:spacing w:line="240" w:lineRule="exact"/>
                    <w:ind w:left="0" w:leftChars="0" w:right="0" w:rightChars="0" w:firstLine="0" w:firstLineChars="0"/>
                    <w:jc w:val="center"/>
                    <w:rPr>
                      <w:rFonts w:hint="default" w:ascii="Times New Roman" w:hAnsi="Times New Roman" w:eastAsia="宋体" w:cs="Times New Roman"/>
                      <w:kern w:val="2"/>
                      <w:sz w:val="21"/>
                      <w:szCs w:val="21"/>
                      <w:u w:val="single"/>
                      <w:lang w:val="en-US" w:eastAsia="zh-CN" w:bidi="ar-SA"/>
                    </w:rPr>
                  </w:pPr>
                  <w:r>
                    <w:rPr>
                      <w:rFonts w:hint="eastAsia" w:eastAsia="宋体"/>
                      <w:sz w:val="21"/>
                      <w:szCs w:val="21"/>
                      <w:u w:val="single"/>
                    </w:rPr>
                    <w:t>每个醋酸中间罐配套1座</w:t>
                  </w:r>
                  <w:r>
                    <w:rPr>
                      <w:rFonts w:eastAsia="宋体"/>
                      <w:sz w:val="21"/>
                      <w:szCs w:val="21"/>
                      <w:u w:val="single"/>
                    </w:rPr>
                    <w:t>洗涤塔</w:t>
                  </w:r>
                  <w:r>
                    <w:rPr>
                      <w:rFonts w:hint="eastAsia" w:eastAsia="宋体"/>
                      <w:sz w:val="21"/>
                      <w:szCs w:val="21"/>
                      <w:u w:val="single"/>
                    </w:rPr>
                    <w:t>洗涤后排放，共7座</w:t>
                  </w:r>
                  <w:r>
                    <w:rPr>
                      <w:rFonts w:eastAsia="宋体"/>
                      <w:sz w:val="21"/>
                      <w:szCs w:val="21"/>
                      <w:u w:val="single"/>
                    </w:rPr>
                    <w:t>洗涤塔</w:t>
                  </w:r>
                </w:p>
              </w:tc>
              <w:tc>
                <w:tcPr>
                  <w:tcW w:w="623" w:type="pct"/>
                  <w:shd w:val="clear" w:color="auto" w:fill="auto"/>
                  <w:vAlign w:val="center"/>
                </w:tcPr>
                <w:p w14:paraId="0D9D53FB">
                  <w:pPr>
                    <w:widowControl/>
                    <w:spacing w:line="240" w:lineRule="exact"/>
                    <w:jc w:val="center"/>
                    <w:rPr>
                      <w:rFonts w:hint="default" w:ascii="Times New Roman" w:hAnsi="Times New Roman" w:eastAsia="宋体" w:cs="Times New Roman"/>
                      <w:kern w:val="2"/>
                      <w:sz w:val="21"/>
                      <w:szCs w:val="21"/>
                      <w:u w:val="single"/>
                      <w:lang w:val="en-US" w:eastAsia="zh-CN" w:bidi="ar-SA"/>
                    </w:rPr>
                  </w:pPr>
                  <w:r>
                    <w:rPr>
                      <w:rFonts w:hint="eastAsia" w:eastAsia="宋体" w:cs="Times New Roman"/>
                      <w:kern w:val="2"/>
                      <w:sz w:val="21"/>
                      <w:szCs w:val="21"/>
                      <w:u w:val="single"/>
                      <w:lang w:val="en-US" w:eastAsia="zh-CN" w:bidi="ar-SA"/>
                    </w:rPr>
                    <w:t>依托现有</w:t>
                  </w:r>
                </w:p>
              </w:tc>
            </w:tr>
            <w:tr w14:paraId="013B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4AC5A2B8">
                  <w:pPr>
                    <w:topLinePunct/>
                    <w:autoSpaceDE w:val="0"/>
                    <w:autoSpaceDN w:val="0"/>
                    <w:adjustRightInd w:val="0"/>
                    <w:jc w:val="center"/>
                    <w:rPr>
                      <w:rFonts w:hint="eastAsia"/>
                      <w:szCs w:val="21"/>
                      <w:u w:val="none"/>
                    </w:rPr>
                  </w:pPr>
                </w:p>
              </w:tc>
              <w:tc>
                <w:tcPr>
                  <w:tcW w:w="921" w:type="pct"/>
                  <w:shd w:val="clear" w:color="auto" w:fill="auto"/>
                  <w:vAlign w:val="center"/>
                </w:tcPr>
                <w:p w14:paraId="5AB5B41E">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丙酸缓冲罐尾气</w:t>
                  </w:r>
                </w:p>
              </w:tc>
              <w:tc>
                <w:tcPr>
                  <w:tcW w:w="2899" w:type="pct"/>
                  <w:shd w:val="clear" w:color="auto" w:fill="auto"/>
                  <w:vAlign w:val="center"/>
                </w:tcPr>
                <w:p w14:paraId="527626BE">
                  <w:pPr>
                    <w:widowControl/>
                    <w:spacing w:line="240" w:lineRule="exact"/>
                    <w:ind w:left="0" w:leftChars="0" w:right="0" w:rightChars="0" w:firstLine="0" w:firstLineChars="0"/>
                    <w:jc w:val="center"/>
                    <w:rPr>
                      <w:rFonts w:hint="eastAsia" w:eastAsia="宋体"/>
                      <w:sz w:val="21"/>
                      <w:szCs w:val="21"/>
                      <w:u w:val="single"/>
                    </w:rPr>
                  </w:pPr>
                  <w:r>
                    <w:rPr>
                      <w:rFonts w:hint="eastAsia" w:eastAsia="宋体"/>
                      <w:sz w:val="21"/>
                      <w:szCs w:val="21"/>
                      <w:u w:val="single"/>
                    </w:rPr>
                    <w:t>配套1座</w:t>
                  </w:r>
                  <w:r>
                    <w:rPr>
                      <w:rFonts w:eastAsia="宋体"/>
                      <w:sz w:val="21"/>
                      <w:szCs w:val="21"/>
                      <w:u w:val="single"/>
                    </w:rPr>
                    <w:t>洗涤塔</w:t>
                  </w:r>
                  <w:r>
                    <w:rPr>
                      <w:rFonts w:hint="eastAsia" w:eastAsia="宋体"/>
                      <w:sz w:val="21"/>
                      <w:szCs w:val="21"/>
                      <w:u w:val="single"/>
                    </w:rPr>
                    <w:t>洗涤后排放</w:t>
                  </w:r>
                </w:p>
              </w:tc>
              <w:tc>
                <w:tcPr>
                  <w:tcW w:w="623" w:type="pct"/>
                  <w:shd w:val="clear" w:color="auto" w:fill="auto"/>
                  <w:vAlign w:val="center"/>
                </w:tcPr>
                <w:p w14:paraId="664BD810">
                  <w:pPr>
                    <w:widowControl/>
                    <w:spacing w:line="240" w:lineRule="exact"/>
                    <w:jc w:val="center"/>
                    <w:rPr>
                      <w:rFonts w:hint="default" w:eastAsia="宋体" w:cs="Times New Roman"/>
                      <w:kern w:val="2"/>
                      <w:sz w:val="21"/>
                      <w:szCs w:val="21"/>
                      <w:u w:val="single"/>
                      <w:lang w:val="en-US" w:eastAsia="zh-CN" w:bidi="ar-SA"/>
                    </w:rPr>
                  </w:pPr>
                  <w:r>
                    <w:rPr>
                      <w:rFonts w:hint="eastAsia" w:cs="Times New Roman"/>
                      <w:kern w:val="2"/>
                      <w:sz w:val="21"/>
                      <w:szCs w:val="21"/>
                      <w:u w:val="single"/>
                      <w:lang w:val="en-US" w:eastAsia="zh-CN" w:bidi="ar-SA"/>
                    </w:rPr>
                    <w:t>新建</w:t>
                  </w:r>
                </w:p>
              </w:tc>
            </w:tr>
            <w:tr w14:paraId="2AC2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667E958F">
                  <w:pPr>
                    <w:topLinePunct/>
                    <w:autoSpaceDE w:val="0"/>
                    <w:autoSpaceDN w:val="0"/>
                    <w:adjustRightInd w:val="0"/>
                    <w:jc w:val="center"/>
                    <w:rPr>
                      <w:rFonts w:hint="eastAsia"/>
                      <w:szCs w:val="21"/>
                      <w:u w:val="none"/>
                    </w:rPr>
                  </w:pPr>
                </w:p>
              </w:tc>
              <w:tc>
                <w:tcPr>
                  <w:tcW w:w="921" w:type="pct"/>
                  <w:shd w:val="clear" w:color="auto" w:fill="auto"/>
                  <w:vAlign w:val="center"/>
                </w:tcPr>
                <w:p w14:paraId="3598468B">
                  <w:pPr>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生产、生活污水</w:t>
                  </w:r>
                  <w:r>
                    <w:rPr>
                      <w:rFonts w:hint="eastAsia" w:eastAsia="宋体"/>
                      <w:sz w:val="21"/>
                      <w:szCs w:val="21"/>
                      <w:u w:val="single"/>
                    </w:rPr>
                    <w:t>处理</w:t>
                  </w:r>
                </w:p>
              </w:tc>
              <w:tc>
                <w:tcPr>
                  <w:tcW w:w="2899" w:type="pct"/>
                  <w:shd w:val="clear" w:color="auto" w:fill="auto"/>
                  <w:vAlign w:val="center"/>
                </w:tcPr>
                <w:p w14:paraId="0A24D902">
                  <w:pPr>
                    <w:spacing w:line="240" w:lineRule="exact"/>
                    <w:ind w:left="0" w:leftChars="0" w:right="0" w:rightChars="0" w:firstLine="0" w:firstLineChars="0"/>
                    <w:jc w:val="center"/>
                    <w:rPr>
                      <w:rFonts w:hint="default" w:ascii="Times New Roman" w:hAnsi="Times New Roman" w:eastAsia="宋体" w:cs="Times New Roman"/>
                      <w:kern w:val="2"/>
                      <w:sz w:val="21"/>
                      <w:szCs w:val="21"/>
                      <w:u w:val="single"/>
                      <w:lang w:val="en-US" w:eastAsia="zh-CN" w:bidi="ar-SA"/>
                    </w:rPr>
                  </w:pPr>
                  <w:r>
                    <w:rPr>
                      <w:rFonts w:eastAsia="宋体"/>
                      <w:sz w:val="21"/>
                      <w:szCs w:val="21"/>
                      <w:u w:val="single"/>
                    </w:rPr>
                    <w:t>各生产单元产生废水分水质设单独管道进入</w:t>
                  </w:r>
                  <w:r>
                    <w:rPr>
                      <w:rFonts w:hint="eastAsia" w:eastAsia="宋体"/>
                      <w:sz w:val="21"/>
                      <w:szCs w:val="21"/>
                      <w:u w:val="single"/>
                    </w:rPr>
                    <w:t>广西</w:t>
                  </w:r>
                  <w:r>
                    <w:rPr>
                      <w:rFonts w:eastAsia="宋体"/>
                      <w:sz w:val="21"/>
                      <w:szCs w:val="21"/>
                      <w:u w:val="single"/>
                    </w:rPr>
                    <w:t>天宜</w:t>
                  </w:r>
                  <w:r>
                    <w:rPr>
                      <w:rFonts w:hint="eastAsia"/>
                      <w:sz w:val="21"/>
                      <w:szCs w:val="21"/>
                      <w:u w:val="single"/>
                      <w:lang w:eastAsia="zh-CN"/>
                    </w:rPr>
                    <w:t>污水处理厂</w:t>
                  </w:r>
                  <w:r>
                    <w:rPr>
                      <w:rFonts w:hint="eastAsia" w:eastAsia="宋体"/>
                      <w:sz w:val="21"/>
                      <w:szCs w:val="21"/>
                      <w:u w:val="single"/>
                    </w:rPr>
                    <w:t>（</w:t>
                  </w:r>
                  <w:r>
                    <w:rPr>
                      <w:rFonts w:eastAsia="宋体"/>
                      <w:sz w:val="21"/>
                      <w:szCs w:val="21"/>
                      <w:u w:val="single"/>
                    </w:rPr>
                    <w:t>一期</w:t>
                  </w:r>
                  <w:r>
                    <w:rPr>
                      <w:rFonts w:hint="eastAsia" w:eastAsia="宋体"/>
                      <w:sz w:val="21"/>
                      <w:szCs w:val="21"/>
                      <w:u w:val="single"/>
                    </w:rPr>
                    <w:t>）</w:t>
                  </w:r>
                  <w:r>
                    <w:rPr>
                      <w:rFonts w:eastAsia="宋体"/>
                      <w:sz w:val="21"/>
                      <w:szCs w:val="21"/>
                      <w:u w:val="single"/>
                    </w:rPr>
                    <w:t>处理</w:t>
                  </w:r>
                  <w:r>
                    <w:rPr>
                      <w:rFonts w:hint="eastAsia"/>
                      <w:sz w:val="21"/>
                      <w:szCs w:val="21"/>
                      <w:u w:val="single"/>
                      <w:lang w:eastAsia="zh-CN"/>
                    </w:rPr>
                    <w:t>，</w:t>
                  </w:r>
                  <w:r>
                    <w:rPr>
                      <w:rFonts w:hint="eastAsia"/>
                      <w:sz w:val="21"/>
                      <w:szCs w:val="21"/>
                      <w:u w:val="single"/>
                      <w:lang w:val="en-US" w:eastAsia="zh-CN"/>
                    </w:rPr>
                    <w:t>本</w:t>
                  </w:r>
                  <w:r>
                    <w:rPr>
                      <w:rFonts w:hint="eastAsia"/>
                      <w:szCs w:val="21"/>
                      <w:u w:val="single"/>
                    </w:rPr>
                    <w:t>不新增劳动定员，无新增生活污水</w:t>
                  </w:r>
                  <w:r>
                    <w:rPr>
                      <w:rFonts w:hint="eastAsia"/>
                      <w:szCs w:val="21"/>
                      <w:u w:val="single"/>
                      <w:lang w:eastAsia="zh-CN"/>
                    </w:rPr>
                    <w:t>，</w:t>
                  </w:r>
                  <w:r>
                    <w:rPr>
                      <w:rFonts w:hint="eastAsia"/>
                      <w:szCs w:val="21"/>
                      <w:u w:val="single"/>
                      <w:lang w:val="en-US" w:eastAsia="zh-CN"/>
                    </w:rPr>
                    <w:t>生产过程无生产废水产生</w:t>
                  </w:r>
                </w:p>
              </w:tc>
              <w:tc>
                <w:tcPr>
                  <w:tcW w:w="623" w:type="pct"/>
                  <w:shd w:val="clear" w:color="auto" w:fill="auto"/>
                  <w:vAlign w:val="center"/>
                </w:tcPr>
                <w:p w14:paraId="0C1EC5B6">
                  <w:pPr>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w:t>
                  </w:r>
                  <w:r>
                    <w:rPr>
                      <w:rFonts w:hint="eastAsia"/>
                      <w:sz w:val="21"/>
                      <w:szCs w:val="21"/>
                      <w:u w:val="single"/>
                      <w:lang w:val="en-US" w:eastAsia="zh-CN"/>
                    </w:rPr>
                    <w:t>现有</w:t>
                  </w:r>
                </w:p>
              </w:tc>
            </w:tr>
            <w:tr w14:paraId="2D0C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34075917">
                  <w:pPr>
                    <w:topLinePunct/>
                    <w:autoSpaceDE w:val="0"/>
                    <w:autoSpaceDN w:val="0"/>
                    <w:adjustRightInd w:val="0"/>
                    <w:jc w:val="center"/>
                    <w:rPr>
                      <w:rFonts w:hint="eastAsia"/>
                      <w:szCs w:val="21"/>
                      <w:u w:val="none"/>
                    </w:rPr>
                  </w:pPr>
                </w:p>
              </w:tc>
              <w:tc>
                <w:tcPr>
                  <w:tcW w:w="921" w:type="pct"/>
                  <w:shd w:val="clear" w:color="auto" w:fill="auto"/>
                  <w:vAlign w:val="center"/>
                </w:tcPr>
                <w:p w14:paraId="16D9B9BE">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初期雨水池</w:t>
                  </w:r>
                </w:p>
              </w:tc>
              <w:tc>
                <w:tcPr>
                  <w:tcW w:w="2899" w:type="pct"/>
                  <w:shd w:val="clear" w:color="auto" w:fill="auto"/>
                  <w:vAlign w:val="center"/>
                </w:tcPr>
                <w:p w14:paraId="448C83EB">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依托现有</w:t>
                  </w:r>
                  <w:r>
                    <w:rPr>
                      <w:rFonts w:eastAsia="宋体"/>
                      <w:sz w:val="21"/>
                      <w:szCs w:val="21"/>
                      <w:u w:val="single"/>
                    </w:rPr>
                    <w:t>4#醋酸装置</w:t>
                  </w:r>
                  <w:r>
                    <w:rPr>
                      <w:rFonts w:hint="eastAsia" w:eastAsia="宋体"/>
                      <w:sz w:val="21"/>
                      <w:szCs w:val="21"/>
                      <w:u w:val="single"/>
                    </w:rPr>
                    <w:t>（70万t/a）初期雨水池</w:t>
                  </w:r>
                  <w:r>
                    <w:rPr>
                      <w:rFonts w:hint="eastAsia"/>
                      <w:sz w:val="21"/>
                      <w:szCs w:val="21"/>
                      <w:u w:val="single"/>
                      <w:lang w:eastAsia="zh-CN"/>
                    </w:rPr>
                    <w:t>，</w:t>
                  </w:r>
                  <w:r>
                    <w:rPr>
                      <w:rFonts w:hint="eastAsia"/>
                      <w:szCs w:val="21"/>
                      <w:u w:val="single"/>
                      <w:lang w:val="en-US" w:eastAsia="zh-CN"/>
                    </w:rPr>
                    <w:t>无新增用地，因此无新增初期雨水</w:t>
                  </w:r>
                </w:p>
              </w:tc>
              <w:tc>
                <w:tcPr>
                  <w:tcW w:w="623" w:type="pct"/>
                  <w:shd w:val="clear" w:color="auto" w:fill="auto"/>
                  <w:vAlign w:val="center"/>
                </w:tcPr>
                <w:p w14:paraId="48897388">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w:t>
                  </w:r>
                  <w:r>
                    <w:rPr>
                      <w:rFonts w:hint="eastAsia"/>
                      <w:sz w:val="21"/>
                      <w:szCs w:val="21"/>
                      <w:u w:val="single"/>
                      <w:lang w:val="en-US" w:eastAsia="zh-CN"/>
                    </w:rPr>
                    <w:t>现有</w:t>
                  </w:r>
                </w:p>
              </w:tc>
            </w:tr>
            <w:tr w14:paraId="1A29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4A5D51AD">
                  <w:pPr>
                    <w:topLinePunct/>
                    <w:autoSpaceDE w:val="0"/>
                    <w:autoSpaceDN w:val="0"/>
                    <w:adjustRightInd w:val="0"/>
                    <w:jc w:val="center"/>
                    <w:rPr>
                      <w:rFonts w:hint="eastAsia"/>
                      <w:szCs w:val="21"/>
                      <w:u w:val="none"/>
                    </w:rPr>
                  </w:pPr>
                </w:p>
              </w:tc>
              <w:tc>
                <w:tcPr>
                  <w:tcW w:w="921" w:type="pct"/>
                  <w:shd w:val="clear" w:color="auto" w:fill="auto"/>
                  <w:vAlign w:val="center"/>
                </w:tcPr>
                <w:p w14:paraId="7D0191B4">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废水缓冲设施</w:t>
                  </w:r>
                </w:p>
              </w:tc>
              <w:tc>
                <w:tcPr>
                  <w:tcW w:w="2899" w:type="pct"/>
                  <w:shd w:val="clear" w:color="auto" w:fill="auto"/>
                  <w:vAlign w:val="center"/>
                </w:tcPr>
                <w:p w14:paraId="40B1A7ED">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w:t>
                  </w:r>
                  <w:r>
                    <w:rPr>
                      <w:rFonts w:eastAsia="宋体"/>
                      <w:sz w:val="21"/>
                      <w:szCs w:val="21"/>
                      <w:u w:val="single"/>
                    </w:rPr>
                    <w:t>有 1 座有效容积为 18000m³的应急事故池</w:t>
                  </w:r>
                </w:p>
              </w:tc>
              <w:tc>
                <w:tcPr>
                  <w:tcW w:w="623" w:type="pct"/>
                  <w:shd w:val="clear" w:color="auto" w:fill="auto"/>
                  <w:vAlign w:val="center"/>
                </w:tcPr>
                <w:p w14:paraId="364B16BC">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w:t>
                  </w:r>
                  <w:r>
                    <w:rPr>
                      <w:rFonts w:hint="eastAsia"/>
                      <w:sz w:val="21"/>
                      <w:szCs w:val="21"/>
                      <w:u w:val="single"/>
                      <w:lang w:val="en-US" w:eastAsia="zh-CN"/>
                    </w:rPr>
                    <w:t>现有</w:t>
                  </w:r>
                </w:p>
              </w:tc>
            </w:tr>
            <w:tr w14:paraId="58C9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118C890B">
                  <w:pPr>
                    <w:topLinePunct/>
                    <w:autoSpaceDE w:val="0"/>
                    <w:autoSpaceDN w:val="0"/>
                    <w:adjustRightInd w:val="0"/>
                    <w:jc w:val="center"/>
                    <w:rPr>
                      <w:rFonts w:hint="eastAsia"/>
                      <w:szCs w:val="21"/>
                      <w:u w:val="none"/>
                    </w:rPr>
                  </w:pPr>
                </w:p>
              </w:tc>
              <w:tc>
                <w:tcPr>
                  <w:tcW w:w="921" w:type="pct"/>
                  <w:vMerge w:val="restart"/>
                  <w:shd w:val="clear" w:color="auto" w:fill="auto"/>
                  <w:vAlign w:val="center"/>
                </w:tcPr>
                <w:p w14:paraId="6DE0AC3D">
                  <w:pPr>
                    <w:widowControl/>
                    <w:spacing w:line="240" w:lineRule="exact"/>
                    <w:jc w:val="center"/>
                    <w:rPr>
                      <w:rFonts w:ascii="Times New Roman" w:hAnsi="Times New Roman" w:eastAsia="宋体" w:cs="Times New Roman"/>
                      <w:kern w:val="2"/>
                      <w:sz w:val="21"/>
                      <w:szCs w:val="21"/>
                      <w:u w:val="none"/>
                      <w:lang w:val="en-US" w:eastAsia="zh-CN" w:bidi="ar-SA"/>
                    </w:rPr>
                  </w:pPr>
                  <w:r>
                    <w:rPr>
                      <w:rFonts w:hint="eastAsia"/>
                      <w:szCs w:val="21"/>
                      <w:u w:val="none"/>
                    </w:rPr>
                    <w:t>危险废物</w:t>
                  </w:r>
                </w:p>
              </w:tc>
              <w:tc>
                <w:tcPr>
                  <w:tcW w:w="2899" w:type="pct"/>
                  <w:shd w:val="clear" w:color="auto" w:fill="auto"/>
                  <w:vAlign w:val="center"/>
                </w:tcPr>
                <w:p w14:paraId="66D839AB">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厂区已设有</w:t>
                  </w:r>
                  <w:r>
                    <w:rPr>
                      <w:rFonts w:eastAsia="宋体"/>
                      <w:sz w:val="21"/>
                      <w:szCs w:val="21"/>
                      <w:u w:val="single"/>
                    </w:rPr>
                    <w:t>危险废物暂存间</w:t>
                  </w:r>
                  <w:r>
                    <w:rPr>
                      <w:rFonts w:hint="eastAsia" w:eastAsia="宋体"/>
                      <w:sz w:val="21"/>
                      <w:szCs w:val="21"/>
                      <w:u w:val="single"/>
                    </w:rPr>
                    <w:t>，</w:t>
                  </w:r>
                  <w:r>
                    <w:rPr>
                      <w:rFonts w:eastAsia="宋体"/>
                      <w:sz w:val="21"/>
                      <w:szCs w:val="21"/>
                      <w:u w:val="single"/>
                    </w:rPr>
                    <w:t>面积为490.29m</w:t>
                  </w:r>
                  <w:r>
                    <w:rPr>
                      <w:rFonts w:eastAsia="宋体"/>
                      <w:sz w:val="21"/>
                      <w:szCs w:val="21"/>
                      <w:u w:val="single"/>
                      <w:vertAlign w:val="superscript"/>
                    </w:rPr>
                    <w:t>2</w:t>
                  </w:r>
                </w:p>
              </w:tc>
              <w:tc>
                <w:tcPr>
                  <w:tcW w:w="623" w:type="pct"/>
                  <w:shd w:val="clear" w:color="auto" w:fill="auto"/>
                  <w:vAlign w:val="center"/>
                </w:tcPr>
                <w:p w14:paraId="3A18EEEE">
                  <w:pPr>
                    <w:widowControl/>
                    <w:spacing w:line="240" w:lineRule="exact"/>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依托现有</w:t>
                  </w:r>
                </w:p>
              </w:tc>
            </w:tr>
            <w:tr w14:paraId="72B9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Merge w:val="continue"/>
                  <w:vAlign w:val="center"/>
                </w:tcPr>
                <w:p w14:paraId="6F08FE77">
                  <w:pPr>
                    <w:topLinePunct/>
                    <w:autoSpaceDE w:val="0"/>
                    <w:autoSpaceDN w:val="0"/>
                    <w:adjustRightInd w:val="0"/>
                    <w:jc w:val="center"/>
                    <w:rPr>
                      <w:rFonts w:hint="eastAsia"/>
                      <w:szCs w:val="21"/>
                      <w:u w:val="none"/>
                    </w:rPr>
                  </w:pPr>
                </w:p>
              </w:tc>
              <w:tc>
                <w:tcPr>
                  <w:tcW w:w="921" w:type="pct"/>
                  <w:vMerge w:val="continue"/>
                  <w:shd w:val="clear" w:color="auto" w:fill="auto"/>
                  <w:vAlign w:val="center"/>
                </w:tcPr>
                <w:p w14:paraId="0F4A01E5">
                  <w:pPr>
                    <w:widowControl/>
                    <w:spacing w:line="240" w:lineRule="exact"/>
                    <w:jc w:val="center"/>
                    <w:rPr>
                      <w:rFonts w:hint="eastAsia" w:ascii="Times New Roman" w:hAnsi="Times New Roman" w:eastAsia="宋体" w:cs="Times New Roman"/>
                      <w:kern w:val="2"/>
                      <w:sz w:val="21"/>
                      <w:szCs w:val="21"/>
                      <w:lang w:val="en-US" w:eastAsia="zh-CN" w:bidi="ar-SA"/>
                    </w:rPr>
                  </w:pPr>
                </w:p>
              </w:tc>
              <w:tc>
                <w:tcPr>
                  <w:tcW w:w="2899" w:type="pct"/>
                  <w:shd w:val="clear" w:color="auto" w:fill="auto"/>
                  <w:vAlign w:val="center"/>
                </w:tcPr>
                <w:p w14:paraId="7B2C2768">
                  <w:pPr>
                    <w:topLinePunct/>
                    <w:autoSpaceDE w:val="0"/>
                    <w:autoSpaceDN w:val="0"/>
                    <w:adjustRightInd w:val="0"/>
                    <w:ind w:left="0" w:leftChars="0" w:right="0" w:rightChars="0" w:firstLine="0" w:firstLineChars="0"/>
                    <w:jc w:val="center"/>
                    <w:rPr>
                      <w:rFonts w:hint="eastAsia" w:ascii="Times New Roman" w:hAnsi="Times New Roman" w:eastAsia="宋体" w:cs="Times New Roman"/>
                      <w:kern w:val="2"/>
                      <w:sz w:val="21"/>
                      <w:szCs w:val="21"/>
                      <w:u w:val="none"/>
                      <w:lang w:val="en-US" w:eastAsia="zh-CN" w:bidi="ar-SA"/>
                    </w:rPr>
                  </w:pPr>
                  <w:r>
                    <w:rPr>
                      <w:rFonts w:hint="eastAsia"/>
                      <w:szCs w:val="21"/>
                      <w:u w:val="none"/>
                      <w:lang w:val="en-US" w:eastAsia="zh-CN"/>
                    </w:rPr>
                    <w:t>本项目主要危险废物为60醋酸分离装置产生的废液，废液暂存在废液罐内</w:t>
                  </w:r>
                  <w:r>
                    <w:rPr>
                      <w:rFonts w:hint="eastAsia"/>
                      <w:szCs w:val="21"/>
                      <w:u w:val="none"/>
                    </w:rPr>
                    <w:t>，定期</w:t>
                  </w:r>
                  <w:r>
                    <w:rPr>
                      <w:rFonts w:hint="eastAsia"/>
                      <w:szCs w:val="21"/>
                      <w:u w:val="none"/>
                      <w:lang w:eastAsia="zh-CN"/>
                    </w:rPr>
                    <w:t>交由</w:t>
                  </w:r>
                  <w:r>
                    <w:rPr>
                      <w:rFonts w:hint="eastAsia"/>
                      <w:szCs w:val="21"/>
                      <w:u w:val="none"/>
                    </w:rPr>
                    <w:t>资质单位处置</w:t>
                  </w:r>
                </w:p>
              </w:tc>
              <w:tc>
                <w:tcPr>
                  <w:tcW w:w="623" w:type="pct"/>
                  <w:shd w:val="clear" w:color="auto" w:fill="auto"/>
                  <w:vAlign w:val="center"/>
                </w:tcPr>
                <w:p w14:paraId="17383C74">
                  <w:pPr>
                    <w:topLinePunct/>
                    <w:autoSpaceDE w:val="0"/>
                    <w:autoSpaceDN w:val="0"/>
                    <w:adjustRightInd w:val="0"/>
                    <w:jc w:val="center"/>
                    <w:rPr>
                      <w:rFonts w:hint="eastAsia" w:ascii="Times New Roman" w:hAnsi="Times New Roman" w:eastAsia="宋体" w:cs="Times New Roman"/>
                      <w:kern w:val="2"/>
                      <w:sz w:val="21"/>
                      <w:szCs w:val="21"/>
                      <w:u w:val="none"/>
                      <w:lang w:val="en-US" w:eastAsia="zh-CN" w:bidi="ar-SA"/>
                    </w:rPr>
                  </w:pPr>
                  <w:r>
                    <w:rPr>
                      <w:rFonts w:hint="eastAsia"/>
                      <w:szCs w:val="21"/>
                      <w:u w:val="none"/>
                      <w:lang w:val="en-US" w:eastAsia="zh-CN"/>
                    </w:rPr>
                    <w:t>新建</w:t>
                  </w:r>
                </w:p>
              </w:tc>
            </w:tr>
            <w:tr w14:paraId="3D41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5" w:type="pct"/>
                  <w:vAlign w:val="center"/>
                </w:tcPr>
                <w:p w14:paraId="5E92B129">
                  <w:pPr>
                    <w:topLinePunct/>
                    <w:autoSpaceDE w:val="0"/>
                    <w:autoSpaceDN w:val="0"/>
                    <w:adjustRightInd w:val="0"/>
                    <w:jc w:val="center"/>
                    <w:rPr>
                      <w:rFonts w:hint="eastAsia" w:eastAsia="宋体"/>
                      <w:szCs w:val="21"/>
                      <w:u w:val="none"/>
                      <w:lang w:val="en-US" w:eastAsia="zh-CN"/>
                    </w:rPr>
                  </w:pPr>
                  <w:r>
                    <w:rPr>
                      <w:rFonts w:hint="eastAsia"/>
                      <w:szCs w:val="21"/>
                      <w:u w:val="none"/>
                      <w:lang w:val="en-US" w:eastAsia="zh-CN"/>
                    </w:rPr>
                    <w:t>风险</w:t>
                  </w:r>
                </w:p>
              </w:tc>
              <w:tc>
                <w:tcPr>
                  <w:tcW w:w="921" w:type="pct"/>
                  <w:shd w:val="clear" w:color="auto" w:fill="auto"/>
                  <w:vAlign w:val="center"/>
                </w:tcPr>
                <w:p w14:paraId="2D820530">
                  <w:pPr>
                    <w:widowControl/>
                    <w:spacing w:line="240" w:lineRule="exact"/>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围堰</w:t>
                  </w:r>
                </w:p>
              </w:tc>
              <w:tc>
                <w:tcPr>
                  <w:tcW w:w="2899" w:type="pct"/>
                  <w:shd w:val="clear" w:color="auto" w:fill="auto"/>
                  <w:vAlign w:val="center"/>
                </w:tcPr>
                <w:p w14:paraId="30841D5A">
                  <w:pPr>
                    <w:topLinePunct/>
                    <w:autoSpaceDE w:val="0"/>
                    <w:autoSpaceDN w:val="0"/>
                    <w:adjustRightInd w:val="0"/>
                    <w:ind w:left="0" w:leftChars="0" w:right="0" w:rightChars="0" w:firstLine="0" w:firstLineChars="0"/>
                    <w:jc w:val="center"/>
                    <w:rPr>
                      <w:rFonts w:hint="default"/>
                      <w:szCs w:val="21"/>
                      <w:u w:val="none"/>
                      <w:lang w:val="en-US" w:eastAsia="zh-CN"/>
                    </w:rPr>
                  </w:pPr>
                  <w:r>
                    <w:rPr>
                      <w:rFonts w:hint="eastAsia"/>
                      <w:szCs w:val="21"/>
                      <w:u w:val="none"/>
                      <w:lang w:val="en-US" w:eastAsia="zh-CN"/>
                    </w:rPr>
                    <w:t>本项目废液罐及丙酸缓冲罐设置区均设有围堰，围堰尺寸为17.4m×10.95m×1.1m，有效防止储罐发生破裂污染物泄漏</w:t>
                  </w:r>
                </w:p>
              </w:tc>
              <w:tc>
                <w:tcPr>
                  <w:tcW w:w="623" w:type="pct"/>
                  <w:shd w:val="clear" w:color="auto" w:fill="auto"/>
                  <w:vAlign w:val="center"/>
                </w:tcPr>
                <w:p w14:paraId="214D4471">
                  <w:pPr>
                    <w:topLinePunct/>
                    <w:autoSpaceDE w:val="0"/>
                    <w:autoSpaceDN w:val="0"/>
                    <w:adjustRightInd w:val="0"/>
                    <w:jc w:val="center"/>
                    <w:rPr>
                      <w:rFonts w:hint="default"/>
                      <w:szCs w:val="21"/>
                      <w:u w:val="none"/>
                      <w:lang w:val="en-US" w:eastAsia="zh-CN"/>
                    </w:rPr>
                  </w:pPr>
                  <w:r>
                    <w:rPr>
                      <w:rFonts w:hint="eastAsia"/>
                      <w:szCs w:val="21"/>
                      <w:u w:val="none"/>
                      <w:lang w:val="en-US" w:eastAsia="zh-CN"/>
                    </w:rPr>
                    <w:t>新建</w:t>
                  </w:r>
                </w:p>
              </w:tc>
            </w:tr>
          </w:tbl>
          <w:p w14:paraId="050A45C1">
            <w:pPr>
              <w:spacing w:line="500" w:lineRule="atLeast"/>
              <w:ind w:firstLine="482" w:firstLineChars="200"/>
              <w:rPr>
                <w:rFonts w:hint="eastAsia"/>
                <w:b/>
                <w:sz w:val="24"/>
                <w:u w:val="single"/>
                <w:lang w:val="en-US" w:eastAsia="zh-CN"/>
              </w:rPr>
            </w:pPr>
            <w:r>
              <w:rPr>
                <w:rFonts w:hint="eastAsia"/>
                <w:b/>
                <w:sz w:val="24"/>
                <w:u w:val="single"/>
                <w:lang w:val="en-US" w:eastAsia="zh-CN"/>
              </w:rPr>
              <w:t>3、依托可行性分析</w:t>
            </w:r>
          </w:p>
          <w:p w14:paraId="29C1767E">
            <w:pPr>
              <w:spacing w:line="500" w:lineRule="atLeast"/>
              <w:ind w:firstLine="480" w:firstLineChars="200"/>
              <w:rPr>
                <w:rFonts w:hint="default"/>
                <w:b w:val="0"/>
                <w:bCs/>
                <w:sz w:val="24"/>
                <w:u w:val="single"/>
                <w:lang w:val="en-US" w:eastAsia="zh-CN"/>
              </w:rPr>
            </w:pPr>
            <w:r>
              <w:rPr>
                <w:rFonts w:hint="eastAsia"/>
                <w:b w:val="0"/>
                <w:bCs/>
                <w:sz w:val="24"/>
                <w:u w:val="single"/>
                <w:lang w:val="en-US" w:eastAsia="zh-CN"/>
              </w:rPr>
              <w:t>本项目依托现有工程的依托可行性分析详见下表。</w:t>
            </w:r>
          </w:p>
          <w:p w14:paraId="57998ED1">
            <w:pPr>
              <w:pStyle w:val="51"/>
              <w:numPr>
                <w:ilvl w:val="2"/>
                <w:numId w:val="3"/>
              </w:numPr>
              <w:spacing w:line="500" w:lineRule="atLeast"/>
              <w:ind w:firstLineChars="0"/>
              <w:jc w:val="center"/>
              <w:rPr>
                <w:rFonts w:hint="default"/>
                <w:b/>
                <w:sz w:val="24"/>
                <w:u w:val="single"/>
                <w:lang w:val="en-US" w:eastAsia="zh-CN"/>
              </w:rPr>
            </w:pPr>
            <w:r>
              <w:rPr>
                <w:rFonts w:hint="eastAsia"/>
                <w:b/>
                <w:sz w:val="24"/>
                <w:u w:val="single"/>
                <w:lang w:val="en-US" w:eastAsia="zh-CN"/>
              </w:rPr>
              <w:t>依托可行性分析一览表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665"/>
              <w:gridCol w:w="5437"/>
            </w:tblGrid>
            <w:tr w14:paraId="0C3C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vAlign w:val="center"/>
                </w:tcPr>
                <w:p w14:paraId="5B24DA29">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依托工程</w:t>
                  </w:r>
                </w:p>
              </w:tc>
              <w:tc>
                <w:tcPr>
                  <w:tcW w:w="1665" w:type="dxa"/>
                  <w:vAlign w:val="center"/>
                </w:tcPr>
                <w:p w14:paraId="329F28D5">
                  <w:pPr>
                    <w:widowControl/>
                    <w:spacing w:line="240" w:lineRule="exact"/>
                    <w:ind w:left="0" w:leftChars="0" w:right="0" w:rightChars="0" w:firstLine="0" w:firstLineChars="0"/>
                    <w:jc w:val="center"/>
                    <w:rPr>
                      <w:rFonts w:hint="default"/>
                      <w:sz w:val="21"/>
                      <w:szCs w:val="21"/>
                      <w:u w:val="single"/>
                      <w:lang w:val="en-US" w:eastAsia="zh-CN"/>
                    </w:rPr>
                  </w:pPr>
                  <w:r>
                    <w:rPr>
                      <w:rFonts w:hint="eastAsia"/>
                      <w:sz w:val="21"/>
                      <w:szCs w:val="21"/>
                      <w:u w:val="single"/>
                      <w:lang w:val="en-US" w:eastAsia="zh-CN"/>
                    </w:rPr>
                    <w:t>依托内容</w:t>
                  </w:r>
                </w:p>
              </w:tc>
              <w:tc>
                <w:tcPr>
                  <w:tcW w:w="5437" w:type="dxa"/>
                  <w:vAlign w:val="center"/>
                </w:tcPr>
                <w:p w14:paraId="68A37FED">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可行性分析</w:t>
                  </w:r>
                </w:p>
              </w:tc>
            </w:tr>
            <w:tr w14:paraId="0CA7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vAlign w:val="center"/>
                </w:tcPr>
                <w:p w14:paraId="2553AEE9">
                  <w:pPr>
                    <w:widowControl/>
                    <w:spacing w:line="240" w:lineRule="exact"/>
                    <w:ind w:left="0" w:leftChars="0" w:right="0" w:rightChars="0" w:firstLine="0" w:firstLineChars="0"/>
                    <w:jc w:val="center"/>
                    <w:rPr>
                      <w:rFonts w:hint="eastAsia" w:eastAsia="宋体"/>
                      <w:sz w:val="21"/>
                      <w:szCs w:val="21"/>
                      <w:u w:val="single"/>
                    </w:rPr>
                  </w:pPr>
                  <w:r>
                    <w:rPr>
                      <w:rFonts w:hint="eastAsia" w:eastAsia="宋体"/>
                      <w:sz w:val="21"/>
                      <w:szCs w:val="21"/>
                      <w:u w:val="single"/>
                    </w:rPr>
                    <w:t>70万t/a醋酸装置</w:t>
                  </w:r>
                </w:p>
              </w:tc>
              <w:tc>
                <w:tcPr>
                  <w:tcW w:w="1665" w:type="dxa"/>
                  <w:vAlign w:val="center"/>
                </w:tcPr>
                <w:p w14:paraId="7B55CC5F">
                  <w:pPr>
                    <w:widowControl/>
                    <w:spacing w:line="240" w:lineRule="exact"/>
                    <w:ind w:left="0" w:leftChars="0" w:right="0" w:rightChars="0" w:firstLine="0" w:firstLineChars="0"/>
                    <w:jc w:val="center"/>
                    <w:rPr>
                      <w:rFonts w:hint="eastAsia" w:eastAsia="宋体"/>
                      <w:sz w:val="21"/>
                      <w:szCs w:val="21"/>
                      <w:u w:val="single"/>
                    </w:rPr>
                  </w:pPr>
                  <w:r>
                    <w:rPr>
                      <w:rFonts w:hint="eastAsia" w:eastAsia="宋体"/>
                      <w:sz w:val="21"/>
                      <w:szCs w:val="21"/>
                      <w:u w:val="single"/>
                    </w:rPr>
                    <w:t>依托现有70万t/a醋酸装置精制塔</w:t>
                  </w:r>
                </w:p>
              </w:tc>
              <w:tc>
                <w:tcPr>
                  <w:tcW w:w="5437" w:type="dxa"/>
                  <w:vAlign w:val="center"/>
                </w:tcPr>
                <w:p w14:paraId="5ED80A1E">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本项目</w:t>
                  </w:r>
                  <w:r>
                    <w:rPr>
                      <w:rFonts w:hint="eastAsia"/>
                      <w:szCs w:val="21"/>
                      <w:u w:val="single"/>
                      <w:lang w:val="en-US" w:eastAsia="zh-CN"/>
                    </w:rPr>
                    <w:t>60醋酸经分离装置处理后得到的醋酸液相进入到醋酸装置精制塔与精制塔内醋酸产品直接进入醋酸中间罐区。醋酸装置精制塔内的气相量主要与精制塔内的醋酸液体面积有关，本项目的建设不会导致醋酸装置精制塔内醋酸液体面积增加，即不会增加精制塔气相，因此60醋酸分离装置的建设不会导致现有工程醋酸装置废气量增加。精制塔设计回流量为167t/h，目前回流量为120t/h，本项目新增醋酸回流量为0.2t/h，精制塔设计回流量能够满足要求。</w:t>
                  </w:r>
                </w:p>
              </w:tc>
            </w:tr>
            <w:tr w14:paraId="60CF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57E1629C">
                  <w:pPr>
                    <w:topLinePunct/>
                    <w:autoSpaceDE w:val="0"/>
                    <w:autoSpaceDN w:val="0"/>
                    <w:adjustRightInd w:val="0"/>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醋酸中间罐</w:t>
                  </w:r>
                </w:p>
              </w:tc>
              <w:tc>
                <w:tcPr>
                  <w:tcW w:w="1665" w:type="dxa"/>
                  <w:shd w:val="clear" w:color="auto" w:fill="auto"/>
                  <w:vAlign w:val="center"/>
                </w:tcPr>
                <w:p w14:paraId="2D563EA1">
                  <w:pPr>
                    <w:topLinePunct/>
                    <w:autoSpaceDE w:val="0"/>
                    <w:autoSpaceDN w:val="0"/>
                    <w:adjustRightInd w:val="0"/>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依托4×1000m</w:t>
                  </w:r>
                  <w:r>
                    <w:rPr>
                      <w:rFonts w:hint="eastAsia" w:eastAsia="宋体"/>
                      <w:sz w:val="21"/>
                      <w:szCs w:val="21"/>
                      <w:u w:val="single"/>
                      <w:vertAlign w:val="superscript"/>
                    </w:rPr>
                    <w:t>3</w:t>
                  </w:r>
                  <w:r>
                    <w:rPr>
                      <w:rFonts w:hint="eastAsia" w:eastAsia="宋体"/>
                      <w:sz w:val="21"/>
                      <w:szCs w:val="21"/>
                      <w:u w:val="single"/>
                    </w:rPr>
                    <w:t>固定顶醋酸中间罐，无需新增中间罐</w:t>
                  </w:r>
                </w:p>
              </w:tc>
              <w:tc>
                <w:tcPr>
                  <w:tcW w:w="5437" w:type="dxa"/>
                  <w:vMerge w:val="restart"/>
                  <w:vAlign w:val="center"/>
                </w:tcPr>
                <w:p w14:paraId="311C550F">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本次扩建新增1600t/a醋酸产品，仅增加储罐周转量和装卸次数，储罐和装卸系统能够满足要求</w:t>
                  </w:r>
                </w:p>
              </w:tc>
            </w:tr>
            <w:tr w14:paraId="41B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040197F9">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醋酸产品罐</w:t>
                  </w:r>
                </w:p>
              </w:tc>
              <w:tc>
                <w:tcPr>
                  <w:tcW w:w="1665" w:type="dxa"/>
                  <w:shd w:val="clear" w:color="auto" w:fill="auto"/>
                  <w:vAlign w:val="center"/>
                </w:tcPr>
                <w:p w14:paraId="37428700">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3×10000m</w:t>
                  </w:r>
                  <w:r>
                    <w:rPr>
                      <w:rFonts w:hint="eastAsia" w:eastAsia="宋体"/>
                      <w:sz w:val="21"/>
                      <w:szCs w:val="21"/>
                      <w:u w:val="single"/>
                      <w:vertAlign w:val="superscript"/>
                    </w:rPr>
                    <w:t>3</w:t>
                  </w:r>
                  <w:r>
                    <w:rPr>
                      <w:rFonts w:hint="eastAsia" w:eastAsia="宋体"/>
                      <w:sz w:val="21"/>
                      <w:szCs w:val="21"/>
                      <w:u w:val="single"/>
                    </w:rPr>
                    <w:t>固定顶醋酸产品罐</w:t>
                  </w:r>
                </w:p>
              </w:tc>
              <w:tc>
                <w:tcPr>
                  <w:tcW w:w="5437" w:type="dxa"/>
                  <w:vMerge w:val="continue"/>
                  <w:vAlign w:val="center"/>
                </w:tcPr>
                <w:p w14:paraId="69071110">
                  <w:pPr>
                    <w:widowControl/>
                    <w:spacing w:line="240" w:lineRule="exact"/>
                    <w:ind w:left="0" w:leftChars="0" w:right="0" w:rightChars="0" w:firstLine="0" w:firstLineChars="0"/>
                    <w:jc w:val="center"/>
                    <w:rPr>
                      <w:rFonts w:hint="eastAsia" w:eastAsia="宋体"/>
                      <w:sz w:val="21"/>
                      <w:szCs w:val="21"/>
                      <w:u w:val="single"/>
                    </w:rPr>
                  </w:pPr>
                </w:p>
              </w:tc>
            </w:tr>
            <w:tr w14:paraId="0CDB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1C09B6D6">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装卸系统</w:t>
                  </w:r>
                </w:p>
              </w:tc>
              <w:tc>
                <w:tcPr>
                  <w:tcW w:w="1665" w:type="dxa"/>
                  <w:vAlign w:val="center"/>
                </w:tcPr>
                <w:p w14:paraId="19781F0D">
                  <w:pPr>
                    <w:widowControl/>
                    <w:spacing w:line="240" w:lineRule="exact"/>
                    <w:ind w:left="0" w:leftChars="0" w:right="0" w:rightChars="0" w:firstLine="0" w:firstLineChars="0"/>
                    <w:jc w:val="center"/>
                    <w:rPr>
                      <w:rFonts w:hint="eastAsia" w:eastAsia="宋体"/>
                      <w:sz w:val="21"/>
                      <w:szCs w:val="21"/>
                      <w:u w:val="single"/>
                    </w:rPr>
                  </w:pPr>
                  <w:r>
                    <w:rPr>
                      <w:rFonts w:hint="eastAsia" w:eastAsia="宋体"/>
                      <w:sz w:val="21"/>
                      <w:szCs w:val="21"/>
                      <w:u w:val="single"/>
                    </w:rPr>
                    <w:t>依托现有装卸系统</w:t>
                  </w:r>
                </w:p>
              </w:tc>
              <w:tc>
                <w:tcPr>
                  <w:tcW w:w="5437" w:type="dxa"/>
                  <w:vMerge w:val="continue"/>
                  <w:vAlign w:val="center"/>
                </w:tcPr>
                <w:p w14:paraId="174F17F4">
                  <w:pPr>
                    <w:widowControl/>
                    <w:spacing w:line="240" w:lineRule="exact"/>
                    <w:ind w:left="0" w:leftChars="0" w:right="0" w:rightChars="0" w:firstLine="0" w:firstLineChars="0"/>
                    <w:jc w:val="center"/>
                    <w:rPr>
                      <w:rFonts w:hint="eastAsia" w:eastAsia="宋体"/>
                      <w:sz w:val="21"/>
                      <w:szCs w:val="21"/>
                      <w:u w:val="single"/>
                    </w:rPr>
                  </w:pPr>
                </w:p>
              </w:tc>
            </w:tr>
            <w:tr w14:paraId="1723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57089404">
                  <w:pPr>
                    <w:widowControl/>
                    <w:spacing w:line="240" w:lineRule="exact"/>
                    <w:ind w:left="0" w:leftChars="0" w:right="0" w:rightChars="0" w:firstLine="0" w:firstLineChars="0"/>
                    <w:jc w:val="center"/>
                    <w:rPr>
                      <w:rFonts w:hint="eastAsia" w:eastAsia="宋体"/>
                      <w:sz w:val="21"/>
                      <w:szCs w:val="21"/>
                      <w:u w:val="single"/>
                    </w:rPr>
                  </w:pPr>
                  <w:r>
                    <w:rPr>
                      <w:rFonts w:eastAsia="宋体"/>
                      <w:sz w:val="21"/>
                      <w:szCs w:val="21"/>
                      <w:u w:val="single"/>
                    </w:rPr>
                    <w:t>循环水场</w:t>
                  </w:r>
                </w:p>
              </w:tc>
              <w:tc>
                <w:tcPr>
                  <w:tcW w:w="1665" w:type="dxa"/>
                  <w:vAlign w:val="center"/>
                </w:tcPr>
                <w:p w14:paraId="7EA289A3">
                  <w:pPr>
                    <w:widowControl/>
                    <w:spacing w:line="240" w:lineRule="exact"/>
                    <w:ind w:left="0" w:leftChars="0" w:right="0" w:rightChars="0" w:firstLine="0" w:firstLineChars="0"/>
                    <w:jc w:val="center"/>
                    <w:rPr>
                      <w:rFonts w:eastAsia="宋体"/>
                      <w:sz w:val="21"/>
                      <w:szCs w:val="21"/>
                      <w:u w:val="single"/>
                    </w:rPr>
                  </w:pPr>
                  <w:r>
                    <w:rPr>
                      <w:rFonts w:hint="eastAsia" w:eastAsia="宋体"/>
                      <w:sz w:val="21"/>
                      <w:szCs w:val="21"/>
                      <w:u w:val="single"/>
                    </w:rPr>
                    <w:t>依托现有循环水站，给水温度和回水温度为33.5/43.5℃，其供应能力为1</w:t>
                  </w:r>
                  <w:r>
                    <w:rPr>
                      <w:rFonts w:eastAsia="宋体"/>
                      <w:sz w:val="21"/>
                      <w:szCs w:val="21"/>
                      <w:u w:val="single"/>
                    </w:rPr>
                    <w:t>30000t/h</w:t>
                  </w:r>
                </w:p>
              </w:tc>
              <w:tc>
                <w:tcPr>
                  <w:tcW w:w="5437" w:type="dxa"/>
                  <w:vAlign w:val="center"/>
                </w:tcPr>
                <w:p w14:paraId="544D1B4B">
                  <w:pPr>
                    <w:widowControl/>
                    <w:spacing w:line="240" w:lineRule="exact"/>
                    <w:ind w:left="0" w:leftChars="0" w:right="0" w:rightChars="0" w:firstLine="0" w:firstLineChars="0"/>
                    <w:jc w:val="center"/>
                    <w:rPr>
                      <w:rFonts w:hint="eastAsia" w:eastAsia="宋体"/>
                      <w:sz w:val="21"/>
                      <w:szCs w:val="21"/>
                      <w:u w:val="single"/>
                    </w:rPr>
                  </w:pPr>
                  <w:r>
                    <w:rPr>
                      <w:rFonts w:hint="eastAsia"/>
                      <w:sz w:val="21"/>
                      <w:szCs w:val="21"/>
                      <w:u w:val="single"/>
                      <w:lang w:val="en-US" w:eastAsia="zh-CN"/>
                    </w:rPr>
                    <w:t>本项目循环水</w:t>
                  </w:r>
                  <w:r>
                    <w:rPr>
                      <w:rFonts w:hint="eastAsia" w:eastAsia="宋体"/>
                      <w:sz w:val="21"/>
                      <w:szCs w:val="21"/>
                      <w:u w:val="single"/>
                    </w:rPr>
                    <w:t>用水量为10t/h。依托现有工程循环水站提供，现有工程建设有1#循环水场、2#循环水场，建设规模均为13×5000m</w:t>
                  </w:r>
                  <w:r>
                    <w:rPr>
                      <w:rFonts w:hint="eastAsia" w:eastAsia="宋体"/>
                      <w:sz w:val="21"/>
                      <w:szCs w:val="21"/>
                      <w:u w:val="single"/>
                      <w:vertAlign w:val="superscript"/>
                    </w:rPr>
                    <w:t>3</w:t>
                  </w:r>
                  <w:r>
                    <w:rPr>
                      <w:rFonts w:hint="eastAsia" w:eastAsia="宋体"/>
                      <w:sz w:val="21"/>
                      <w:szCs w:val="21"/>
                      <w:u w:val="single"/>
                    </w:rPr>
                    <w:t>/h，合计规模为130000t/h。根据统计，工业气体岛项目循环水量为93495t/h、合成气综合利用项目循环水量为14956t/h、HOPENE项目循环水量为120t/h，甲醇制烯烃项目另建循环水站，氨回收装置循环水量为150t/h，醋酸提产项目循环水量为822t/h，合计循环水站使用量为109543t/h，仍有富余量20457t/h，可满足本项目10t/h的需求</w:t>
                  </w:r>
                </w:p>
              </w:tc>
            </w:tr>
            <w:tr w14:paraId="020A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3D19DAF2">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醋酸中间罐尾气</w:t>
                  </w:r>
                </w:p>
              </w:tc>
              <w:tc>
                <w:tcPr>
                  <w:tcW w:w="1665" w:type="dxa"/>
                  <w:shd w:val="clear" w:color="auto" w:fill="auto"/>
                  <w:vAlign w:val="center"/>
                </w:tcPr>
                <w:p w14:paraId="0CBFB697">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每个醋酸中间罐配套1座</w:t>
                  </w:r>
                  <w:r>
                    <w:rPr>
                      <w:rFonts w:eastAsia="宋体"/>
                      <w:sz w:val="21"/>
                      <w:szCs w:val="21"/>
                      <w:u w:val="single"/>
                    </w:rPr>
                    <w:t>洗涤塔</w:t>
                  </w:r>
                  <w:r>
                    <w:rPr>
                      <w:rFonts w:hint="eastAsia" w:eastAsia="宋体"/>
                      <w:sz w:val="21"/>
                      <w:szCs w:val="21"/>
                      <w:u w:val="single"/>
                    </w:rPr>
                    <w:t>洗涤后排放，共7座</w:t>
                  </w:r>
                  <w:r>
                    <w:rPr>
                      <w:rFonts w:eastAsia="宋体"/>
                      <w:sz w:val="21"/>
                      <w:szCs w:val="21"/>
                      <w:u w:val="single"/>
                    </w:rPr>
                    <w:t>洗涤塔</w:t>
                  </w:r>
                </w:p>
              </w:tc>
              <w:tc>
                <w:tcPr>
                  <w:tcW w:w="5437" w:type="dxa"/>
                  <w:vAlign w:val="center"/>
                </w:tcPr>
                <w:p w14:paraId="28EB8B13">
                  <w:pPr>
                    <w:widowControl/>
                    <w:spacing w:line="240" w:lineRule="exact"/>
                    <w:ind w:left="0" w:leftChars="0" w:right="0" w:rightChars="0" w:firstLine="0" w:firstLineChars="0"/>
                    <w:jc w:val="center"/>
                    <w:rPr>
                      <w:rFonts w:hint="eastAsia" w:eastAsia="宋体"/>
                      <w:sz w:val="21"/>
                      <w:szCs w:val="21"/>
                      <w:u w:val="single"/>
                    </w:rPr>
                  </w:pPr>
                  <w:r>
                    <w:rPr>
                      <w:rFonts w:hint="eastAsia"/>
                      <w:sz w:val="21"/>
                      <w:szCs w:val="21"/>
                      <w:u w:val="single"/>
                      <w:lang w:val="en-US" w:eastAsia="zh-CN"/>
                    </w:rPr>
                    <w:t>本次扩建新增1600t/a醋酸产品，仅增加醋酸中间罐周转量，</w:t>
                  </w:r>
                  <w:r>
                    <w:rPr>
                      <w:rFonts w:hint="eastAsia" w:eastAsia="宋体"/>
                      <w:sz w:val="21"/>
                      <w:szCs w:val="21"/>
                      <w:u w:val="single"/>
                    </w:rPr>
                    <w:t>每个醋酸中间罐配套1座</w:t>
                  </w:r>
                  <w:r>
                    <w:rPr>
                      <w:rFonts w:eastAsia="宋体"/>
                      <w:sz w:val="21"/>
                      <w:szCs w:val="21"/>
                      <w:u w:val="single"/>
                    </w:rPr>
                    <w:t>洗涤塔</w:t>
                  </w:r>
                  <w:r>
                    <w:rPr>
                      <w:rFonts w:hint="eastAsia" w:eastAsia="宋体"/>
                      <w:sz w:val="21"/>
                      <w:szCs w:val="21"/>
                      <w:u w:val="single"/>
                    </w:rPr>
                    <w:t>洗涤后排放</w:t>
                  </w:r>
                  <w:r>
                    <w:rPr>
                      <w:rFonts w:hint="eastAsia"/>
                      <w:sz w:val="21"/>
                      <w:szCs w:val="21"/>
                      <w:u w:val="single"/>
                      <w:lang w:eastAsia="zh-CN"/>
                    </w:rPr>
                    <w:t>，</w:t>
                  </w:r>
                  <w:r>
                    <w:rPr>
                      <w:rFonts w:hint="eastAsia"/>
                      <w:sz w:val="21"/>
                      <w:szCs w:val="21"/>
                      <w:u w:val="single"/>
                      <w:lang w:val="en-US" w:eastAsia="zh-CN"/>
                    </w:rPr>
                    <w:t>能够满足储罐呼吸废气处理需求</w:t>
                  </w:r>
                </w:p>
              </w:tc>
            </w:tr>
            <w:tr w14:paraId="7321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6B34A3BF">
                  <w:pPr>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生产、生活污水</w:t>
                  </w:r>
                  <w:r>
                    <w:rPr>
                      <w:rFonts w:hint="eastAsia" w:eastAsia="宋体"/>
                      <w:sz w:val="21"/>
                      <w:szCs w:val="21"/>
                      <w:u w:val="single"/>
                    </w:rPr>
                    <w:t>处理</w:t>
                  </w:r>
                </w:p>
              </w:tc>
              <w:tc>
                <w:tcPr>
                  <w:tcW w:w="1665" w:type="dxa"/>
                  <w:shd w:val="clear" w:color="auto" w:fill="auto"/>
                  <w:vAlign w:val="center"/>
                </w:tcPr>
                <w:p w14:paraId="0628CEC5">
                  <w:pPr>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各生产单元产生废水分水质设单独管道进入</w:t>
                  </w:r>
                  <w:r>
                    <w:rPr>
                      <w:rFonts w:hint="eastAsia" w:eastAsia="宋体"/>
                      <w:sz w:val="21"/>
                      <w:szCs w:val="21"/>
                      <w:u w:val="single"/>
                    </w:rPr>
                    <w:t>广西</w:t>
                  </w:r>
                  <w:r>
                    <w:rPr>
                      <w:rFonts w:eastAsia="宋体"/>
                      <w:sz w:val="21"/>
                      <w:szCs w:val="21"/>
                      <w:u w:val="single"/>
                    </w:rPr>
                    <w:t>天宜</w:t>
                  </w:r>
                  <w:r>
                    <w:rPr>
                      <w:rFonts w:hint="eastAsia"/>
                      <w:sz w:val="21"/>
                      <w:szCs w:val="21"/>
                      <w:u w:val="single"/>
                      <w:lang w:eastAsia="zh-CN"/>
                    </w:rPr>
                    <w:t>污水处理厂</w:t>
                  </w:r>
                  <w:r>
                    <w:rPr>
                      <w:rFonts w:hint="eastAsia" w:eastAsia="宋体"/>
                      <w:sz w:val="21"/>
                      <w:szCs w:val="21"/>
                      <w:u w:val="single"/>
                    </w:rPr>
                    <w:t>（</w:t>
                  </w:r>
                  <w:r>
                    <w:rPr>
                      <w:rFonts w:eastAsia="宋体"/>
                      <w:sz w:val="21"/>
                      <w:szCs w:val="21"/>
                      <w:u w:val="single"/>
                    </w:rPr>
                    <w:t>一期</w:t>
                  </w:r>
                  <w:r>
                    <w:rPr>
                      <w:rFonts w:hint="eastAsia" w:eastAsia="宋体"/>
                      <w:sz w:val="21"/>
                      <w:szCs w:val="21"/>
                      <w:u w:val="single"/>
                    </w:rPr>
                    <w:t>）</w:t>
                  </w:r>
                  <w:r>
                    <w:rPr>
                      <w:rFonts w:eastAsia="宋体"/>
                      <w:sz w:val="21"/>
                      <w:szCs w:val="21"/>
                      <w:u w:val="single"/>
                    </w:rPr>
                    <w:t>处理</w:t>
                  </w:r>
                </w:p>
              </w:tc>
              <w:tc>
                <w:tcPr>
                  <w:tcW w:w="5437" w:type="dxa"/>
                  <w:vAlign w:val="center"/>
                </w:tcPr>
                <w:p w14:paraId="616292E7">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本</w:t>
                  </w:r>
                  <w:r>
                    <w:rPr>
                      <w:rFonts w:hint="eastAsia"/>
                      <w:szCs w:val="21"/>
                      <w:u w:val="single"/>
                    </w:rPr>
                    <w:t>不新增劳动定员，无新增生活污水</w:t>
                  </w:r>
                  <w:r>
                    <w:rPr>
                      <w:rFonts w:hint="eastAsia"/>
                      <w:szCs w:val="21"/>
                      <w:u w:val="single"/>
                      <w:lang w:eastAsia="zh-CN"/>
                    </w:rPr>
                    <w:t>，</w:t>
                  </w:r>
                  <w:r>
                    <w:rPr>
                      <w:rFonts w:hint="eastAsia"/>
                      <w:szCs w:val="21"/>
                      <w:u w:val="single"/>
                      <w:lang w:val="en-US" w:eastAsia="zh-CN"/>
                    </w:rPr>
                    <w:t>能够满足要求</w:t>
                  </w:r>
                </w:p>
              </w:tc>
            </w:tr>
            <w:tr w14:paraId="5B6E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62540C96">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初期雨水池</w:t>
                  </w:r>
                </w:p>
              </w:tc>
              <w:tc>
                <w:tcPr>
                  <w:tcW w:w="1665" w:type="dxa"/>
                  <w:shd w:val="clear" w:color="auto" w:fill="auto"/>
                  <w:vAlign w:val="center"/>
                </w:tcPr>
                <w:p w14:paraId="6317CF4A">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依托现有</w:t>
                  </w:r>
                  <w:r>
                    <w:rPr>
                      <w:rFonts w:eastAsia="宋体"/>
                      <w:sz w:val="21"/>
                      <w:szCs w:val="21"/>
                      <w:u w:val="single"/>
                    </w:rPr>
                    <w:t>4#醋酸装置</w:t>
                  </w:r>
                  <w:r>
                    <w:rPr>
                      <w:rFonts w:hint="eastAsia" w:eastAsia="宋体"/>
                      <w:sz w:val="21"/>
                      <w:szCs w:val="21"/>
                      <w:u w:val="single"/>
                    </w:rPr>
                    <w:t>（70万t/a）初期雨水池</w:t>
                  </w:r>
                </w:p>
              </w:tc>
              <w:tc>
                <w:tcPr>
                  <w:tcW w:w="5437" w:type="dxa"/>
                  <w:vAlign w:val="center"/>
                </w:tcPr>
                <w:p w14:paraId="35A0608D">
                  <w:pPr>
                    <w:widowControl/>
                    <w:spacing w:line="240" w:lineRule="exact"/>
                    <w:ind w:left="0" w:leftChars="0" w:right="0" w:rightChars="0" w:firstLine="0" w:firstLineChars="0"/>
                    <w:jc w:val="center"/>
                    <w:rPr>
                      <w:rFonts w:hint="default" w:eastAsia="宋体"/>
                      <w:sz w:val="21"/>
                      <w:szCs w:val="21"/>
                      <w:u w:val="single"/>
                      <w:lang w:val="en-US"/>
                    </w:rPr>
                  </w:pPr>
                  <w:r>
                    <w:rPr>
                      <w:rFonts w:hint="eastAsia"/>
                      <w:szCs w:val="21"/>
                      <w:u w:val="single"/>
                      <w:lang w:val="en-US" w:eastAsia="zh-CN"/>
                    </w:rPr>
                    <w:t>无新增用地，因此无新增初期雨水，现有初期雨水池能够满足醋酸装置区初期雨水贮存要求</w:t>
                  </w:r>
                </w:p>
              </w:tc>
            </w:tr>
            <w:tr w14:paraId="7C35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1" w:type="dxa"/>
                  <w:shd w:val="clear" w:color="auto" w:fill="auto"/>
                  <w:vAlign w:val="center"/>
                </w:tcPr>
                <w:p w14:paraId="2764C6E4">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废水缓冲设施</w:t>
                  </w:r>
                </w:p>
              </w:tc>
              <w:tc>
                <w:tcPr>
                  <w:tcW w:w="1665" w:type="dxa"/>
                  <w:shd w:val="clear" w:color="auto" w:fill="auto"/>
                  <w:vAlign w:val="center"/>
                </w:tcPr>
                <w:p w14:paraId="473099CE">
                  <w:pPr>
                    <w:widowControl/>
                    <w:spacing w:line="240" w:lineRule="exact"/>
                    <w:ind w:left="0" w:leftChars="0" w:right="0" w:rightChars="0"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依托现</w:t>
                  </w:r>
                  <w:r>
                    <w:rPr>
                      <w:rFonts w:eastAsia="宋体"/>
                      <w:sz w:val="21"/>
                      <w:szCs w:val="21"/>
                      <w:u w:val="single"/>
                    </w:rPr>
                    <w:t>有1座有效容积为 18000m³的应急事故池</w:t>
                  </w:r>
                </w:p>
              </w:tc>
              <w:tc>
                <w:tcPr>
                  <w:tcW w:w="5437" w:type="dxa"/>
                  <w:vAlign w:val="center"/>
                </w:tcPr>
                <w:p w14:paraId="66C2F4BD">
                  <w:pPr>
                    <w:widowControl/>
                    <w:spacing w:line="240" w:lineRule="exact"/>
                    <w:ind w:left="0" w:leftChars="0" w:right="0" w:rightChars="0" w:firstLine="0" w:firstLineChars="0"/>
                    <w:jc w:val="center"/>
                    <w:rPr>
                      <w:rFonts w:hint="default" w:eastAsia="宋体"/>
                      <w:sz w:val="21"/>
                      <w:szCs w:val="21"/>
                      <w:u w:val="single"/>
                      <w:lang w:val="en-US" w:eastAsia="zh-CN"/>
                    </w:rPr>
                  </w:pPr>
                  <w:r>
                    <w:rPr>
                      <w:rFonts w:hint="eastAsia"/>
                      <w:sz w:val="21"/>
                      <w:szCs w:val="21"/>
                      <w:u w:val="single"/>
                      <w:lang w:val="en-US" w:eastAsia="zh-CN"/>
                    </w:rPr>
                    <w:t>本项目设有废液罐及丙酸缓存罐，总容积为100m</w:t>
                  </w:r>
                  <w:r>
                    <w:rPr>
                      <w:rFonts w:hint="eastAsia"/>
                      <w:sz w:val="21"/>
                      <w:szCs w:val="21"/>
                      <w:u w:val="single"/>
                      <w:vertAlign w:val="superscript"/>
                      <w:lang w:val="en-US" w:eastAsia="zh-CN"/>
                    </w:rPr>
                    <w:t>3</w:t>
                  </w:r>
                  <w:r>
                    <w:rPr>
                      <w:rFonts w:hint="eastAsia"/>
                      <w:sz w:val="21"/>
                      <w:szCs w:val="21"/>
                      <w:u w:val="single"/>
                      <w:lang w:val="en-US" w:eastAsia="zh-CN"/>
                    </w:rPr>
                    <w:t>，远远低于现有</w:t>
                  </w:r>
                  <w:r>
                    <w:rPr>
                      <w:rFonts w:eastAsia="宋体"/>
                      <w:sz w:val="21"/>
                      <w:szCs w:val="21"/>
                      <w:u w:val="single"/>
                    </w:rPr>
                    <w:t>事故</w:t>
                  </w:r>
                  <w:r>
                    <w:rPr>
                      <w:rFonts w:hint="eastAsia"/>
                      <w:sz w:val="21"/>
                      <w:szCs w:val="21"/>
                      <w:u w:val="single"/>
                      <w:lang w:val="en-US" w:eastAsia="zh-CN"/>
                    </w:rPr>
                    <w:t>应急</w:t>
                  </w:r>
                  <w:r>
                    <w:rPr>
                      <w:rFonts w:eastAsia="宋体"/>
                      <w:sz w:val="21"/>
                      <w:szCs w:val="21"/>
                      <w:u w:val="single"/>
                    </w:rPr>
                    <w:t>池</w:t>
                  </w:r>
                  <w:r>
                    <w:rPr>
                      <w:rFonts w:hint="eastAsia"/>
                      <w:sz w:val="21"/>
                      <w:szCs w:val="21"/>
                      <w:u w:val="single"/>
                      <w:lang w:val="en-US" w:eastAsia="zh-CN"/>
                    </w:rPr>
                    <w:t>容积，因此现有事故应急池能够满足本项目事故废水贮存需求</w:t>
                  </w:r>
                </w:p>
              </w:tc>
            </w:tr>
          </w:tbl>
          <w:p w14:paraId="622ED07A">
            <w:pPr>
              <w:spacing w:line="500" w:lineRule="atLeast"/>
              <w:ind w:firstLine="482" w:firstLineChars="200"/>
              <w:rPr>
                <w:b/>
                <w:sz w:val="24"/>
              </w:rPr>
            </w:pPr>
            <w:r>
              <w:rPr>
                <w:rFonts w:hint="eastAsia"/>
                <w:b/>
                <w:sz w:val="24"/>
              </w:rPr>
              <w:t>3、项目产品方案</w:t>
            </w:r>
          </w:p>
          <w:p w14:paraId="373BCFD4">
            <w:pPr>
              <w:spacing w:line="500" w:lineRule="atLeast"/>
              <w:ind w:firstLine="480" w:firstLineChars="200"/>
              <w:rPr>
                <w:rFonts w:hint="eastAsia"/>
                <w:sz w:val="24"/>
                <w:u w:val="none"/>
              </w:rPr>
            </w:pPr>
            <w:r>
              <w:rPr>
                <w:rFonts w:hint="eastAsia"/>
                <w:sz w:val="24"/>
                <w:u w:val="none"/>
              </w:rPr>
              <w:t>项目产品方案具体见</w:t>
            </w:r>
            <w:r>
              <w:rPr>
                <w:rFonts w:hint="eastAsia"/>
                <w:sz w:val="24"/>
                <w:u w:val="none"/>
                <w:lang w:val="en-US" w:eastAsia="zh-CN"/>
              </w:rPr>
              <w:t>表2-3，醋酸产品标准见表2-4，丙酸产品标准见表2-5</w:t>
            </w:r>
            <w:r>
              <w:rPr>
                <w:rFonts w:hint="eastAsia"/>
                <w:sz w:val="24"/>
                <w:u w:val="none"/>
              </w:rPr>
              <w:t>。</w:t>
            </w:r>
          </w:p>
          <w:p w14:paraId="7C09F585">
            <w:pPr>
              <w:pStyle w:val="51"/>
              <w:numPr>
                <w:ilvl w:val="2"/>
                <w:numId w:val="3"/>
              </w:numPr>
              <w:spacing w:line="500" w:lineRule="atLeast"/>
              <w:ind w:firstLineChars="0"/>
              <w:jc w:val="center"/>
              <w:rPr>
                <w:b/>
                <w:sz w:val="24"/>
              </w:rPr>
            </w:pPr>
            <w:r>
              <w:rPr>
                <w:rFonts w:hint="eastAsia"/>
                <w:b/>
                <w:sz w:val="24"/>
              </w:rPr>
              <w:t>项目产品方案</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1930"/>
              <w:gridCol w:w="1599"/>
              <w:gridCol w:w="1599"/>
            </w:tblGrid>
            <w:tr w14:paraId="3F83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vMerge w:val="restart"/>
                  <w:noWrap/>
                  <w:vAlign w:val="center"/>
                </w:tcPr>
                <w:p w14:paraId="00FEBFA0">
                  <w:pPr>
                    <w:topLinePunct/>
                    <w:autoSpaceDE w:val="0"/>
                    <w:autoSpaceDN w:val="0"/>
                    <w:adjustRightInd w:val="0"/>
                    <w:jc w:val="center"/>
                    <w:rPr>
                      <w:rFonts w:hint="default" w:eastAsia="宋体"/>
                      <w:szCs w:val="21"/>
                      <w:u w:val="single"/>
                      <w:lang w:val="en-US" w:eastAsia="zh-CN"/>
                    </w:rPr>
                  </w:pPr>
                  <w:r>
                    <w:rPr>
                      <w:rFonts w:hint="eastAsia"/>
                      <w:szCs w:val="21"/>
                      <w:u w:val="single"/>
                      <w:lang w:val="en-US" w:eastAsia="zh-CN"/>
                    </w:rPr>
                    <w:t>产品名称</w:t>
                  </w:r>
                </w:p>
              </w:tc>
              <w:tc>
                <w:tcPr>
                  <w:tcW w:w="1147" w:type="pct"/>
                  <w:vMerge w:val="restart"/>
                  <w:noWrap/>
                  <w:vAlign w:val="center"/>
                </w:tcPr>
                <w:p w14:paraId="1E415419">
                  <w:pPr>
                    <w:topLinePunct/>
                    <w:autoSpaceDE w:val="0"/>
                    <w:autoSpaceDN w:val="0"/>
                    <w:adjustRightInd w:val="0"/>
                    <w:jc w:val="center"/>
                    <w:rPr>
                      <w:rFonts w:hint="eastAsia" w:eastAsia="宋体"/>
                      <w:szCs w:val="21"/>
                      <w:u w:val="single"/>
                      <w:lang w:val="en-US" w:eastAsia="zh-CN"/>
                    </w:rPr>
                  </w:pPr>
                  <w:r>
                    <w:rPr>
                      <w:rFonts w:hint="eastAsia"/>
                      <w:szCs w:val="21"/>
                      <w:u w:val="single"/>
                      <w:lang w:val="en-US" w:eastAsia="zh-CN"/>
                    </w:rPr>
                    <w:t>单位</w:t>
                  </w:r>
                </w:p>
              </w:tc>
              <w:tc>
                <w:tcPr>
                  <w:tcW w:w="1900" w:type="pct"/>
                  <w:gridSpan w:val="2"/>
                  <w:noWrap/>
                  <w:vAlign w:val="center"/>
                </w:tcPr>
                <w:p w14:paraId="7E94647A">
                  <w:pPr>
                    <w:topLinePunct/>
                    <w:autoSpaceDE w:val="0"/>
                    <w:autoSpaceDN w:val="0"/>
                    <w:adjustRightInd w:val="0"/>
                    <w:jc w:val="center"/>
                    <w:rPr>
                      <w:rFonts w:hint="eastAsia" w:eastAsia="宋体"/>
                      <w:szCs w:val="21"/>
                      <w:u w:val="single"/>
                      <w:lang w:eastAsia="zh-CN"/>
                    </w:rPr>
                  </w:pPr>
                  <w:r>
                    <w:rPr>
                      <w:rFonts w:hint="eastAsia"/>
                      <w:szCs w:val="21"/>
                      <w:u w:val="single"/>
                      <w:lang w:val="en-US" w:eastAsia="zh-CN"/>
                    </w:rPr>
                    <w:t>产量</w:t>
                  </w:r>
                </w:p>
              </w:tc>
            </w:tr>
            <w:tr w14:paraId="0A21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vMerge w:val="continue"/>
                  <w:noWrap/>
                  <w:vAlign w:val="center"/>
                </w:tcPr>
                <w:p w14:paraId="0E2076E2">
                  <w:pPr>
                    <w:topLinePunct/>
                    <w:autoSpaceDE w:val="0"/>
                    <w:autoSpaceDN w:val="0"/>
                    <w:adjustRightInd w:val="0"/>
                    <w:jc w:val="center"/>
                    <w:rPr>
                      <w:rFonts w:hint="eastAsia"/>
                      <w:szCs w:val="21"/>
                      <w:u w:val="single"/>
                      <w:lang w:val="en-US" w:eastAsia="zh-CN"/>
                    </w:rPr>
                  </w:pPr>
                </w:p>
              </w:tc>
              <w:tc>
                <w:tcPr>
                  <w:tcW w:w="1147" w:type="pct"/>
                  <w:vMerge w:val="continue"/>
                  <w:noWrap/>
                  <w:vAlign w:val="center"/>
                </w:tcPr>
                <w:p w14:paraId="7EE4EDF0">
                  <w:pPr>
                    <w:topLinePunct/>
                    <w:autoSpaceDE w:val="0"/>
                    <w:autoSpaceDN w:val="0"/>
                    <w:adjustRightInd w:val="0"/>
                    <w:jc w:val="center"/>
                    <w:rPr>
                      <w:rFonts w:hint="eastAsia"/>
                      <w:szCs w:val="21"/>
                      <w:u w:val="single"/>
                      <w:lang w:val="en-US" w:eastAsia="zh-CN"/>
                    </w:rPr>
                  </w:pPr>
                </w:p>
              </w:tc>
              <w:tc>
                <w:tcPr>
                  <w:tcW w:w="950" w:type="pct"/>
                  <w:noWrap/>
                  <w:vAlign w:val="center"/>
                </w:tcPr>
                <w:p w14:paraId="3A2CA650">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扩建前</w:t>
                  </w:r>
                </w:p>
              </w:tc>
              <w:tc>
                <w:tcPr>
                  <w:tcW w:w="950" w:type="pct"/>
                  <w:noWrap/>
                  <w:vAlign w:val="center"/>
                </w:tcPr>
                <w:p w14:paraId="34338824">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扩建后</w:t>
                  </w:r>
                </w:p>
              </w:tc>
            </w:tr>
            <w:tr w14:paraId="2622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ign w:val="center"/>
                </w:tcPr>
                <w:p w14:paraId="50E837BB">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60醋酸分离装置（本项目建设）</w:t>
                  </w:r>
                </w:p>
              </w:tc>
            </w:tr>
            <w:tr w14:paraId="32E7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shd w:val="clear" w:color="auto" w:fill="auto"/>
                  <w:noWrap/>
                  <w:vAlign w:val="center"/>
                </w:tcPr>
                <w:p w14:paraId="077877C4">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lang w:val="en-US" w:eastAsia="zh-CN"/>
                    </w:rPr>
                    <w:t>醋酸</w:t>
                  </w:r>
                </w:p>
              </w:tc>
              <w:tc>
                <w:tcPr>
                  <w:tcW w:w="1147" w:type="pct"/>
                  <w:shd w:val="clear" w:color="auto" w:fill="auto"/>
                  <w:noWrap/>
                  <w:vAlign w:val="center"/>
                </w:tcPr>
                <w:p w14:paraId="469A6D9A">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 xml:space="preserve">t/a </w:t>
                  </w:r>
                </w:p>
              </w:tc>
              <w:tc>
                <w:tcPr>
                  <w:tcW w:w="950" w:type="pct"/>
                  <w:noWrap/>
                  <w:vAlign w:val="center"/>
                </w:tcPr>
                <w:p w14:paraId="5617D5B7">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0</w:t>
                  </w:r>
                </w:p>
              </w:tc>
              <w:tc>
                <w:tcPr>
                  <w:tcW w:w="950" w:type="pct"/>
                  <w:shd w:val="clear" w:color="auto" w:fill="auto"/>
                  <w:noWrap/>
                  <w:vAlign w:val="center"/>
                </w:tcPr>
                <w:p w14:paraId="56A9194F">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lang w:val="en-US" w:eastAsia="zh-CN"/>
                    </w:rPr>
                    <w:t>1600</w:t>
                  </w:r>
                </w:p>
              </w:tc>
            </w:tr>
            <w:tr w14:paraId="0C6E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shd w:val="clear" w:color="auto" w:fill="auto"/>
                  <w:noWrap/>
                  <w:vAlign w:val="center"/>
                </w:tcPr>
                <w:p w14:paraId="072CB285">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lang w:val="en-US" w:eastAsia="zh-CN"/>
                    </w:rPr>
                    <w:t>丙酸</w:t>
                  </w:r>
                  <w:r>
                    <w:rPr>
                      <w:rFonts w:hint="eastAsia"/>
                      <w:szCs w:val="21"/>
                      <w:u w:val="single"/>
                    </w:rPr>
                    <w:t xml:space="preserve"> </w:t>
                  </w:r>
                </w:p>
              </w:tc>
              <w:tc>
                <w:tcPr>
                  <w:tcW w:w="1147" w:type="pct"/>
                  <w:shd w:val="clear" w:color="auto" w:fill="auto"/>
                  <w:noWrap/>
                  <w:vAlign w:val="center"/>
                </w:tcPr>
                <w:p w14:paraId="3654DEAD">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rPr>
                    <w:t>t/a</w:t>
                  </w:r>
                </w:p>
              </w:tc>
              <w:tc>
                <w:tcPr>
                  <w:tcW w:w="950" w:type="pct"/>
                  <w:noWrap/>
                  <w:vAlign w:val="center"/>
                </w:tcPr>
                <w:p w14:paraId="69F21447">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0</w:t>
                  </w:r>
                </w:p>
              </w:tc>
              <w:tc>
                <w:tcPr>
                  <w:tcW w:w="950" w:type="pct"/>
                  <w:shd w:val="clear" w:color="auto" w:fill="auto"/>
                  <w:noWrap/>
                  <w:vAlign w:val="center"/>
                </w:tcPr>
                <w:p w14:paraId="4BE9200E">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lang w:val="en-US" w:eastAsia="zh-CN"/>
                    </w:rPr>
                    <w:t>424</w:t>
                  </w:r>
                </w:p>
              </w:tc>
            </w:tr>
            <w:tr w14:paraId="736B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ign w:val="center"/>
                </w:tcPr>
                <w:p w14:paraId="15D52B32">
                  <w:pPr>
                    <w:topLinePunct/>
                    <w:autoSpaceDE w:val="0"/>
                    <w:autoSpaceDN w:val="0"/>
                    <w:adjustRightInd w:val="0"/>
                    <w:jc w:val="center"/>
                    <w:rPr>
                      <w:rFonts w:hint="eastAsia" w:ascii="Times New Roman" w:hAnsi="Times New Roman" w:eastAsia="宋体" w:cs="Times New Roman"/>
                      <w:kern w:val="2"/>
                      <w:sz w:val="21"/>
                      <w:szCs w:val="21"/>
                      <w:u w:val="single"/>
                      <w:lang w:val="en-US" w:eastAsia="zh-CN" w:bidi="ar-SA"/>
                    </w:rPr>
                  </w:pPr>
                  <w:r>
                    <w:rPr>
                      <w:rFonts w:hint="eastAsia"/>
                      <w:szCs w:val="21"/>
                      <w:u w:val="single"/>
                      <w:lang w:val="en-US" w:eastAsia="zh-CN"/>
                    </w:rPr>
                    <w:t>70万t/a醋酸装置、98万t/a 醋酸装置（现有工程）</w:t>
                  </w:r>
                </w:p>
              </w:tc>
            </w:tr>
            <w:tr w14:paraId="6368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noWrap/>
                  <w:vAlign w:val="center"/>
                </w:tcPr>
                <w:p w14:paraId="19195524">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醋酸</w:t>
                  </w:r>
                </w:p>
              </w:tc>
              <w:tc>
                <w:tcPr>
                  <w:tcW w:w="1147" w:type="pct"/>
                  <w:noWrap/>
                  <w:vAlign w:val="center"/>
                </w:tcPr>
                <w:p w14:paraId="082FDCB8">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t/a</w:t>
                  </w:r>
                </w:p>
              </w:tc>
              <w:tc>
                <w:tcPr>
                  <w:tcW w:w="950" w:type="pct"/>
                  <w:noWrap/>
                  <w:vAlign w:val="center"/>
                </w:tcPr>
                <w:p w14:paraId="096599D0">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1680000</w:t>
                  </w:r>
                </w:p>
              </w:tc>
              <w:tc>
                <w:tcPr>
                  <w:tcW w:w="950" w:type="pct"/>
                  <w:noWrap/>
                  <w:vAlign w:val="center"/>
                </w:tcPr>
                <w:p w14:paraId="2C877571">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1680000</w:t>
                  </w:r>
                </w:p>
              </w:tc>
            </w:tr>
            <w:tr w14:paraId="7AFA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52" w:type="pct"/>
                  <w:noWrap/>
                  <w:vAlign w:val="center"/>
                </w:tcPr>
                <w:p w14:paraId="36470CF2">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60醋酸（副产品）</w:t>
                  </w:r>
                </w:p>
              </w:tc>
              <w:tc>
                <w:tcPr>
                  <w:tcW w:w="1147" w:type="pct"/>
                  <w:noWrap/>
                  <w:vAlign w:val="center"/>
                </w:tcPr>
                <w:p w14:paraId="4E6EE003">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t/a</w:t>
                  </w:r>
                </w:p>
              </w:tc>
              <w:tc>
                <w:tcPr>
                  <w:tcW w:w="950" w:type="pct"/>
                  <w:noWrap/>
                  <w:vAlign w:val="center"/>
                </w:tcPr>
                <w:p w14:paraId="4442B8E2">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2800</w:t>
                  </w:r>
                </w:p>
              </w:tc>
              <w:tc>
                <w:tcPr>
                  <w:tcW w:w="950" w:type="pct"/>
                  <w:noWrap/>
                  <w:vAlign w:val="center"/>
                </w:tcPr>
                <w:p w14:paraId="6234C214">
                  <w:pPr>
                    <w:topLinePunct/>
                    <w:autoSpaceDE w:val="0"/>
                    <w:autoSpaceDN w:val="0"/>
                    <w:adjustRightInd w:val="0"/>
                    <w:jc w:val="center"/>
                    <w:rPr>
                      <w:rFonts w:hint="default"/>
                      <w:szCs w:val="21"/>
                      <w:u w:val="single"/>
                      <w:lang w:val="en-US" w:eastAsia="zh-CN"/>
                    </w:rPr>
                  </w:pPr>
                  <w:r>
                    <w:rPr>
                      <w:rFonts w:hint="eastAsia"/>
                      <w:szCs w:val="21"/>
                      <w:u w:val="single"/>
                      <w:lang w:val="en-US" w:eastAsia="zh-CN"/>
                    </w:rPr>
                    <w:t>0</w:t>
                  </w:r>
                </w:p>
              </w:tc>
            </w:tr>
          </w:tbl>
          <w:p w14:paraId="4F3EE6BB">
            <w:pPr>
              <w:spacing w:line="500" w:lineRule="atLeast"/>
              <w:ind w:firstLine="480" w:firstLineChars="200"/>
              <w:rPr>
                <w:rFonts w:hint="default" w:eastAsia="宋体"/>
                <w:b w:val="0"/>
                <w:bCs/>
                <w:sz w:val="24"/>
                <w:lang w:val="en-US" w:eastAsia="zh-CN"/>
              </w:rPr>
            </w:pPr>
          </w:p>
          <w:p w14:paraId="43AFB33C">
            <w:pPr>
              <w:spacing w:line="500" w:lineRule="atLeast"/>
              <w:ind w:firstLine="480" w:firstLineChars="200"/>
              <w:rPr>
                <w:rFonts w:hint="default" w:eastAsia="宋体"/>
                <w:b w:val="0"/>
                <w:bCs/>
                <w:sz w:val="24"/>
                <w:lang w:val="en-US" w:eastAsia="zh-CN"/>
              </w:rPr>
            </w:pPr>
          </w:p>
          <w:p w14:paraId="2211599A">
            <w:pPr>
              <w:pStyle w:val="51"/>
              <w:numPr>
                <w:ilvl w:val="2"/>
                <w:numId w:val="3"/>
              </w:numPr>
              <w:spacing w:line="500" w:lineRule="atLeast"/>
              <w:ind w:firstLineChars="0"/>
              <w:jc w:val="center"/>
              <w:rPr>
                <w:rFonts w:hint="default" w:eastAsia="宋体"/>
                <w:b w:val="0"/>
                <w:bCs/>
                <w:sz w:val="24"/>
                <w:lang w:val="en-US" w:eastAsia="zh-CN"/>
              </w:rPr>
            </w:pPr>
            <w:r>
              <w:rPr>
                <w:rFonts w:hint="eastAsia"/>
                <w:b/>
                <w:bCs w:val="0"/>
                <w:sz w:val="24"/>
                <w:lang w:val="en-US" w:eastAsia="zh-CN"/>
              </w:rPr>
              <w:t>醋酸产品标准</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8"/>
              <w:gridCol w:w="3115"/>
            </w:tblGrid>
            <w:tr w14:paraId="6396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76018F5C">
                  <w:pPr>
                    <w:topLinePunct/>
                    <w:autoSpaceDE w:val="0"/>
                    <w:autoSpaceDN w:val="0"/>
                    <w:adjustRightInd w:val="0"/>
                    <w:jc w:val="center"/>
                    <w:rPr>
                      <w:rFonts w:hint="default" w:eastAsia="宋体"/>
                      <w:szCs w:val="21"/>
                      <w:lang w:val="en-US" w:eastAsia="zh-CN"/>
                    </w:rPr>
                  </w:pPr>
                  <w:r>
                    <w:rPr>
                      <w:rFonts w:hint="eastAsia"/>
                      <w:szCs w:val="21"/>
                      <w:lang w:val="en-US" w:eastAsia="zh-CN"/>
                    </w:rPr>
                    <w:t>项目</w:t>
                  </w:r>
                </w:p>
              </w:tc>
              <w:tc>
                <w:tcPr>
                  <w:tcW w:w="1851" w:type="pct"/>
                  <w:noWrap/>
                  <w:vAlign w:val="center"/>
                </w:tcPr>
                <w:p w14:paraId="2E8C88E6">
                  <w:pPr>
                    <w:topLinePunct/>
                    <w:autoSpaceDE w:val="0"/>
                    <w:autoSpaceDN w:val="0"/>
                    <w:adjustRightInd w:val="0"/>
                    <w:jc w:val="center"/>
                    <w:rPr>
                      <w:rFonts w:hint="eastAsia" w:eastAsia="宋体"/>
                      <w:szCs w:val="21"/>
                      <w:lang w:val="en-US" w:eastAsia="zh-CN"/>
                    </w:rPr>
                  </w:pPr>
                  <w:r>
                    <w:rPr>
                      <w:rFonts w:hint="eastAsia"/>
                      <w:szCs w:val="21"/>
                      <w:lang w:val="en-US" w:eastAsia="zh-CN"/>
                    </w:rPr>
                    <w:t>标准</w:t>
                  </w:r>
                </w:p>
              </w:tc>
            </w:tr>
            <w:tr w14:paraId="204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638A8F39">
                  <w:pPr>
                    <w:topLinePunct/>
                    <w:autoSpaceDE w:val="0"/>
                    <w:autoSpaceDN w:val="0"/>
                    <w:adjustRightInd w:val="0"/>
                    <w:jc w:val="center"/>
                    <w:rPr>
                      <w:rFonts w:hint="default" w:eastAsia="宋体"/>
                      <w:szCs w:val="21"/>
                      <w:lang w:val="en-US" w:eastAsia="zh-CN"/>
                    </w:rPr>
                  </w:pPr>
                  <w:r>
                    <w:rPr>
                      <w:rFonts w:hint="eastAsia"/>
                      <w:szCs w:val="21"/>
                      <w:lang w:val="en-US" w:eastAsia="zh-CN"/>
                    </w:rPr>
                    <w:t>色度，Hazen单位(铂-钴色号)</w:t>
                  </w:r>
                </w:p>
              </w:tc>
              <w:tc>
                <w:tcPr>
                  <w:tcW w:w="1851" w:type="pct"/>
                  <w:noWrap/>
                  <w:vAlign w:val="center"/>
                </w:tcPr>
                <w:p w14:paraId="28A9072B">
                  <w:pPr>
                    <w:topLinePunct/>
                    <w:autoSpaceDE w:val="0"/>
                    <w:autoSpaceDN w:val="0"/>
                    <w:adjustRightInd w:val="0"/>
                    <w:jc w:val="center"/>
                    <w:rPr>
                      <w:szCs w:val="21"/>
                    </w:rPr>
                  </w:pPr>
                  <w:r>
                    <w:rPr>
                      <w:rFonts w:hint="eastAsia"/>
                      <w:szCs w:val="21"/>
                    </w:rPr>
                    <w:t>≤10</w:t>
                  </w:r>
                </w:p>
              </w:tc>
            </w:tr>
            <w:tr w14:paraId="5A00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1EBDE045">
                  <w:pPr>
                    <w:topLinePunct/>
                    <w:autoSpaceDE w:val="0"/>
                    <w:autoSpaceDN w:val="0"/>
                    <w:adjustRightInd w:val="0"/>
                    <w:jc w:val="center"/>
                    <w:rPr>
                      <w:szCs w:val="21"/>
                    </w:rPr>
                  </w:pPr>
                  <w:r>
                    <w:rPr>
                      <w:rFonts w:hint="eastAsia"/>
                      <w:szCs w:val="21"/>
                      <w:lang w:val="en-US" w:eastAsia="zh-CN"/>
                    </w:rPr>
                    <w:t>醋酸的质量分数</w:t>
                  </w:r>
                </w:p>
              </w:tc>
              <w:tc>
                <w:tcPr>
                  <w:tcW w:w="1851" w:type="pct"/>
                  <w:noWrap/>
                  <w:vAlign w:val="center"/>
                </w:tcPr>
                <w:p w14:paraId="3C812E0B">
                  <w:pPr>
                    <w:topLinePunct/>
                    <w:autoSpaceDE w:val="0"/>
                    <w:autoSpaceDN w:val="0"/>
                    <w:adjustRightInd w:val="0"/>
                    <w:jc w:val="center"/>
                    <w:rPr>
                      <w:szCs w:val="21"/>
                    </w:rPr>
                  </w:pPr>
                  <w:r>
                    <w:rPr>
                      <w:rFonts w:hint="eastAsia"/>
                      <w:szCs w:val="21"/>
                    </w:rPr>
                    <w:t>≥99.8 % wt</w:t>
                  </w:r>
                </w:p>
              </w:tc>
            </w:tr>
            <w:tr w14:paraId="61AE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0E5B86FC">
                  <w:pPr>
                    <w:topLinePunct/>
                    <w:autoSpaceDE w:val="0"/>
                    <w:autoSpaceDN w:val="0"/>
                    <w:adjustRightInd w:val="0"/>
                    <w:jc w:val="center"/>
                    <w:rPr>
                      <w:rFonts w:hint="eastAsia"/>
                      <w:szCs w:val="21"/>
                      <w:lang w:val="en-US" w:eastAsia="zh-CN"/>
                    </w:rPr>
                  </w:pPr>
                  <w:r>
                    <w:rPr>
                      <w:rFonts w:hint="eastAsia"/>
                      <w:szCs w:val="21"/>
                      <w:lang w:val="en-US" w:eastAsia="zh-CN"/>
                    </w:rPr>
                    <w:t>水的质量分数</w:t>
                  </w:r>
                </w:p>
              </w:tc>
              <w:tc>
                <w:tcPr>
                  <w:tcW w:w="1851" w:type="pct"/>
                  <w:noWrap/>
                  <w:vAlign w:val="center"/>
                </w:tcPr>
                <w:p w14:paraId="6EDAE230">
                  <w:pPr>
                    <w:topLinePunct/>
                    <w:autoSpaceDE w:val="0"/>
                    <w:autoSpaceDN w:val="0"/>
                    <w:adjustRightInd w:val="0"/>
                    <w:jc w:val="center"/>
                    <w:rPr>
                      <w:rFonts w:hint="eastAsia"/>
                      <w:szCs w:val="21"/>
                    </w:rPr>
                  </w:pPr>
                  <w:r>
                    <w:rPr>
                      <w:rFonts w:hint="eastAsia"/>
                      <w:szCs w:val="21"/>
                    </w:rPr>
                    <w:t>≤0.15 % wt</w:t>
                  </w:r>
                </w:p>
              </w:tc>
            </w:tr>
            <w:tr w14:paraId="732E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02C0FF84">
                  <w:pPr>
                    <w:topLinePunct/>
                    <w:autoSpaceDE w:val="0"/>
                    <w:autoSpaceDN w:val="0"/>
                    <w:adjustRightInd w:val="0"/>
                    <w:jc w:val="center"/>
                    <w:rPr>
                      <w:rFonts w:hint="eastAsia"/>
                      <w:szCs w:val="21"/>
                      <w:lang w:val="en-US" w:eastAsia="zh-CN"/>
                    </w:rPr>
                  </w:pPr>
                  <w:r>
                    <w:rPr>
                      <w:rFonts w:hint="eastAsia"/>
                      <w:szCs w:val="21"/>
                      <w:lang w:val="en-US" w:eastAsia="zh-CN"/>
                    </w:rPr>
                    <w:t>甲酸的质量分数</w:t>
                  </w:r>
                </w:p>
              </w:tc>
              <w:tc>
                <w:tcPr>
                  <w:tcW w:w="1851" w:type="pct"/>
                  <w:noWrap/>
                  <w:vAlign w:val="center"/>
                </w:tcPr>
                <w:p w14:paraId="5310DA80">
                  <w:pPr>
                    <w:topLinePunct/>
                    <w:autoSpaceDE w:val="0"/>
                    <w:autoSpaceDN w:val="0"/>
                    <w:adjustRightInd w:val="0"/>
                    <w:jc w:val="center"/>
                    <w:rPr>
                      <w:rFonts w:hint="eastAsia"/>
                      <w:szCs w:val="21"/>
                    </w:rPr>
                  </w:pPr>
                  <w:r>
                    <w:rPr>
                      <w:rFonts w:hint="eastAsia"/>
                      <w:szCs w:val="21"/>
                    </w:rPr>
                    <w:t>≤0.03 % wt</w:t>
                  </w:r>
                </w:p>
              </w:tc>
            </w:tr>
            <w:tr w14:paraId="374D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24C5F2FD">
                  <w:pPr>
                    <w:topLinePunct/>
                    <w:autoSpaceDE w:val="0"/>
                    <w:autoSpaceDN w:val="0"/>
                    <w:adjustRightInd w:val="0"/>
                    <w:jc w:val="center"/>
                    <w:rPr>
                      <w:rFonts w:hint="eastAsia"/>
                      <w:szCs w:val="21"/>
                      <w:lang w:val="en-US" w:eastAsia="zh-CN"/>
                    </w:rPr>
                  </w:pPr>
                  <w:r>
                    <w:rPr>
                      <w:rFonts w:hint="eastAsia"/>
                      <w:szCs w:val="21"/>
                      <w:lang w:val="en-US" w:eastAsia="zh-CN"/>
                    </w:rPr>
                    <w:t>乙醛的质量分数</w:t>
                  </w:r>
                </w:p>
              </w:tc>
              <w:tc>
                <w:tcPr>
                  <w:tcW w:w="1851" w:type="pct"/>
                  <w:noWrap/>
                  <w:vAlign w:val="center"/>
                </w:tcPr>
                <w:p w14:paraId="5DB65AF3">
                  <w:pPr>
                    <w:topLinePunct/>
                    <w:autoSpaceDE w:val="0"/>
                    <w:autoSpaceDN w:val="0"/>
                    <w:adjustRightInd w:val="0"/>
                    <w:jc w:val="center"/>
                    <w:rPr>
                      <w:rFonts w:hint="eastAsia"/>
                      <w:szCs w:val="21"/>
                    </w:rPr>
                  </w:pPr>
                  <w:r>
                    <w:rPr>
                      <w:rFonts w:hint="eastAsia"/>
                      <w:szCs w:val="21"/>
                    </w:rPr>
                    <w:t>≤0.02 % wt</w:t>
                  </w:r>
                </w:p>
              </w:tc>
            </w:tr>
            <w:tr w14:paraId="532B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66406500">
                  <w:pPr>
                    <w:topLinePunct/>
                    <w:autoSpaceDE w:val="0"/>
                    <w:autoSpaceDN w:val="0"/>
                    <w:adjustRightInd w:val="0"/>
                    <w:jc w:val="center"/>
                    <w:rPr>
                      <w:rFonts w:hint="eastAsia"/>
                      <w:szCs w:val="21"/>
                      <w:lang w:val="en-US" w:eastAsia="zh-CN"/>
                    </w:rPr>
                  </w:pPr>
                  <w:r>
                    <w:rPr>
                      <w:rFonts w:hint="eastAsia"/>
                      <w:szCs w:val="21"/>
                      <w:lang w:val="en-US" w:eastAsia="zh-CN"/>
                    </w:rPr>
                    <w:t>蒸发残渣的质量分数</w:t>
                  </w:r>
                </w:p>
              </w:tc>
              <w:tc>
                <w:tcPr>
                  <w:tcW w:w="1851" w:type="pct"/>
                  <w:noWrap/>
                  <w:vAlign w:val="center"/>
                </w:tcPr>
                <w:p w14:paraId="1C5AA12D">
                  <w:pPr>
                    <w:topLinePunct/>
                    <w:autoSpaceDE w:val="0"/>
                    <w:autoSpaceDN w:val="0"/>
                    <w:adjustRightInd w:val="0"/>
                    <w:jc w:val="center"/>
                    <w:rPr>
                      <w:rFonts w:hint="eastAsia"/>
                      <w:szCs w:val="21"/>
                    </w:rPr>
                  </w:pPr>
                  <w:r>
                    <w:rPr>
                      <w:rFonts w:hint="eastAsia"/>
                      <w:szCs w:val="21"/>
                    </w:rPr>
                    <w:t>≤0.005 % wt</w:t>
                  </w:r>
                </w:p>
              </w:tc>
            </w:tr>
            <w:tr w14:paraId="243F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1C5CB134">
                  <w:pPr>
                    <w:topLinePunct/>
                    <w:autoSpaceDE w:val="0"/>
                    <w:autoSpaceDN w:val="0"/>
                    <w:adjustRightInd w:val="0"/>
                    <w:jc w:val="center"/>
                    <w:rPr>
                      <w:rFonts w:hint="eastAsia"/>
                      <w:szCs w:val="21"/>
                      <w:lang w:val="en-US" w:eastAsia="zh-CN"/>
                    </w:rPr>
                  </w:pPr>
                  <w:r>
                    <w:rPr>
                      <w:rFonts w:hint="eastAsia"/>
                      <w:szCs w:val="21"/>
                      <w:lang w:val="en-US" w:eastAsia="zh-CN"/>
                    </w:rPr>
                    <w:t xml:space="preserve">铁的质量分数(以Fe计) </w:t>
                  </w:r>
                </w:p>
              </w:tc>
              <w:tc>
                <w:tcPr>
                  <w:tcW w:w="1851" w:type="pct"/>
                  <w:noWrap/>
                  <w:vAlign w:val="center"/>
                </w:tcPr>
                <w:p w14:paraId="4E36EE2D">
                  <w:pPr>
                    <w:topLinePunct/>
                    <w:autoSpaceDE w:val="0"/>
                    <w:autoSpaceDN w:val="0"/>
                    <w:adjustRightInd w:val="0"/>
                    <w:jc w:val="center"/>
                    <w:rPr>
                      <w:rFonts w:hint="eastAsia"/>
                      <w:szCs w:val="21"/>
                    </w:rPr>
                  </w:pPr>
                  <w:r>
                    <w:rPr>
                      <w:rFonts w:hint="eastAsia"/>
                      <w:szCs w:val="21"/>
                    </w:rPr>
                    <w:t>≤0.00004 % wt</w:t>
                  </w:r>
                </w:p>
              </w:tc>
            </w:tr>
            <w:tr w14:paraId="1FE8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373AFCD1">
                  <w:pPr>
                    <w:topLinePunct/>
                    <w:autoSpaceDE w:val="0"/>
                    <w:autoSpaceDN w:val="0"/>
                    <w:adjustRightInd w:val="0"/>
                    <w:jc w:val="center"/>
                    <w:rPr>
                      <w:rFonts w:hint="eastAsia"/>
                      <w:szCs w:val="21"/>
                      <w:lang w:val="en-US" w:eastAsia="zh-CN"/>
                    </w:rPr>
                  </w:pPr>
                  <w:r>
                    <w:rPr>
                      <w:rFonts w:hint="eastAsia"/>
                      <w:szCs w:val="21"/>
                      <w:lang w:val="en-US" w:eastAsia="zh-CN"/>
                    </w:rPr>
                    <w:t>外观</w:t>
                  </w:r>
                </w:p>
              </w:tc>
              <w:tc>
                <w:tcPr>
                  <w:tcW w:w="1851" w:type="pct"/>
                  <w:noWrap/>
                  <w:vAlign w:val="center"/>
                </w:tcPr>
                <w:p w14:paraId="4D09BCA2">
                  <w:pPr>
                    <w:topLinePunct/>
                    <w:autoSpaceDE w:val="0"/>
                    <w:autoSpaceDN w:val="0"/>
                    <w:adjustRightInd w:val="0"/>
                    <w:jc w:val="center"/>
                    <w:rPr>
                      <w:rFonts w:hint="eastAsia"/>
                      <w:szCs w:val="21"/>
                    </w:rPr>
                  </w:pPr>
                  <w:r>
                    <w:rPr>
                      <w:rFonts w:hint="eastAsia"/>
                      <w:szCs w:val="21"/>
                    </w:rPr>
                    <w:t>透明液体，无悬浮物和机械杂质</w:t>
                  </w:r>
                </w:p>
              </w:tc>
            </w:tr>
            <w:tr w14:paraId="224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6EB4885A">
                  <w:pPr>
                    <w:topLinePunct/>
                    <w:autoSpaceDE w:val="0"/>
                    <w:autoSpaceDN w:val="0"/>
                    <w:adjustRightInd w:val="0"/>
                    <w:jc w:val="center"/>
                    <w:rPr>
                      <w:rFonts w:hint="eastAsia"/>
                      <w:szCs w:val="21"/>
                      <w:lang w:val="en-US" w:eastAsia="zh-CN"/>
                    </w:rPr>
                  </w:pPr>
                  <w:r>
                    <w:rPr>
                      <w:rFonts w:hint="eastAsia"/>
                      <w:szCs w:val="21"/>
                      <w:lang w:val="en-US" w:eastAsia="zh-CN"/>
                    </w:rPr>
                    <w:t>高锰酸钾时间</w:t>
                  </w:r>
                </w:p>
              </w:tc>
              <w:tc>
                <w:tcPr>
                  <w:tcW w:w="1851" w:type="pct"/>
                  <w:noWrap/>
                  <w:vAlign w:val="center"/>
                </w:tcPr>
                <w:p w14:paraId="0AC193A0">
                  <w:pPr>
                    <w:topLinePunct/>
                    <w:autoSpaceDE w:val="0"/>
                    <w:autoSpaceDN w:val="0"/>
                    <w:adjustRightInd w:val="0"/>
                    <w:jc w:val="center"/>
                    <w:rPr>
                      <w:rFonts w:hint="eastAsia"/>
                      <w:szCs w:val="21"/>
                    </w:rPr>
                  </w:pPr>
                  <w:r>
                    <w:rPr>
                      <w:rFonts w:hint="eastAsia"/>
                      <w:szCs w:val="21"/>
                    </w:rPr>
                    <w:t>≥120 min</w:t>
                  </w:r>
                </w:p>
              </w:tc>
            </w:tr>
            <w:tr w14:paraId="6DB6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0381196E">
                  <w:pPr>
                    <w:topLinePunct/>
                    <w:autoSpaceDE w:val="0"/>
                    <w:autoSpaceDN w:val="0"/>
                    <w:adjustRightInd w:val="0"/>
                    <w:jc w:val="center"/>
                    <w:rPr>
                      <w:rFonts w:hint="eastAsia"/>
                      <w:szCs w:val="21"/>
                      <w:lang w:val="en-US" w:eastAsia="zh-CN"/>
                    </w:rPr>
                  </w:pPr>
                  <w:r>
                    <w:rPr>
                      <w:rFonts w:hint="eastAsia"/>
                      <w:szCs w:val="21"/>
                      <w:lang w:val="en-US" w:eastAsia="zh-CN"/>
                    </w:rPr>
                    <w:t>丙酸的质量分数</w:t>
                  </w:r>
                </w:p>
              </w:tc>
              <w:tc>
                <w:tcPr>
                  <w:tcW w:w="1851" w:type="pct"/>
                  <w:noWrap/>
                  <w:vAlign w:val="center"/>
                </w:tcPr>
                <w:p w14:paraId="34FB0061">
                  <w:pPr>
                    <w:topLinePunct/>
                    <w:autoSpaceDE w:val="0"/>
                    <w:autoSpaceDN w:val="0"/>
                    <w:adjustRightInd w:val="0"/>
                    <w:jc w:val="center"/>
                    <w:rPr>
                      <w:rFonts w:hint="eastAsia"/>
                      <w:szCs w:val="21"/>
                    </w:rPr>
                  </w:pPr>
                  <w:r>
                    <w:rPr>
                      <w:rFonts w:hint="eastAsia"/>
                      <w:szCs w:val="21"/>
                    </w:rPr>
                    <w:t>≤0.05 % wt</w:t>
                  </w:r>
                </w:p>
              </w:tc>
            </w:tr>
          </w:tbl>
          <w:p w14:paraId="6C707B6D">
            <w:pPr>
              <w:pStyle w:val="51"/>
              <w:numPr>
                <w:ilvl w:val="2"/>
                <w:numId w:val="3"/>
              </w:numPr>
              <w:spacing w:line="500" w:lineRule="atLeast"/>
              <w:ind w:firstLineChars="0"/>
              <w:jc w:val="center"/>
              <w:rPr>
                <w:rFonts w:hint="default" w:eastAsia="宋体"/>
                <w:b w:val="0"/>
                <w:bCs/>
                <w:sz w:val="24"/>
                <w:lang w:val="en-US" w:eastAsia="zh-CN"/>
              </w:rPr>
            </w:pPr>
            <w:r>
              <w:rPr>
                <w:rFonts w:hint="eastAsia"/>
                <w:b/>
                <w:bCs w:val="0"/>
                <w:sz w:val="24"/>
                <w:lang w:val="en-US" w:eastAsia="zh-CN"/>
              </w:rPr>
              <w:t>丙酸产品标准</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8"/>
              <w:gridCol w:w="3115"/>
            </w:tblGrid>
            <w:tr w14:paraId="63D5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34DCFED6">
                  <w:pPr>
                    <w:topLinePunct/>
                    <w:autoSpaceDE w:val="0"/>
                    <w:autoSpaceDN w:val="0"/>
                    <w:adjustRightInd w:val="0"/>
                    <w:jc w:val="center"/>
                    <w:rPr>
                      <w:rFonts w:hint="default" w:eastAsia="宋体"/>
                      <w:szCs w:val="21"/>
                      <w:lang w:val="en-US" w:eastAsia="zh-CN"/>
                    </w:rPr>
                  </w:pPr>
                  <w:r>
                    <w:rPr>
                      <w:rFonts w:hint="eastAsia"/>
                      <w:szCs w:val="21"/>
                      <w:lang w:val="en-US" w:eastAsia="zh-CN"/>
                    </w:rPr>
                    <w:t>项目</w:t>
                  </w:r>
                </w:p>
              </w:tc>
              <w:tc>
                <w:tcPr>
                  <w:tcW w:w="1851" w:type="pct"/>
                  <w:noWrap/>
                  <w:vAlign w:val="center"/>
                </w:tcPr>
                <w:p w14:paraId="654B86F4">
                  <w:pPr>
                    <w:topLinePunct/>
                    <w:autoSpaceDE w:val="0"/>
                    <w:autoSpaceDN w:val="0"/>
                    <w:adjustRightInd w:val="0"/>
                    <w:jc w:val="center"/>
                    <w:rPr>
                      <w:rFonts w:hint="eastAsia" w:eastAsia="宋体"/>
                      <w:szCs w:val="21"/>
                      <w:lang w:val="en-US" w:eastAsia="zh-CN"/>
                    </w:rPr>
                  </w:pPr>
                  <w:r>
                    <w:rPr>
                      <w:rFonts w:hint="eastAsia"/>
                      <w:szCs w:val="21"/>
                      <w:lang w:val="en-US" w:eastAsia="zh-CN"/>
                    </w:rPr>
                    <w:t>标准</w:t>
                  </w:r>
                </w:p>
              </w:tc>
            </w:tr>
            <w:tr w14:paraId="42FA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2715FE17">
                  <w:pPr>
                    <w:topLinePunct/>
                    <w:autoSpaceDE w:val="0"/>
                    <w:autoSpaceDN w:val="0"/>
                    <w:adjustRightInd w:val="0"/>
                    <w:jc w:val="center"/>
                    <w:rPr>
                      <w:rFonts w:hint="default" w:eastAsia="宋体"/>
                      <w:szCs w:val="21"/>
                      <w:lang w:val="en-US" w:eastAsia="zh-CN"/>
                    </w:rPr>
                  </w:pPr>
                  <w:r>
                    <w:rPr>
                      <w:rFonts w:hint="eastAsia"/>
                      <w:szCs w:val="21"/>
                      <w:lang w:val="en-US" w:eastAsia="zh-CN"/>
                    </w:rPr>
                    <w:t>色泽</w:t>
                  </w:r>
                </w:p>
              </w:tc>
              <w:tc>
                <w:tcPr>
                  <w:tcW w:w="1851" w:type="pct"/>
                  <w:noWrap/>
                  <w:vAlign w:val="center"/>
                </w:tcPr>
                <w:p w14:paraId="545C1CF6">
                  <w:pPr>
                    <w:topLinePunct/>
                    <w:autoSpaceDE w:val="0"/>
                    <w:autoSpaceDN w:val="0"/>
                    <w:adjustRightInd w:val="0"/>
                    <w:jc w:val="center"/>
                    <w:rPr>
                      <w:szCs w:val="21"/>
                    </w:rPr>
                  </w:pPr>
                  <w:r>
                    <w:rPr>
                      <w:rFonts w:hint="eastAsia"/>
                      <w:szCs w:val="21"/>
                    </w:rPr>
                    <w:t>无色或微黄色</w:t>
                  </w:r>
                </w:p>
              </w:tc>
            </w:tr>
            <w:tr w14:paraId="1A58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6A5C473D">
                  <w:pPr>
                    <w:topLinePunct/>
                    <w:autoSpaceDE w:val="0"/>
                    <w:autoSpaceDN w:val="0"/>
                    <w:adjustRightInd w:val="0"/>
                    <w:jc w:val="center"/>
                    <w:rPr>
                      <w:szCs w:val="21"/>
                    </w:rPr>
                  </w:pPr>
                  <w:r>
                    <w:rPr>
                      <w:rFonts w:hint="eastAsia"/>
                      <w:szCs w:val="21"/>
                      <w:lang w:val="en-US" w:eastAsia="zh-CN"/>
                    </w:rPr>
                    <w:t>状态</w:t>
                  </w:r>
                </w:p>
              </w:tc>
              <w:tc>
                <w:tcPr>
                  <w:tcW w:w="1851" w:type="pct"/>
                  <w:noWrap/>
                  <w:vAlign w:val="center"/>
                </w:tcPr>
                <w:p w14:paraId="04F42B0F">
                  <w:pPr>
                    <w:topLinePunct/>
                    <w:autoSpaceDE w:val="0"/>
                    <w:autoSpaceDN w:val="0"/>
                    <w:adjustRightInd w:val="0"/>
                    <w:jc w:val="center"/>
                    <w:rPr>
                      <w:szCs w:val="21"/>
                    </w:rPr>
                  </w:pPr>
                  <w:r>
                    <w:rPr>
                      <w:rFonts w:hint="eastAsia"/>
                      <w:szCs w:val="21"/>
                    </w:rPr>
                    <w:t>油状液体</w:t>
                  </w:r>
                </w:p>
              </w:tc>
            </w:tr>
            <w:tr w14:paraId="1465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7FFB91C9">
                  <w:pPr>
                    <w:topLinePunct/>
                    <w:autoSpaceDE w:val="0"/>
                    <w:autoSpaceDN w:val="0"/>
                    <w:adjustRightInd w:val="0"/>
                    <w:jc w:val="center"/>
                    <w:rPr>
                      <w:rFonts w:hint="eastAsia"/>
                      <w:szCs w:val="21"/>
                      <w:lang w:val="en-US" w:eastAsia="zh-CN"/>
                    </w:rPr>
                  </w:pPr>
                  <w:r>
                    <w:rPr>
                      <w:rFonts w:hint="eastAsia"/>
                      <w:szCs w:val="21"/>
                      <w:lang w:val="en-US" w:eastAsia="zh-CN"/>
                    </w:rPr>
                    <w:t>气味</w:t>
                  </w:r>
                </w:p>
              </w:tc>
              <w:tc>
                <w:tcPr>
                  <w:tcW w:w="1851" w:type="pct"/>
                  <w:noWrap/>
                  <w:vAlign w:val="center"/>
                </w:tcPr>
                <w:p w14:paraId="3B2F80E7">
                  <w:pPr>
                    <w:topLinePunct/>
                    <w:autoSpaceDE w:val="0"/>
                    <w:autoSpaceDN w:val="0"/>
                    <w:adjustRightInd w:val="0"/>
                    <w:jc w:val="center"/>
                    <w:rPr>
                      <w:rFonts w:hint="eastAsia"/>
                      <w:szCs w:val="21"/>
                    </w:rPr>
                  </w:pPr>
                  <w:r>
                    <w:rPr>
                      <w:rFonts w:hint="eastAsia"/>
                      <w:szCs w:val="21"/>
                    </w:rPr>
                    <w:t>轻微的刺激性气味</w:t>
                  </w:r>
                </w:p>
              </w:tc>
            </w:tr>
            <w:tr w14:paraId="3BF3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5997F32D">
                  <w:pPr>
                    <w:topLinePunct/>
                    <w:autoSpaceDE w:val="0"/>
                    <w:autoSpaceDN w:val="0"/>
                    <w:adjustRightInd w:val="0"/>
                    <w:jc w:val="center"/>
                    <w:rPr>
                      <w:rFonts w:hint="eastAsia"/>
                      <w:szCs w:val="21"/>
                      <w:lang w:val="en-US" w:eastAsia="zh-CN"/>
                    </w:rPr>
                  </w:pPr>
                  <w:r>
                    <w:rPr>
                      <w:rFonts w:hint="eastAsia"/>
                      <w:szCs w:val="21"/>
                      <w:lang w:val="en-US" w:eastAsia="zh-CN"/>
                    </w:rPr>
                    <w:t>丙酸含量</w:t>
                  </w:r>
                </w:p>
              </w:tc>
              <w:tc>
                <w:tcPr>
                  <w:tcW w:w="1851" w:type="pct"/>
                  <w:noWrap/>
                  <w:vAlign w:val="center"/>
                </w:tcPr>
                <w:p w14:paraId="7C7102A6">
                  <w:pPr>
                    <w:topLinePunct/>
                    <w:autoSpaceDE w:val="0"/>
                    <w:autoSpaceDN w:val="0"/>
                    <w:adjustRightInd w:val="0"/>
                    <w:jc w:val="center"/>
                    <w:rPr>
                      <w:rFonts w:hint="eastAsia"/>
                      <w:szCs w:val="21"/>
                    </w:rPr>
                  </w:pPr>
                  <w:r>
                    <w:rPr>
                      <w:rFonts w:hint="eastAsia"/>
                      <w:szCs w:val="21"/>
                    </w:rPr>
                    <w:t>≥99.5 %wt</w:t>
                  </w:r>
                </w:p>
              </w:tc>
            </w:tr>
            <w:tr w14:paraId="1E2B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4F92CF3D">
                  <w:pPr>
                    <w:topLinePunct/>
                    <w:autoSpaceDE w:val="0"/>
                    <w:autoSpaceDN w:val="0"/>
                    <w:adjustRightInd w:val="0"/>
                    <w:jc w:val="center"/>
                    <w:rPr>
                      <w:rFonts w:hint="eastAsia"/>
                      <w:szCs w:val="21"/>
                      <w:lang w:val="en-US" w:eastAsia="zh-CN"/>
                    </w:rPr>
                  </w:pPr>
                  <w:r>
                    <w:rPr>
                      <w:rFonts w:hint="eastAsia"/>
                      <w:szCs w:val="21"/>
                      <w:lang w:val="en-US" w:eastAsia="zh-CN"/>
                    </w:rPr>
                    <w:t>相对密度</w:t>
                  </w:r>
                </w:p>
              </w:tc>
              <w:tc>
                <w:tcPr>
                  <w:tcW w:w="1851" w:type="pct"/>
                  <w:noWrap/>
                  <w:vAlign w:val="center"/>
                </w:tcPr>
                <w:p w14:paraId="49A262D9">
                  <w:pPr>
                    <w:topLinePunct/>
                    <w:autoSpaceDE w:val="0"/>
                    <w:autoSpaceDN w:val="0"/>
                    <w:adjustRightInd w:val="0"/>
                    <w:jc w:val="center"/>
                    <w:rPr>
                      <w:rFonts w:hint="eastAsia"/>
                      <w:szCs w:val="21"/>
                    </w:rPr>
                  </w:pPr>
                  <w:r>
                    <w:rPr>
                      <w:rFonts w:hint="eastAsia"/>
                      <w:szCs w:val="21"/>
                    </w:rPr>
                    <w:t>0.993~0.997</w:t>
                  </w:r>
                </w:p>
              </w:tc>
            </w:tr>
            <w:tr w14:paraId="57BD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537462B9">
                  <w:pPr>
                    <w:topLinePunct/>
                    <w:autoSpaceDE w:val="0"/>
                    <w:autoSpaceDN w:val="0"/>
                    <w:adjustRightInd w:val="0"/>
                    <w:jc w:val="center"/>
                    <w:rPr>
                      <w:rFonts w:hint="eastAsia"/>
                      <w:szCs w:val="21"/>
                      <w:lang w:val="en-US" w:eastAsia="zh-CN"/>
                    </w:rPr>
                  </w:pPr>
                  <w:r>
                    <w:rPr>
                      <w:rFonts w:hint="eastAsia"/>
                      <w:szCs w:val="21"/>
                      <w:lang w:val="en-US" w:eastAsia="zh-CN"/>
                    </w:rPr>
                    <w:t>沸程</w:t>
                  </w:r>
                </w:p>
              </w:tc>
              <w:tc>
                <w:tcPr>
                  <w:tcW w:w="1851" w:type="pct"/>
                  <w:noWrap/>
                  <w:vAlign w:val="center"/>
                </w:tcPr>
                <w:p w14:paraId="0C0EF195">
                  <w:pPr>
                    <w:topLinePunct/>
                    <w:autoSpaceDE w:val="0"/>
                    <w:autoSpaceDN w:val="0"/>
                    <w:adjustRightInd w:val="0"/>
                    <w:jc w:val="center"/>
                    <w:rPr>
                      <w:rFonts w:hint="eastAsia"/>
                      <w:szCs w:val="21"/>
                    </w:rPr>
                  </w:pPr>
                  <w:r>
                    <w:rPr>
                      <w:rFonts w:hint="eastAsia"/>
                      <w:szCs w:val="21"/>
                    </w:rPr>
                    <w:t>138.5~142.5℃</w:t>
                  </w:r>
                </w:p>
              </w:tc>
            </w:tr>
            <w:tr w14:paraId="2392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306D8B03">
                  <w:pPr>
                    <w:topLinePunct/>
                    <w:autoSpaceDE w:val="0"/>
                    <w:autoSpaceDN w:val="0"/>
                    <w:adjustRightInd w:val="0"/>
                    <w:jc w:val="center"/>
                    <w:rPr>
                      <w:rFonts w:hint="eastAsia"/>
                      <w:szCs w:val="21"/>
                      <w:lang w:val="en-US" w:eastAsia="zh-CN"/>
                    </w:rPr>
                  </w:pPr>
                  <w:r>
                    <w:rPr>
                      <w:rFonts w:hint="eastAsia"/>
                      <w:szCs w:val="21"/>
                      <w:lang w:val="en-US" w:eastAsia="zh-CN"/>
                    </w:rPr>
                    <w:t>蒸发残渣</w:t>
                  </w:r>
                </w:p>
              </w:tc>
              <w:tc>
                <w:tcPr>
                  <w:tcW w:w="1851" w:type="pct"/>
                  <w:noWrap/>
                  <w:vAlign w:val="center"/>
                </w:tcPr>
                <w:p w14:paraId="1B72167D">
                  <w:pPr>
                    <w:topLinePunct/>
                    <w:autoSpaceDE w:val="0"/>
                    <w:autoSpaceDN w:val="0"/>
                    <w:adjustRightInd w:val="0"/>
                    <w:jc w:val="center"/>
                    <w:rPr>
                      <w:rFonts w:hint="eastAsia"/>
                      <w:szCs w:val="21"/>
                    </w:rPr>
                  </w:pPr>
                  <w:r>
                    <w:rPr>
                      <w:rFonts w:hint="eastAsia"/>
                      <w:szCs w:val="21"/>
                    </w:rPr>
                    <w:t>≤0.01%wt</w:t>
                  </w:r>
                </w:p>
              </w:tc>
            </w:tr>
            <w:tr w14:paraId="33C9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194FE5DD">
                  <w:pPr>
                    <w:topLinePunct/>
                    <w:autoSpaceDE w:val="0"/>
                    <w:autoSpaceDN w:val="0"/>
                    <w:adjustRightInd w:val="0"/>
                    <w:jc w:val="center"/>
                    <w:rPr>
                      <w:rFonts w:hint="eastAsia"/>
                      <w:szCs w:val="21"/>
                      <w:lang w:val="en-US" w:eastAsia="zh-CN"/>
                    </w:rPr>
                  </w:pPr>
                  <w:r>
                    <w:rPr>
                      <w:rFonts w:hint="eastAsia"/>
                      <w:szCs w:val="21"/>
                      <w:lang w:val="en-US" w:eastAsia="zh-CN"/>
                    </w:rPr>
                    <w:t>水分</w:t>
                  </w:r>
                </w:p>
              </w:tc>
              <w:tc>
                <w:tcPr>
                  <w:tcW w:w="1851" w:type="pct"/>
                  <w:noWrap/>
                  <w:vAlign w:val="center"/>
                </w:tcPr>
                <w:p w14:paraId="2F09FED3">
                  <w:pPr>
                    <w:topLinePunct/>
                    <w:autoSpaceDE w:val="0"/>
                    <w:autoSpaceDN w:val="0"/>
                    <w:adjustRightInd w:val="0"/>
                    <w:jc w:val="center"/>
                    <w:rPr>
                      <w:rFonts w:hint="eastAsia"/>
                      <w:szCs w:val="21"/>
                    </w:rPr>
                  </w:pPr>
                  <w:r>
                    <w:rPr>
                      <w:rFonts w:hint="eastAsia"/>
                      <w:szCs w:val="21"/>
                    </w:rPr>
                    <w:t>≤0.15 % wt</w:t>
                  </w:r>
                </w:p>
              </w:tc>
            </w:tr>
            <w:tr w14:paraId="1F48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36AD6F83">
                  <w:pPr>
                    <w:topLinePunct/>
                    <w:autoSpaceDE w:val="0"/>
                    <w:autoSpaceDN w:val="0"/>
                    <w:adjustRightInd w:val="0"/>
                    <w:jc w:val="center"/>
                    <w:rPr>
                      <w:rFonts w:hint="eastAsia"/>
                      <w:szCs w:val="21"/>
                      <w:lang w:val="en-US" w:eastAsia="zh-CN"/>
                    </w:rPr>
                  </w:pPr>
                  <w:r>
                    <w:rPr>
                      <w:rFonts w:hint="eastAsia"/>
                      <w:szCs w:val="21"/>
                      <w:lang w:val="en-US" w:eastAsia="zh-CN"/>
                    </w:rPr>
                    <w:t>醛（以丙醛计）</w:t>
                  </w:r>
                </w:p>
              </w:tc>
              <w:tc>
                <w:tcPr>
                  <w:tcW w:w="1851" w:type="pct"/>
                  <w:noWrap/>
                  <w:vAlign w:val="center"/>
                </w:tcPr>
                <w:p w14:paraId="30881655">
                  <w:pPr>
                    <w:topLinePunct/>
                    <w:autoSpaceDE w:val="0"/>
                    <w:autoSpaceDN w:val="0"/>
                    <w:adjustRightInd w:val="0"/>
                    <w:jc w:val="center"/>
                    <w:rPr>
                      <w:rFonts w:hint="eastAsia"/>
                      <w:szCs w:val="21"/>
                    </w:rPr>
                  </w:pPr>
                  <w:r>
                    <w:rPr>
                      <w:rFonts w:hint="eastAsia"/>
                      <w:szCs w:val="21"/>
                    </w:rPr>
                    <w:t>≤0.05 % wt</w:t>
                  </w:r>
                </w:p>
              </w:tc>
            </w:tr>
            <w:tr w14:paraId="651D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1655DFC3">
                  <w:pPr>
                    <w:topLinePunct/>
                    <w:autoSpaceDE w:val="0"/>
                    <w:autoSpaceDN w:val="0"/>
                    <w:adjustRightInd w:val="0"/>
                    <w:jc w:val="center"/>
                    <w:rPr>
                      <w:rFonts w:hint="eastAsia"/>
                      <w:szCs w:val="21"/>
                      <w:lang w:val="en-US" w:eastAsia="zh-CN"/>
                    </w:rPr>
                  </w:pPr>
                  <w:r>
                    <w:rPr>
                      <w:rFonts w:hint="eastAsia"/>
                      <w:szCs w:val="21"/>
                      <w:lang w:val="en-US" w:eastAsia="zh-CN"/>
                    </w:rPr>
                    <w:t>易氧化物（以甲酸计）</w:t>
                  </w:r>
                </w:p>
              </w:tc>
              <w:tc>
                <w:tcPr>
                  <w:tcW w:w="1851" w:type="pct"/>
                  <w:noWrap/>
                  <w:vAlign w:val="center"/>
                </w:tcPr>
                <w:p w14:paraId="2BC43BBA">
                  <w:pPr>
                    <w:topLinePunct/>
                    <w:autoSpaceDE w:val="0"/>
                    <w:autoSpaceDN w:val="0"/>
                    <w:adjustRightInd w:val="0"/>
                    <w:jc w:val="center"/>
                    <w:rPr>
                      <w:rFonts w:hint="eastAsia"/>
                      <w:szCs w:val="21"/>
                    </w:rPr>
                  </w:pPr>
                  <w:r>
                    <w:rPr>
                      <w:rFonts w:hint="eastAsia"/>
                      <w:szCs w:val="21"/>
                    </w:rPr>
                    <w:t>≤0.05 % wt</w:t>
                  </w:r>
                </w:p>
              </w:tc>
            </w:tr>
            <w:tr w14:paraId="5487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3C7E413A">
                  <w:pPr>
                    <w:topLinePunct/>
                    <w:autoSpaceDE w:val="0"/>
                    <w:autoSpaceDN w:val="0"/>
                    <w:adjustRightInd w:val="0"/>
                    <w:jc w:val="center"/>
                    <w:rPr>
                      <w:rFonts w:hint="eastAsia"/>
                      <w:szCs w:val="21"/>
                      <w:lang w:val="en-US" w:eastAsia="zh-CN"/>
                    </w:rPr>
                  </w:pPr>
                  <w:r>
                    <w:rPr>
                      <w:rFonts w:hint="eastAsia"/>
                      <w:szCs w:val="21"/>
                      <w:lang w:val="en-US" w:eastAsia="zh-CN"/>
                    </w:rPr>
                    <w:t>铅（Pb）</w:t>
                  </w:r>
                </w:p>
              </w:tc>
              <w:tc>
                <w:tcPr>
                  <w:tcW w:w="1851" w:type="pct"/>
                  <w:noWrap/>
                  <w:vAlign w:val="center"/>
                </w:tcPr>
                <w:p w14:paraId="2D78EB7D">
                  <w:pPr>
                    <w:topLinePunct/>
                    <w:autoSpaceDE w:val="0"/>
                    <w:autoSpaceDN w:val="0"/>
                    <w:adjustRightInd w:val="0"/>
                    <w:jc w:val="center"/>
                    <w:rPr>
                      <w:rFonts w:hint="eastAsia"/>
                      <w:szCs w:val="21"/>
                    </w:rPr>
                  </w:pPr>
                  <w:r>
                    <w:rPr>
                      <w:rFonts w:hint="eastAsia"/>
                      <w:szCs w:val="21"/>
                    </w:rPr>
                    <w:t>≤2.0mg/kg</w:t>
                  </w:r>
                </w:p>
              </w:tc>
            </w:tr>
            <w:tr w14:paraId="2DE1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8" w:type="pct"/>
                  <w:noWrap/>
                  <w:vAlign w:val="center"/>
                </w:tcPr>
                <w:p w14:paraId="26CACB56">
                  <w:pPr>
                    <w:topLinePunct/>
                    <w:autoSpaceDE w:val="0"/>
                    <w:autoSpaceDN w:val="0"/>
                    <w:adjustRightInd w:val="0"/>
                    <w:jc w:val="center"/>
                    <w:rPr>
                      <w:rFonts w:hint="eastAsia"/>
                      <w:szCs w:val="21"/>
                      <w:lang w:val="en-US" w:eastAsia="zh-CN"/>
                    </w:rPr>
                  </w:pPr>
                  <w:r>
                    <w:rPr>
                      <w:rFonts w:hint="eastAsia"/>
                      <w:szCs w:val="21"/>
                      <w:lang w:val="en-US" w:eastAsia="zh-CN"/>
                    </w:rPr>
                    <w:t>砷（As）</w:t>
                  </w:r>
                </w:p>
              </w:tc>
              <w:tc>
                <w:tcPr>
                  <w:tcW w:w="1851" w:type="pct"/>
                  <w:noWrap/>
                  <w:vAlign w:val="center"/>
                </w:tcPr>
                <w:p w14:paraId="2D3B67E7">
                  <w:pPr>
                    <w:topLinePunct/>
                    <w:autoSpaceDE w:val="0"/>
                    <w:autoSpaceDN w:val="0"/>
                    <w:adjustRightInd w:val="0"/>
                    <w:jc w:val="center"/>
                    <w:rPr>
                      <w:rFonts w:hint="eastAsia"/>
                      <w:szCs w:val="21"/>
                    </w:rPr>
                  </w:pPr>
                  <w:r>
                    <w:rPr>
                      <w:rFonts w:hint="eastAsia"/>
                      <w:szCs w:val="21"/>
                    </w:rPr>
                    <w:t>≤3.0mg/kg</w:t>
                  </w:r>
                </w:p>
              </w:tc>
            </w:tr>
          </w:tbl>
          <w:p w14:paraId="1DE26DDB">
            <w:pPr>
              <w:spacing w:line="500" w:lineRule="atLeast"/>
              <w:ind w:firstLine="482" w:firstLineChars="200"/>
              <w:rPr>
                <w:b/>
                <w:sz w:val="24"/>
              </w:rPr>
            </w:pPr>
            <w:r>
              <w:rPr>
                <w:rFonts w:hint="eastAsia"/>
                <w:b/>
                <w:sz w:val="24"/>
              </w:rPr>
              <w:t xml:space="preserve">4、项目主要设备 </w:t>
            </w:r>
          </w:p>
          <w:p w14:paraId="0D07A986">
            <w:pPr>
              <w:spacing w:line="500" w:lineRule="atLeast"/>
              <w:ind w:firstLine="480" w:firstLineChars="200"/>
              <w:rPr>
                <w:rFonts w:hint="eastAsia"/>
                <w:sz w:val="24"/>
              </w:rPr>
            </w:pPr>
            <w:r>
              <w:rPr>
                <w:rFonts w:hint="eastAsia"/>
                <w:sz w:val="24"/>
              </w:rPr>
              <w:t>根据建设单位提供的资料，生产设备详见2-</w:t>
            </w:r>
            <w:r>
              <w:rPr>
                <w:rFonts w:hint="eastAsia"/>
                <w:sz w:val="24"/>
                <w:lang w:val="en-US" w:eastAsia="zh-CN"/>
              </w:rPr>
              <w:t>6</w:t>
            </w:r>
            <w:r>
              <w:rPr>
                <w:rFonts w:hint="eastAsia"/>
                <w:sz w:val="24"/>
              </w:rPr>
              <w:t>。</w:t>
            </w:r>
          </w:p>
          <w:p w14:paraId="7E14DAF6">
            <w:pPr>
              <w:pStyle w:val="51"/>
              <w:numPr>
                <w:ilvl w:val="2"/>
                <w:numId w:val="3"/>
              </w:numPr>
              <w:spacing w:line="500" w:lineRule="atLeast"/>
              <w:ind w:firstLineChars="0"/>
              <w:jc w:val="center"/>
              <w:rPr>
                <w:b/>
                <w:sz w:val="24"/>
              </w:rPr>
            </w:pPr>
            <w:r>
              <w:rPr>
                <w:rFonts w:hint="eastAsia"/>
                <w:b/>
                <w:sz w:val="24"/>
              </w:rPr>
              <w:t>项目主要设备一览表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3"/>
              <w:gridCol w:w="2018"/>
              <w:gridCol w:w="3290"/>
              <w:gridCol w:w="1261"/>
              <w:gridCol w:w="1261"/>
            </w:tblGrid>
            <w:tr w14:paraId="4CB5E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6C289">
                  <w:pPr>
                    <w:widowControl/>
                    <w:ind w:left="0" w:leftChars="0" w:right="0" w:rightChars="0" w:firstLine="0" w:firstLineChars="0"/>
                    <w:jc w:val="center"/>
                    <w:rPr>
                      <w:rFonts w:ascii="Times New Roman" w:hAnsi="Times New Roman" w:eastAsia="宋体" w:cs="Times New Roman"/>
                      <w:kern w:val="2"/>
                      <w:sz w:val="21"/>
                      <w:szCs w:val="24"/>
                      <w:lang w:val="en-US" w:eastAsia="zh-CN" w:bidi="ar-SA"/>
                    </w:rPr>
                  </w:pPr>
                  <w:r>
                    <w:rPr>
                      <w:rFonts w:hint="eastAsia"/>
                    </w:rPr>
                    <w:t>序号</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2C3E">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rPr>
                    <w:t>设备名称</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E96C">
                  <w:pPr>
                    <w:widowControl/>
                    <w:ind w:left="0" w:leftChars="0" w:right="0" w:rightChars="0" w:firstLine="0" w:firstLineChars="0"/>
                    <w:jc w:val="center"/>
                    <w:rPr>
                      <w:rFonts w:ascii="Times New Roman" w:hAnsi="Times New Roman" w:eastAsia="宋体" w:cs="Times New Roman"/>
                      <w:kern w:val="2"/>
                      <w:sz w:val="21"/>
                      <w:szCs w:val="24"/>
                      <w:lang w:val="en-US" w:eastAsia="zh-CN" w:bidi="ar-SA"/>
                    </w:rPr>
                  </w:pPr>
                  <w:r>
                    <w:rPr>
                      <w:rFonts w:hint="eastAsia"/>
                    </w:rPr>
                    <w:t>型号参数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E7FB">
                  <w:pPr>
                    <w:widowControl/>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数量</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10313">
                  <w:pPr>
                    <w:widowControl/>
                    <w:ind w:left="0" w:leftChars="0" w:right="0" w:rightChars="0" w:firstLine="0" w:firstLineChars="0"/>
                    <w:jc w:val="center"/>
                    <w:rPr>
                      <w:rFonts w:hint="default"/>
                      <w:lang w:val="en-US" w:eastAsia="zh-CN"/>
                    </w:rPr>
                  </w:pPr>
                  <w:r>
                    <w:rPr>
                      <w:rFonts w:hint="eastAsia"/>
                      <w:lang w:val="en-US" w:eastAsia="zh-CN"/>
                    </w:rPr>
                    <w:t>备注</w:t>
                  </w:r>
                </w:p>
              </w:tc>
            </w:tr>
            <w:tr w14:paraId="55C03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9F0498">
                  <w:pPr>
                    <w:widowControl/>
                    <w:ind w:left="0" w:leftChars="0" w:right="0" w:rightChars="0" w:firstLine="0" w:firstLineChars="0"/>
                    <w:jc w:val="center"/>
                    <w:rPr>
                      <w:rFonts w:hint="eastAsia"/>
                      <w:lang w:val="en-US" w:eastAsia="zh-CN"/>
                    </w:rPr>
                  </w:pPr>
                  <w:r>
                    <w:rPr>
                      <w:rFonts w:hint="eastAsia"/>
                      <w:szCs w:val="21"/>
                      <w:u w:val="single"/>
                      <w:lang w:val="en-US" w:eastAsia="zh-CN"/>
                    </w:rPr>
                    <w:t>60醋酸分离装置（本项目建设）</w:t>
                  </w:r>
                </w:p>
              </w:tc>
            </w:tr>
            <w:tr w14:paraId="366DC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BA975">
                  <w:pPr>
                    <w:widowControl/>
                    <w:ind w:left="0" w:leftChars="0" w:right="0" w:rightChars="0" w:firstLine="0" w:firstLineChars="0"/>
                    <w:jc w:val="center"/>
                    <w:rPr>
                      <w:rFonts w:ascii="Times New Roman" w:hAnsi="Times New Roman" w:eastAsia="宋体" w:cs="Times New Roman"/>
                      <w:kern w:val="2"/>
                      <w:sz w:val="21"/>
                      <w:szCs w:val="24"/>
                      <w:lang w:val="en-US" w:eastAsia="zh-CN" w:bidi="ar-SA"/>
                    </w:rPr>
                  </w:pPr>
                  <w: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F4976">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rPr>
                    <w:t>废液</w:t>
                  </w:r>
                  <w:r>
                    <w:rPr>
                      <w:rFonts w:hint="eastAsia"/>
                      <w:lang w:val="en-US" w:eastAsia="zh-CN"/>
                    </w:rPr>
                    <w:t>罐</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4986">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rPr>
                    <w:t>316L，Φ2800×7200，V=50m</w:t>
                  </w:r>
                  <w:r>
                    <w:rPr>
                      <w:rFonts w:hint="eastAsia"/>
                      <w:vertAlign w:val="superscript"/>
                    </w:rPr>
                    <w:t>3</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2785">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rPr>
                    <w:t>2台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1F02A">
                  <w:pPr>
                    <w:widowControl/>
                    <w:ind w:left="0" w:leftChars="0" w:right="0" w:rightChars="0" w:firstLine="0" w:firstLineChars="0"/>
                    <w:jc w:val="center"/>
                    <w:rPr>
                      <w:rFonts w:hint="eastAsia" w:eastAsia="宋体"/>
                      <w:lang w:val="en-US" w:eastAsia="zh-CN"/>
                    </w:rPr>
                  </w:pPr>
                  <w:r>
                    <w:rPr>
                      <w:rFonts w:hint="eastAsia"/>
                      <w:lang w:val="en-US" w:eastAsia="zh-CN"/>
                    </w:rPr>
                    <w:t>外购</w:t>
                  </w:r>
                </w:p>
              </w:tc>
            </w:tr>
            <w:tr w14:paraId="41702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2B603EAD">
                  <w:pPr>
                    <w:widowControl/>
                    <w:ind w:left="0" w:leftChars="0" w:right="0" w:rightChars="0" w:firstLine="0" w:firstLineChars="0"/>
                    <w:jc w:val="center"/>
                  </w:pPr>
                  <w: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9A1A">
                  <w:pPr>
                    <w:widowControl/>
                    <w:ind w:left="0" w:leftChars="0" w:right="0" w:rightChars="0" w:firstLine="0" w:firstLineChars="0"/>
                    <w:jc w:val="center"/>
                    <w:rPr>
                      <w:lang w:val="en-US" w:eastAsia="zh-CN"/>
                    </w:rPr>
                  </w:pPr>
                  <w:r>
                    <w:rPr>
                      <w:rFonts w:hint="eastAsia"/>
                    </w:rPr>
                    <w:t>废液泵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7D42E">
                  <w:pPr>
                    <w:widowControl/>
                    <w:ind w:left="0" w:leftChars="0" w:right="0" w:rightChars="0" w:firstLine="0" w:firstLineChars="0"/>
                    <w:jc w:val="center"/>
                    <w:rPr>
                      <w:lang w:val="en-US" w:eastAsia="zh-CN"/>
                    </w:rPr>
                  </w:pPr>
                  <w:r>
                    <w:rPr>
                      <w:rFonts w:hint="eastAsia"/>
                    </w:rPr>
                    <w:t>316L，F=10</w:t>
                  </w:r>
                  <w:r>
                    <w:t>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A9BDD">
                  <w:pPr>
                    <w:widowControl/>
                    <w:ind w:left="0" w:leftChars="0" w:right="0" w:rightChars="0" w:firstLine="0" w:firstLineChars="0"/>
                    <w:jc w:val="center"/>
                    <w:rPr>
                      <w:lang w:val="en-US" w:eastAsia="zh-CN"/>
                    </w:rPr>
                  </w:pPr>
                  <w:r>
                    <w:rPr>
                      <w:rFonts w:hint="eastAsia"/>
                    </w:rPr>
                    <w:t>2台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92EF7">
                  <w:pPr>
                    <w:widowControl/>
                    <w:ind w:left="0" w:leftChars="0" w:right="0" w:rightChars="0" w:firstLine="0" w:firstLineChars="0"/>
                    <w:jc w:val="center"/>
                    <w:rPr>
                      <w:rFonts w:hint="eastAsia"/>
                    </w:rPr>
                  </w:pPr>
                  <w:r>
                    <w:rPr>
                      <w:rFonts w:hint="eastAsia"/>
                      <w:lang w:val="en-US" w:eastAsia="zh-CN"/>
                    </w:rPr>
                    <w:t>外购</w:t>
                  </w:r>
                </w:p>
              </w:tc>
            </w:tr>
            <w:tr w14:paraId="195D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3EC2BB6D">
                  <w:pPr>
                    <w:widowControl/>
                    <w:ind w:left="0" w:leftChars="0" w:right="0" w:rightChars="0" w:firstLine="0" w:firstLineChars="0"/>
                    <w:jc w:val="center"/>
                  </w:pPr>
                  <w: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BD9F">
                  <w:pPr>
                    <w:widowControl/>
                    <w:ind w:left="0" w:leftChars="0" w:right="0" w:rightChars="0" w:firstLine="0" w:firstLineChars="0"/>
                    <w:jc w:val="center"/>
                    <w:rPr>
                      <w:lang w:val="en-US" w:eastAsia="zh-CN"/>
                    </w:rPr>
                  </w:pPr>
                  <w:r>
                    <w:rPr>
                      <w:rFonts w:hint="eastAsia"/>
                      <w:lang w:eastAsia="zh-CN"/>
                    </w:rPr>
                    <w:t>60醋酸</w:t>
                  </w:r>
                  <w:r>
                    <w:rPr>
                      <w:rFonts w:hint="eastAsia"/>
                    </w:rPr>
                    <w:t>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F981">
                  <w:pPr>
                    <w:widowControl/>
                    <w:ind w:left="0" w:leftChars="0" w:right="0" w:rightChars="0" w:firstLine="0" w:firstLineChars="0"/>
                    <w:jc w:val="center"/>
                    <w:rPr>
                      <w:lang w:val="en-US" w:eastAsia="zh-CN"/>
                    </w:rPr>
                  </w:pPr>
                  <w:r>
                    <w:rPr>
                      <w:rFonts w:hint="eastAsia"/>
                    </w:rPr>
                    <w:t>316L，F=0.5~2</w:t>
                  </w:r>
                  <w:r>
                    <w:t xml:space="preserve"> 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8DF57">
                  <w:pPr>
                    <w:widowControl/>
                    <w:ind w:left="0" w:leftChars="0" w:right="0" w:rightChars="0" w:firstLine="0" w:firstLineChars="0"/>
                    <w:jc w:val="center"/>
                    <w:rPr>
                      <w:lang w:val="en-US" w:eastAsia="zh-CN"/>
                    </w:rPr>
                  </w:pPr>
                  <w:r>
                    <w:rPr>
                      <w:rFonts w:hint="eastAsia"/>
                    </w:rPr>
                    <w:t>1开1备</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93D35">
                  <w:pPr>
                    <w:widowControl/>
                    <w:ind w:left="0" w:leftChars="0" w:right="0" w:rightChars="0" w:firstLine="0" w:firstLineChars="0"/>
                    <w:jc w:val="center"/>
                    <w:rPr>
                      <w:rFonts w:hint="eastAsia"/>
                    </w:rPr>
                  </w:pPr>
                  <w:r>
                    <w:rPr>
                      <w:rFonts w:hint="eastAsia"/>
                      <w:lang w:val="en-US" w:eastAsia="zh-CN"/>
                    </w:rPr>
                    <w:t>外购</w:t>
                  </w:r>
                </w:p>
              </w:tc>
            </w:tr>
            <w:tr w14:paraId="0F18B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60A7C21D">
                  <w:pPr>
                    <w:widowControl/>
                    <w:ind w:left="0" w:leftChars="0" w:right="0" w:rightChars="0" w:firstLine="0" w:firstLineChars="0"/>
                    <w:jc w:val="center"/>
                  </w:pPr>
                  <w:r>
                    <w:rPr>
                      <w:rFonts w:hint="eastAsia"/>
                    </w:rPr>
                    <w:t>4</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F38C3">
                  <w:pPr>
                    <w:widowControl/>
                    <w:ind w:left="0" w:leftChars="0" w:right="0" w:rightChars="0" w:firstLine="0" w:firstLineChars="0"/>
                    <w:jc w:val="center"/>
                    <w:rPr>
                      <w:lang w:val="en-US" w:eastAsia="zh-CN"/>
                    </w:rPr>
                  </w:pPr>
                  <w:r>
                    <w:rPr>
                      <w:rFonts w:hint="eastAsia"/>
                    </w:rPr>
                    <w:t>刮膜蒸发器</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B872F">
                  <w:pPr>
                    <w:widowControl/>
                    <w:ind w:left="0" w:leftChars="0" w:right="0" w:rightChars="0" w:firstLine="0" w:firstLineChars="0"/>
                    <w:jc w:val="center"/>
                    <w:rPr>
                      <w:lang w:val="en-US" w:eastAsia="zh-CN"/>
                    </w:rPr>
                  </w:pPr>
                  <w:r>
                    <w:rPr>
                      <w:rFonts w:hint="eastAsia"/>
                    </w:rPr>
                    <w:t>壳体锆材或哈氏C276，盘管或夹套304，Φ</w:t>
                  </w:r>
                  <w:r>
                    <w:t>400×2100</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CDE6">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513C4">
                  <w:pPr>
                    <w:widowControl/>
                    <w:ind w:left="0" w:leftChars="0" w:right="0" w:rightChars="0" w:firstLine="0" w:firstLineChars="0"/>
                    <w:jc w:val="center"/>
                    <w:rPr>
                      <w:rFonts w:hint="eastAsia"/>
                    </w:rPr>
                  </w:pPr>
                  <w:r>
                    <w:rPr>
                      <w:rFonts w:hint="eastAsia"/>
                      <w:lang w:val="en-US" w:eastAsia="zh-CN"/>
                    </w:rPr>
                    <w:t>外购</w:t>
                  </w:r>
                </w:p>
              </w:tc>
            </w:tr>
            <w:tr w14:paraId="2950D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02EC4682">
                  <w:pPr>
                    <w:widowControl/>
                    <w:ind w:left="0" w:leftChars="0" w:right="0" w:rightChars="0" w:firstLine="0" w:firstLineChars="0"/>
                    <w:jc w:val="center"/>
                  </w:pPr>
                  <w:r>
                    <w:rPr>
                      <w:rFonts w:hint="eastAsia"/>
                    </w:rPr>
                    <w:t>5</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9C88">
                  <w:pPr>
                    <w:widowControl/>
                    <w:ind w:left="0" w:leftChars="0" w:right="0" w:rightChars="0" w:firstLine="0" w:firstLineChars="0"/>
                    <w:jc w:val="center"/>
                    <w:rPr>
                      <w:lang w:val="en-US" w:eastAsia="zh-CN"/>
                    </w:rPr>
                  </w:pPr>
                  <w:r>
                    <w:rPr>
                      <w:rFonts w:hint="eastAsia"/>
                    </w:rPr>
                    <w:t>搅拌器</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4CA7">
                  <w:pPr>
                    <w:widowControl/>
                    <w:ind w:left="0" w:leftChars="0" w:right="0" w:rightChars="0" w:firstLine="0" w:firstLineChars="0"/>
                    <w:jc w:val="center"/>
                    <w:rPr>
                      <w:lang w:val="en-US" w:eastAsia="zh-CN"/>
                    </w:rPr>
                  </w:pPr>
                  <w:r>
                    <w:rPr>
                      <w:rFonts w:hint="eastAsia"/>
                    </w:rPr>
                    <w:t>锆材或哈氏C276</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FDB0">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4AEC8">
                  <w:pPr>
                    <w:widowControl/>
                    <w:ind w:left="0" w:leftChars="0" w:right="0" w:rightChars="0" w:firstLine="0" w:firstLineChars="0"/>
                    <w:jc w:val="center"/>
                    <w:rPr>
                      <w:rFonts w:hint="eastAsia"/>
                    </w:rPr>
                  </w:pPr>
                  <w:r>
                    <w:rPr>
                      <w:rFonts w:hint="eastAsia"/>
                      <w:lang w:val="en-US" w:eastAsia="zh-CN"/>
                    </w:rPr>
                    <w:t>外购</w:t>
                  </w:r>
                </w:p>
              </w:tc>
            </w:tr>
            <w:tr w14:paraId="68E5E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1E5DED31">
                  <w:pPr>
                    <w:widowControl/>
                    <w:ind w:left="0" w:leftChars="0" w:right="0" w:rightChars="0" w:firstLine="0" w:firstLineChars="0"/>
                    <w:jc w:val="center"/>
                  </w:pPr>
                  <w:r>
                    <w:rPr>
                      <w:rFonts w:hint="eastAsia"/>
                    </w:rPr>
                    <w:t>6</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08DD">
                  <w:pPr>
                    <w:widowControl/>
                    <w:ind w:left="0" w:leftChars="0" w:right="0" w:rightChars="0" w:firstLine="0" w:firstLineChars="0"/>
                    <w:jc w:val="center"/>
                    <w:rPr>
                      <w:lang w:val="en-US" w:eastAsia="zh-CN"/>
                    </w:rPr>
                  </w:pPr>
                  <w:r>
                    <w:rPr>
                      <w:rFonts w:hint="eastAsia"/>
                    </w:rPr>
                    <w:t>醋酸回收塔</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8BB0E">
                  <w:pPr>
                    <w:widowControl/>
                    <w:ind w:left="0" w:leftChars="0" w:right="0" w:rightChars="0" w:firstLine="0" w:firstLineChars="0"/>
                    <w:jc w:val="center"/>
                    <w:rPr>
                      <w:lang w:val="en-US" w:eastAsia="zh-CN"/>
                    </w:rPr>
                  </w:pPr>
                  <w:r>
                    <w:rPr>
                      <w:rFonts w:hint="eastAsia"/>
                    </w:rPr>
                    <w:t>Φ</w:t>
                  </w:r>
                  <w:r>
                    <w:t>400×12500，</w:t>
                  </w:r>
                  <w:r>
                    <w:rPr>
                      <w:rFonts w:hint="eastAsia"/>
                    </w:rPr>
                    <w:t>塔体316L，内件哈氏C276，规整丝网填料</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1B11">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9B477">
                  <w:pPr>
                    <w:widowControl/>
                    <w:ind w:left="0" w:leftChars="0" w:right="0" w:rightChars="0" w:firstLine="0" w:firstLineChars="0"/>
                    <w:jc w:val="center"/>
                    <w:rPr>
                      <w:rFonts w:hint="eastAsia"/>
                    </w:rPr>
                  </w:pPr>
                  <w:r>
                    <w:rPr>
                      <w:rFonts w:hint="eastAsia"/>
                      <w:lang w:val="en-US" w:eastAsia="zh-CN"/>
                    </w:rPr>
                    <w:t>外购</w:t>
                  </w:r>
                </w:p>
              </w:tc>
            </w:tr>
            <w:tr w14:paraId="3FE5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4B92A65D">
                  <w:pPr>
                    <w:widowControl/>
                    <w:ind w:left="0" w:leftChars="0" w:right="0" w:rightChars="0" w:firstLine="0" w:firstLineChars="0"/>
                    <w:jc w:val="center"/>
                  </w:pPr>
                  <w:r>
                    <w:rPr>
                      <w:rFonts w:hint="eastAsia"/>
                    </w:rPr>
                    <w:t>7</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7358">
                  <w:pPr>
                    <w:widowControl/>
                    <w:ind w:left="0" w:leftChars="0" w:right="0" w:rightChars="0" w:firstLine="0" w:firstLineChars="0"/>
                    <w:jc w:val="center"/>
                    <w:rPr>
                      <w:lang w:val="en-US" w:eastAsia="zh-CN"/>
                    </w:rPr>
                  </w:pPr>
                  <w:r>
                    <w:rPr>
                      <w:rFonts w:hint="eastAsia"/>
                    </w:rPr>
                    <w:t>醋酸回收塔冷凝器</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98FD">
                  <w:pPr>
                    <w:widowControl/>
                    <w:ind w:left="0" w:leftChars="0" w:right="0" w:rightChars="0" w:firstLine="0" w:firstLineChars="0"/>
                    <w:jc w:val="center"/>
                    <w:rPr>
                      <w:lang w:val="en-US" w:eastAsia="zh-CN"/>
                    </w:rPr>
                  </w:pPr>
                  <w:r>
                    <w:rPr>
                      <w:rFonts w:hint="eastAsia"/>
                    </w:rPr>
                    <w:t>316L</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F327">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8232F">
                  <w:pPr>
                    <w:widowControl/>
                    <w:ind w:left="0" w:leftChars="0" w:right="0" w:rightChars="0" w:firstLine="0" w:firstLineChars="0"/>
                    <w:jc w:val="center"/>
                    <w:rPr>
                      <w:rFonts w:hint="eastAsia"/>
                    </w:rPr>
                  </w:pPr>
                  <w:r>
                    <w:rPr>
                      <w:rFonts w:hint="eastAsia"/>
                      <w:lang w:val="en-US" w:eastAsia="zh-CN"/>
                    </w:rPr>
                    <w:t>外购</w:t>
                  </w:r>
                </w:p>
              </w:tc>
            </w:tr>
            <w:tr w14:paraId="162A8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122359CB">
                  <w:pPr>
                    <w:widowControl/>
                    <w:ind w:left="0" w:leftChars="0" w:right="0" w:rightChars="0" w:firstLine="0" w:firstLineChars="0"/>
                    <w:jc w:val="center"/>
                  </w:pPr>
                  <w:r>
                    <w:rPr>
                      <w:rFonts w:hint="eastAsia"/>
                    </w:rPr>
                    <w:t>8</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38D9">
                  <w:pPr>
                    <w:widowControl/>
                    <w:ind w:left="0" w:leftChars="0" w:right="0" w:rightChars="0" w:firstLine="0" w:firstLineChars="0"/>
                    <w:jc w:val="center"/>
                    <w:rPr>
                      <w:lang w:val="en-US" w:eastAsia="zh-CN"/>
                    </w:rPr>
                  </w:pPr>
                  <w:r>
                    <w:rPr>
                      <w:rFonts w:hint="eastAsia"/>
                    </w:rPr>
                    <w:t>醋酸回收塔再沸器</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9E661">
                  <w:pPr>
                    <w:widowControl/>
                    <w:ind w:left="0" w:leftChars="0" w:right="0" w:rightChars="0" w:firstLine="0" w:firstLineChars="0"/>
                    <w:jc w:val="center"/>
                    <w:rPr>
                      <w:lang w:val="en-US" w:eastAsia="zh-CN"/>
                    </w:rPr>
                  </w:pPr>
                  <w:r>
                    <w:rPr>
                      <w:rFonts w:hint="eastAsia"/>
                    </w:rPr>
                    <w:t>管侧锆材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A8B97">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7ADC">
                  <w:pPr>
                    <w:widowControl/>
                    <w:ind w:left="0" w:leftChars="0" w:right="0" w:rightChars="0" w:firstLine="0" w:firstLineChars="0"/>
                    <w:jc w:val="center"/>
                    <w:rPr>
                      <w:rFonts w:hint="eastAsia"/>
                    </w:rPr>
                  </w:pPr>
                  <w:r>
                    <w:rPr>
                      <w:rFonts w:hint="eastAsia"/>
                      <w:lang w:val="en-US" w:eastAsia="zh-CN"/>
                    </w:rPr>
                    <w:t>外购</w:t>
                  </w:r>
                </w:p>
              </w:tc>
            </w:tr>
            <w:tr w14:paraId="004D0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605D9062">
                  <w:pPr>
                    <w:widowControl/>
                    <w:ind w:left="0" w:leftChars="0" w:right="0" w:rightChars="0" w:firstLine="0" w:firstLineChars="0"/>
                    <w:jc w:val="center"/>
                  </w:pPr>
                  <w:r>
                    <w:rPr>
                      <w:rFonts w:hint="eastAsia"/>
                    </w:rPr>
                    <w:t>9</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0C07D">
                  <w:pPr>
                    <w:widowControl/>
                    <w:ind w:left="0" w:leftChars="0" w:right="0" w:rightChars="0" w:firstLine="0" w:firstLineChars="0"/>
                    <w:jc w:val="center"/>
                    <w:rPr>
                      <w:lang w:val="en-US" w:eastAsia="zh-CN"/>
                    </w:rPr>
                  </w:pPr>
                  <w:r>
                    <w:rPr>
                      <w:rFonts w:hint="eastAsia"/>
                    </w:rPr>
                    <w:t>醋酸回收塔回流槽</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E1BA2">
                  <w:pPr>
                    <w:widowControl/>
                    <w:ind w:left="0" w:leftChars="0" w:right="0" w:rightChars="0" w:firstLine="0" w:firstLineChars="0"/>
                    <w:jc w:val="center"/>
                    <w:rPr>
                      <w:lang w:val="en-US" w:eastAsia="zh-CN"/>
                    </w:rPr>
                  </w:pPr>
                  <w:r>
                    <w:rPr>
                      <w:rFonts w:hint="eastAsia"/>
                    </w:rPr>
                    <w:t>316L，Φ</w:t>
                  </w:r>
                  <w:r>
                    <w:t>700×1000，V=0.5m</w:t>
                  </w:r>
                  <w:r>
                    <w:rPr>
                      <w:vertAlign w:val="superscript"/>
                    </w:rPr>
                    <w:t>3</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6868">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4FD1">
                  <w:pPr>
                    <w:widowControl/>
                    <w:ind w:left="0" w:leftChars="0" w:right="0" w:rightChars="0" w:firstLine="0" w:firstLineChars="0"/>
                    <w:jc w:val="center"/>
                    <w:rPr>
                      <w:rFonts w:hint="eastAsia"/>
                    </w:rPr>
                  </w:pPr>
                  <w:r>
                    <w:rPr>
                      <w:rFonts w:hint="eastAsia"/>
                      <w:lang w:val="en-US" w:eastAsia="zh-CN"/>
                    </w:rPr>
                    <w:t>外购</w:t>
                  </w:r>
                </w:p>
              </w:tc>
            </w:tr>
            <w:tr w14:paraId="16C13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3ED5C31A">
                  <w:pPr>
                    <w:widowControl/>
                    <w:ind w:left="0" w:leftChars="0" w:right="0" w:rightChars="0" w:firstLine="0" w:firstLineChars="0"/>
                    <w:jc w:val="center"/>
                  </w:pPr>
                  <w:r>
                    <w:rPr>
                      <w:rFonts w:hint="eastAsia"/>
                    </w:rPr>
                    <w:t>1</w:t>
                  </w:r>
                  <w:r>
                    <w:t>0</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D362">
                  <w:pPr>
                    <w:widowControl/>
                    <w:ind w:left="0" w:leftChars="0" w:right="0" w:rightChars="0" w:firstLine="0" w:firstLineChars="0"/>
                    <w:jc w:val="center"/>
                    <w:rPr>
                      <w:lang w:val="en-US" w:eastAsia="zh-CN"/>
                    </w:rPr>
                  </w:pPr>
                  <w:r>
                    <w:rPr>
                      <w:rFonts w:hint="eastAsia"/>
                    </w:rPr>
                    <w:t>醋酸回收塔回流泵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E8074">
                  <w:pPr>
                    <w:widowControl/>
                    <w:ind w:left="0" w:leftChars="0" w:right="0" w:rightChars="0" w:firstLine="0" w:firstLineChars="0"/>
                    <w:jc w:val="center"/>
                    <w:rPr>
                      <w:lang w:val="en-US" w:eastAsia="zh-CN"/>
                    </w:rPr>
                  </w:pPr>
                  <w:r>
                    <w:rPr>
                      <w:rFonts w:hint="eastAsia"/>
                    </w:rPr>
                    <w:t>316L，F=0.</w:t>
                  </w:r>
                  <w:r>
                    <w:t>7 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30FF">
                  <w:pPr>
                    <w:widowControl/>
                    <w:ind w:left="0" w:leftChars="0" w:right="0" w:rightChars="0" w:firstLine="0" w:firstLineChars="0"/>
                    <w:jc w:val="center"/>
                    <w:rPr>
                      <w:lang w:val="en-US" w:eastAsia="zh-CN"/>
                    </w:rPr>
                  </w:pPr>
                  <w:r>
                    <w:rPr>
                      <w:rFonts w:hint="eastAsia"/>
                    </w:rPr>
                    <w:t>1开1备</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EA226">
                  <w:pPr>
                    <w:widowControl/>
                    <w:ind w:left="0" w:leftChars="0" w:right="0" w:rightChars="0" w:firstLine="0" w:firstLineChars="0"/>
                    <w:jc w:val="center"/>
                    <w:rPr>
                      <w:rFonts w:hint="eastAsia"/>
                    </w:rPr>
                  </w:pPr>
                  <w:r>
                    <w:rPr>
                      <w:rFonts w:hint="eastAsia"/>
                      <w:lang w:val="en-US" w:eastAsia="zh-CN"/>
                    </w:rPr>
                    <w:t>外购</w:t>
                  </w:r>
                </w:p>
              </w:tc>
            </w:tr>
            <w:tr w14:paraId="6045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59D5BECE">
                  <w:pPr>
                    <w:widowControl/>
                    <w:ind w:left="0" w:leftChars="0" w:right="0" w:rightChars="0" w:firstLine="0" w:firstLineChars="0"/>
                    <w:jc w:val="center"/>
                  </w:pPr>
                  <w:r>
                    <w:rPr>
                      <w:rFonts w:hint="eastAsia"/>
                    </w:rPr>
                    <w:t>1</w:t>
                  </w:r>
                  <w:r>
                    <w:t>1</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EF09C">
                  <w:pPr>
                    <w:widowControl/>
                    <w:ind w:left="0" w:leftChars="0" w:right="0" w:rightChars="0" w:firstLine="0" w:firstLineChars="0"/>
                    <w:jc w:val="center"/>
                    <w:rPr>
                      <w:lang w:val="en-US" w:eastAsia="zh-CN"/>
                    </w:rPr>
                  </w:pPr>
                  <w:r>
                    <w:rPr>
                      <w:rFonts w:hint="eastAsia"/>
                    </w:rPr>
                    <w:t>醋酸回收塔出料泵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B24C">
                  <w:pPr>
                    <w:widowControl/>
                    <w:ind w:left="0" w:leftChars="0" w:right="0" w:rightChars="0" w:firstLine="0" w:firstLineChars="0"/>
                    <w:jc w:val="center"/>
                    <w:rPr>
                      <w:lang w:val="en-US" w:eastAsia="zh-CN"/>
                    </w:rPr>
                  </w:pPr>
                  <w:r>
                    <w:rPr>
                      <w:rFonts w:hint="eastAsia"/>
                    </w:rPr>
                    <w:t>316L，F=0.1</w:t>
                  </w:r>
                  <w:r>
                    <w:t xml:space="preserve"> 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5CAC3">
                  <w:pPr>
                    <w:widowControl/>
                    <w:ind w:left="0" w:leftChars="0" w:right="0" w:rightChars="0" w:firstLine="0" w:firstLineChars="0"/>
                    <w:jc w:val="center"/>
                    <w:rPr>
                      <w:lang w:val="en-US" w:eastAsia="zh-CN"/>
                    </w:rPr>
                  </w:pPr>
                  <w:r>
                    <w:rPr>
                      <w:rFonts w:hint="eastAsia"/>
                    </w:rPr>
                    <w:t>1开1备</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255C">
                  <w:pPr>
                    <w:widowControl/>
                    <w:ind w:left="0" w:leftChars="0" w:right="0" w:rightChars="0" w:firstLine="0" w:firstLineChars="0"/>
                    <w:jc w:val="center"/>
                    <w:rPr>
                      <w:rFonts w:hint="eastAsia"/>
                    </w:rPr>
                  </w:pPr>
                  <w:r>
                    <w:rPr>
                      <w:rFonts w:hint="eastAsia"/>
                      <w:lang w:val="en-US" w:eastAsia="zh-CN"/>
                    </w:rPr>
                    <w:t>外购</w:t>
                  </w:r>
                </w:p>
              </w:tc>
            </w:tr>
            <w:tr w14:paraId="641C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18ECC7E8">
                  <w:pPr>
                    <w:widowControl/>
                    <w:ind w:left="0" w:leftChars="0" w:right="0" w:rightChars="0" w:firstLine="0" w:firstLineChars="0"/>
                    <w:jc w:val="center"/>
                  </w:pPr>
                  <w:r>
                    <w:rPr>
                      <w:rFonts w:hint="eastAsia"/>
                    </w:rPr>
                    <w:t>1</w:t>
                  </w:r>
                  <w: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C311">
                  <w:pPr>
                    <w:widowControl/>
                    <w:ind w:left="0" w:leftChars="0" w:right="0" w:rightChars="0" w:firstLine="0" w:firstLineChars="0"/>
                    <w:jc w:val="center"/>
                    <w:rPr>
                      <w:lang w:val="en-US" w:eastAsia="zh-CN"/>
                    </w:rPr>
                  </w:pPr>
                  <w:r>
                    <w:rPr>
                      <w:rFonts w:hint="eastAsia"/>
                    </w:rPr>
                    <w:t>丙酸精制塔</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58D5">
                  <w:pPr>
                    <w:widowControl/>
                    <w:ind w:left="0" w:leftChars="0" w:right="0" w:rightChars="0" w:firstLine="0" w:firstLineChars="0"/>
                    <w:jc w:val="center"/>
                    <w:rPr>
                      <w:lang w:val="en-US" w:eastAsia="zh-CN"/>
                    </w:rPr>
                  </w:pPr>
                  <w:r>
                    <w:rPr>
                      <w:rFonts w:hint="eastAsia"/>
                    </w:rPr>
                    <w:t>Φ</w:t>
                  </w:r>
                  <w:r>
                    <w:t>219×10000，</w:t>
                  </w:r>
                  <w:r>
                    <w:rPr>
                      <w:rFonts w:hint="eastAsia"/>
                    </w:rPr>
                    <w:t>塔体316L，内件哈氏C276，陶瓷矩鞍环填料</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9DB6">
                  <w:pPr>
                    <w:widowControl/>
                    <w:ind w:left="0" w:leftChars="0" w:right="0" w:rightChars="0" w:firstLine="0" w:firstLineChars="0"/>
                    <w:jc w:val="center"/>
                    <w:rPr>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00C65">
                  <w:pPr>
                    <w:widowControl/>
                    <w:ind w:left="0" w:leftChars="0" w:right="0" w:rightChars="0" w:firstLine="0" w:firstLineChars="0"/>
                    <w:jc w:val="center"/>
                    <w:rPr>
                      <w:rFonts w:hint="eastAsia"/>
                    </w:rPr>
                  </w:pPr>
                  <w:r>
                    <w:rPr>
                      <w:rFonts w:hint="eastAsia"/>
                      <w:lang w:val="en-US" w:eastAsia="zh-CN"/>
                    </w:rPr>
                    <w:t>外购</w:t>
                  </w:r>
                </w:p>
              </w:tc>
            </w:tr>
            <w:tr w14:paraId="28E89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66CA05C7">
                  <w:pPr>
                    <w:widowControl/>
                    <w:ind w:left="0" w:leftChars="0" w:right="0" w:rightChars="0" w:firstLine="0" w:firstLineChars="0"/>
                    <w:jc w:val="center"/>
                  </w:pPr>
                  <w:r>
                    <w:rPr>
                      <w:rFonts w:hint="eastAsia"/>
                    </w:rPr>
                    <w:t>1</w:t>
                  </w:r>
                  <w:r>
                    <w:t>3</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111D2">
                  <w:pPr>
                    <w:widowControl/>
                    <w:ind w:left="0" w:leftChars="0" w:right="0" w:rightChars="0" w:firstLine="0" w:firstLineChars="0"/>
                    <w:jc w:val="center"/>
                    <w:rPr>
                      <w:rFonts w:hint="eastAsia"/>
                      <w:lang w:val="en-US" w:eastAsia="zh-CN"/>
                    </w:rPr>
                  </w:pPr>
                  <w:r>
                    <w:rPr>
                      <w:rFonts w:hint="eastAsia"/>
                    </w:rPr>
                    <w:t>丙酸精制塔再沸器</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8BEC">
                  <w:pPr>
                    <w:widowControl/>
                    <w:ind w:left="0" w:leftChars="0" w:right="0" w:rightChars="0" w:firstLine="0" w:firstLineChars="0"/>
                    <w:jc w:val="center"/>
                    <w:rPr>
                      <w:lang w:val="en-US" w:eastAsia="zh-CN"/>
                    </w:rPr>
                  </w:pPr>
                  <w:r>
                    <w:rPr>
                      <w:rFonts w:hint="eastAsia"/>
                    </w:rPr>
                    <w:t>管侧锆材</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ED1C8">
                  <w:pPr>
                    <w:widowControl/>
                    <w:ind w:left="0" w:leftChars="0" w:right="0" w:rightChars="0" w:firstLine="0" w:firstLineChars="0"/>
                    <w:jc w:val="center"/>
                    <w:rPr>
                      <w:rFonts w:hint="eastAsia"/>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6F01">
                  <w:pPr>
                    <w:widowControl/>
                    <w:ind w:left="0" w:leftChars="0" w:right="0" w:rightChars="0" w:firstLine="0" w:firstLineChars="0"/>
                    <w:jc w:val="center"/>
                    <w:rPr>
                      <w:rFonts w:hint="eastAsia"/>
                    </w:rPr>
                  </w:pPr>
                  <w:r>
                    <w:rPr>
                      <w:rFonts w:hint="eastAsia"/>
                      <w:lang w:val="en-US" w:eastAsia="zh-CN"/>
                    </w:rPr>
                    <w:t>外购</w:t>
                  </w:r>
                </w:p>
              </w:tc>
            </w:tr>
            <w:tr w14:paraId="640FC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7C6851ED">
                  <w:pPr>
                    <w:widowControl/>
                    <w:ind w:left="0" w:leftChars="0" w:right="0" w:rightChars="0" w:firstLine="0" w:firstLineChars="0"/>
                    <w:jc w:val="center"/>
                  </w:pPr>
                  <w:r>
                    <w:rPr>
                      <w:rFonts w:hint="eastAsia"/>
                    </w:rPr>
                    <w:t>1</w:t>
                  </w:r>
                  <w:r>
                    <w:t>4</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F107">
                  <w:pPr>
                    <w:widowControl/>
                    <w:ind w:left="0" w:leftChars="0" w:right="0" w:rightChars="0" w:firstLine="0" w:firstLineChars="0"/>
                    <w:jc w:val="center"/>
                    <w:rPr>
                      <w:rFonts w:hint="eastAsia"/>
                      <w:lang w:val="en-US" w:eastAsia="zh-CN"/>
                    </w:rPr>
                  </w:pPr>
                  <w:r>
                    <w:rPr>
                      <w:rFonts w:hint="eastAsia"/>
                    </w:rPr>
                    <w:t>丙酸精制塔回流槽</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A8A6F">
                  <w:pPr>
                    <w:widowControl/>
                    <w:ind w:left="0" w:leftChars="0" w:right="0" w:rightChars="0" w:firstLine="0" w:firstLineChars="0"/>
                    <w:jc w:val="center"/>
                    <w:rPr>
                      <w:rFonts w:hint="eastAsia"/>
                      <w:lang w:val="en-US" w:eastAsia="zh-CN"/>
                    </w:rPr>
                  </w:pPr>
                  <w:r>
                    <w:rPr>
                      <w:rFonts w:hint="eastAsia"/>
                    </w:rPr>
                    <w:t>316L，Φ</w:t>
                  </w:r>
                  <w:r>
                    <w:t>700×1000，V=0.5m</w:t>
                  </w:r>
                  <w:r>
                    <w:rPr>
                      <w:vertAlign w:val="superscript"/>
                    </w:rPr>
                    <w:t>3</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92632">
                  <w:pPr>
                    <w:widowControl/>
                    <w:ind w:left="0" w:leftChars="0" w:right="0" w:rightChars="0" w:firstLine="0" w:firstLineChars="0"/>
                    <w:jc w:val="center"/>
                    <w:rPr>
                      <w:rFonts w:hint="eastAsia"/>
                      <w:lang w:val="en-US" w:eastAsia="zh-CN"/>
                    </w:rPr>
                  </w:pPr>
                  <w:r>
                    <w:rPr>
                      <w:rFonts w:hint="eastAsia"/>
                    </w:rPr>
                    <w:t>1台</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AFE39">
                  <w:pPr>
                    <w:widowControl/>
                    <w:ind w:left="0" w:leftChars="0" w:right="0" w:rightChars="0" w:firstLine="0" w:firstLineChars="0"/>
                    <w:jc w:val="center"/>
                    <w:rPr>
                      <w:rFonts w:hint="eastAsia"/>
                    </w:rPr>
                  </w:pPr>
                  <w:r>
                    <w:rPr>
                      <w:rFonts w:hint="eastAsia"/>
                      <w:lang w:val="en-US" w:eastAsia="zh-CN"/>
                    </w:rPr>
                    <w:t>外购</w:t>
                  </w:r>
                </w:p>
              </w:tc>
            </w:tr>
            <w:tr w14:paraId="5FC04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2D6FDD74">
                  <w:pPr>
                    <w:widowControl/>
                    <w:ind w:left="0" w:leftChars="0" w:right="0" w:rightChars="0" w:firstLine="0" w:firstLineChars="0"/>
                    <w:jc w:val="center"/>
                  </w:pPr>
                  <w:r>
                    <w:rPr>
                      <w:rFonts w:hint="eastAsia"/>
                    </w:rPr>
                    <w:t>1</w:t>
                  </w:r>
                  <w:r>
                    <w:t>5</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9E46">
                  <w:pPr>
                    <w:widowControl/>
                    <w:ind w:left="0" w:leftChars="0" w:right="0" w:rightChars="0" w:firstLine="0" w:firstLineChars="0"/>
                    <w:jc w:val="center"/>
                    <w:rPr>
                      <w:lang w:val="en-US" w:eastAsia="zh-CN"/>
                    </w:rPr>
                  </w:pPr>
                  <w:r>
                    <w:rPr>
                      <w:rFonts w:hint="eastAsia"/>
                    </w:rPr>
                    <w:t>丙酸精制塔出料泵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CA0F">
                  <w:pPr>
                    <w:widowControl/>
                    <w:ind w:left="0" w:leftChars="0" w:right="0" w:rightChars="0" w:firstLine="0" w:firstLineChars="0"/>
                    <w:jc w:val="center"/>
                    <w:rPr>
                      <w:lang w:val="en-US" w:eastAsia="zh-CN"/>
                    </w:rPr>
                  </w:pPr>
                  <w:r>
                    <w:rPr>
                      <w:rFonts w:hint="eastAsia"/>
                    </w:rPr>
                    <w:t>316L，F=0.1</w:t>
                  </w:r>
                  <w:r>
                    <w:t>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1AE03">
                  <w:pPr>
                    <w:widowControl/>
                    <w:ind w:left="0" w:leftChars="0" w:right="0" w:rightChars="0" w:firstLine="0" w:firstLineChars="0"/>
                    <w:jc w:val="center"/>
                    <w:rPr>
                      <w:lang w:val="en-US" w:eastAsia="zh-CN"/>
                    </w:rPr>
                  </w:pPr>
                  <w:r>
                    <w:rPr>
                      <w:rFonts w:hint="eastAsia"/>
                    </w:rPr>
                    <w:t>1开1备</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91748">
                  <w:pPr>
                    <w:widowControl/>
                    <w:ind w:left="0" w:leftChars="0" w:right="0" w:rightChars="0" w:firstLine="0" w:firstLineChars="0"/>
                    <w:jc w:val="center"/>
                    <w:rPr>
                      <w:rFonts w:hint="eastAsia"/>
                    </w:rPr>
                  </w:pPr>
                  <w:r>
                    <w:rPr>
                      <w:rFonts w:hint="eastAsia"/>
                      <w:lang w:val="en-US" w:eastAsia="zh-CN"/>
                    </w:rPr>
                    <w:t>外购</w:t>
                  </w:r>
                </w:p>
              </w:tc>
            </w:tr>
            <w:tr w14:paraId="11E43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tcBorders>
                    <w:top w:val="single" w:color="000000" w:sz="4" w:space="0"/>
                    <w:left w:val="single" w:color="000000" w:sz="4" w:space="0"/>
                    <w:bottom w:val="single" w:color="000000" w:sz="4" w:space="0"/>
                    <w:right w:val="single" w:color="000000" w:sz="4" w:space="0"/>
                  </w:tcBorders>
                  <w:vAlign w:val="center"/>
                </w:tcPr>
                <w:p w14:paraId="3B832941">
                  <w:pPr>
                    <w:widowControl/>
                    <w:ind w:left="0" w:leftChars="0" w:right="0" w:rightChars="0" w:firstLine="0" w:firstLineChars="0"/>
                    <w:jc w:val="center"/>
                  </w:pPr>
                  <w:r>
                    <w:rPr>
                      <w:rFonts w:hint="eastAsia"/>
                    </w:rPr>
                    <w:t>1</w:t>
                  </w:r>
                  <w:r>
                    <w:t>6</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4A9A">
                  <w:pPr>
                    <w:widowControl/>
                    <w:ind w:left="0" w:leftChars="0" w:right="0" w:rightChars="0" w:firstLine="0" w:firstLineChars="0"/>
                    <w:jc w:val="center"/>
                    <w:rPr>
                      <w:rFonts w:hint="eastAsia"/>
                      <w:lang w:val="en-US" w:eastAsia="zh-CN"/>
                    </w:rPr>
                  </w:pPr>
                  <w:r>
                    <w:rPr>
                      <w:rFonts w:hint="eastAsia"/>
                    </w:rPr>
                    <w:t>丙酸精制塔回流泵</w:t>
                  </w:r>
                </w:p>
              </w:tc>
              <w:tc>
                <w:tcPr>
                  <w:tcW w:w="1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8920">
                  <w:pPr>
                    <w:widowControl/>
                    <w:ind w:left="0" w:leftChars="0" w:right="0" w:rightChars="0" w:firstLine="0" w:firstLineChars="0"/>
                    <w:jc w:val="center"/>
                    <w:rPr>
                      <w:lang w:val="en-US" w:eastAsia="zh-CN"/>
                    </w:rPr>
                  </w:pPr>
                  <w:r>
                    <w:rPr>
                      <w:rFonts w:hint="eastAsia"/>
                    </w:rPr>
                    <w:t>316L，F=0.1</w:t>
                  </w:r>
                  <w:r>
                    <w:t>m</w:t>
                  </w:r>
                  <w:r>
                    <w:rPr>
                      <w:vertAlign w:val="superscript"/>
                    </w:rPr>
                    <w:t>3</w:t>
                  </w:r>
                  <w:r>
                    <w:t>/h</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1321">
                  <w:pPr>
                    <w:widowControl/>
                    <w:ind w:left="0" w:leftChars="0" w:right="0" w:rightChars="0" w:firstLine="0" w:firstLineChars="0"/>
                    <w:jc w:val="center"/>
                    <w:rPr>
                      <w:lang w:val="en-US" w:eastAsia="zh-CN"/>
                    </w:rPr>
                  </w:pPr>
                  <w:r>
                    <w:rPr>
                      <w:rFonts w:hint="eastAsia"/>
                    </w:rPr>
                    <w:t>1开1备</w:t>
                  </w:r>
                </w:p>
              </w:tc>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2C220">
                  <w:pPr>
                    <w:widowControl/>
                    <w:ind w:left="0" w:leftChars="0" w:right="0" w:rightChars="0" w:firstLine="0" w:firstLineChars="0"/>
                    <w:jc w:val="center"/>
                    <w:rPr>
                      <w:rFonts w:hint="eastAsia"/>
                    </w:rPr>
                  </w:pPr>
                  <w:r>
                    <w:rPr>
                      <w:rFonts w:hint="eastAsia"/>
                      <w:lang w:val="en-US" w:eastAsia="zh-CN"/>
                    </w:rPr>
                    <w:t>外购</w:t>
                  </w:r>
                </w:p>
              </w:tc>
            </w:tr>
            <w:tr w14:paraId="32A4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71D1A90E">
                  <w:pPr>
                    <w:widowControl/>
                    <w:ind w:left="0" w:leftChars="0" w:right="0" w:rightChars="0" w:firstLine="0" w:firstLineChars="0"/>
                    <w:jc w:val="center"/>
                    <w:rPr>
                      <w:rFonts w:hint="default" w:eastAsia="宋体"/>
                      <w:lang w:val="en-US" w:eastAsia="zh-CN"/>
                    </w:rPr>
                  </w:pPr>
                  <w:r>
                    <w:rPr>
                      <w:rFonts w:hint="eastAsia"/>
                      <w:lang w:val="en-US" w:eastAsia="zh-CN"/>
                    </w:rPr>
                    <w:t>17</w:t>
                  </w:r>
                </w:p>
              </w:tc>
              <w:tc>
                <w:tcPr>
                  <w:tcW w:w="1199" w:type="pct"/>
                  <w:shd w:val="clear" w:color="auto" w:fill="auto"/>
                  <w:vAlign w:val="center"/>
                </w:tcPr>
                <w:p w14:paraId="77605E3C">
                  <w:pPr>
                    <w:widowControl/>
                    <w:ind w:left="0" w:leftChars="0" w:right="0" w:rightChars="0" w:firstLine="0" w:firstLineChars="0"/>
                    <w:jc w:val="center"/>
                    <w:rPr>
                      <w:lang w:val="en-US" w:eastAsia="zh-CN"/>
                    </w:rPr>
                  </w:pPr>
                  <w:r>
                    <w:rPr>
                      <w:rFonts w:hint="eastAsia"/>
                    </w:rPr>
                    <w:t>真空泵</w:t>
                  </w:r>
                </w:p>
              </w:tc>
              <w:tc>
                <w:tcPr>
                  <w:tcW w:w="1955" w:type="pct"/>
                  <w:shd w:val="clear" w:color="auto" w:fill="auto"/>
                  <w:vAlign w:val="center"/>
                </w:tcPr>
                <w:p w14:paraId="65E4B09F">
                  <w:pPr>
                    <w:widowControl/>
                    <w:ind w:left="0" w:leftChars="0" w:right="0" w:rightChars="0" w:firstLine="0" w:firstLineChars="0"/>
                    <w:jc w:val="center"/>
                    <w:rPr>
                      <w:lang w:val="en-US" w:eastAsia="zh-CN"/>
                    </w:rPr>
                  </w:pPr>
                  <w:r>
                    <w:rPr>
                      <w:rFonts w:hint="eastAsia"/>
                    </w:rPr>
                    <w:t>316L，F=10N</w:t>
                  </w:r>
                  <w:r>
                    <w:t>m</w:t>
                  </w:r>
                  <w:r>
                    <w:rPr>
                      <w:vertAlign w:val="superscript"/>
                    </w:rPr>
                    <w:t>3</w:t>
                  </w:r>
                  <w:r>
                    <w:t>/h</w:t>
                  </w:r>
                </w:p>
              </w:tc>
              <w:tc>
                <w:tcPr>
                  <w:tcW w:w="749" w:type="pct"/>
                  <w:shd w:val="clear" w:color="auto" w:fill="auto"/>
                  <w:vAlign w:val="center"/>
                </w:tcPr>
                <w:p w14:paraId="4BAC1761">
                  <w:pPr>
                    <w:widowControl/>
                    <w:ind w:left="0" w:leftChars="0" w:right="0" w:rightChars="0" w:firstLine="0" w:firstLineChars="0"/>
                    <w:jc w:val="center"/>
                    <w:rPr>
                      <w:lang w:val="en-US" w:eastAsia="zh-CN"/>
                    </w:rPr>
                  </w:pPr>
                  <w:r>
                    <w:rPr>
                      <w:rFonts w:hint="eastAsia"/>
                    </w:rPr>
                    <w:t>1开1备</w:t>
                  </w:r>
                </w:p>
              </w:tc>
              <w:tc>
                <w:tcPr>
                  <w:tcW w:w="749" w:type="pct"/>
                  <w:shd w:val="clear" w:color="auto" w:fill="auto"/>
                  <w:vAlign w:val="center"/>
                </w:tcPr>
                <w:p w14:paraId="0C2FF5FD">
                  <w:pPr>
                    <w:widowControl/>
                    <w:ind w:left="0" w:leftChars="0" w:right="0" w:rightChars="0" w:firstLine="0" w:firstLineChars="0"/>
                    <w:jc w:val="center"/>
                    <w:rPr>
                      <w:rFonts w:hint="eastAsia"/>
                    </w:rPr>
                  </w:pPr>
                  <w:r>
                    <w:rPr>
                      <w:rFonts w:hint="eastAsia"/>
                      <w:lang w:val="en-US" w:eastAsia="zh-CN"/>
                    </w:rPr>
                    <w:t>外购</w:t>
                  </w:r>
                </w:p>
              </w:tc>
            </w:tr>
            <w:tr w14:paraId="50711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0CE26B4B">
                  <w:pPr>
                    <w:widowControl/>
                    <w:ind w:left="0" w:leftChars="0" w:right="0" w:rightChars="0" w:firstLine="0" w:firstLineChars="0"/>
                    <w:jc w:val="center"/>
                    <w:rPr>
                      <w:rFonts w:hint="default" w:eastAsia="宋体"/>
                      <w:lang w:val="en-US" w:eastAsia="zh-CN"/>
                    </w:rPr>
                  </w:pPr>
                  <w:r>
                    <w:rPr>
                      <w:rFonts w:hint="eastAsia"/>
                      <w:lang w:val="en-US" w:eastAsia="zh-CN"/>
                    </w:rPr>
                    <w:t>18</w:t>
                  </w:r>
                </w:p>
              </w:tc>
              <w:tc>
                <w:tcPr>
                  <w:tcW w:w="1199" w:type="pct"/>
                  <w:shd w:val="clear" w:color="auto" w:fill="auto"/>
                  <w:vAlign w:val="center"/>
                </w:tcPr>
                <w:p w14:paraId="69CF2244">
                  <w:pPr>
                    <w:widowControl/>
                    <w:ind w:left="0" w:leftChars="0" w:right="0" w:rightChars="0" w:firstLine="0" w:firstLineChars="0"/>
                    <w:jc w:val="center"/>
                    <w:rPr>
                      <w:rFonts w:hint="eastAsia"/>
                      <w:lang w:val="en-US" w:eastAsia="zh-CN"/>
                    </w:rPr>
                  </w:pPr>
                  <w:r>
                    <w:rPr>
                      <w:rFonts w:hint="eastAsia"/>
                    </w:rPr>
                    <w:t>真空泵冷凝器</w:t>
                  </w:r>
                </w:p>
              </w:tc>
              <w:tc>
                <w:tcPr>
                  <w:tcW w:w="1955" w:type="pct"/>
                  <w:shd w:val="clear" w:color="auto" w:fill="auto"/>
                  <w:vAlign w:val="center"/>
                </w:tcPr>
                <w:p w14:paraId="6111F618">
                  <w:pPr>
                    <w:widowControl/>
                    <w:ind w:left="0" w:leftChars="0" w:right="0" w:rightChars="0" w:firstLine="0" w:firstLineChars="0"/>
                    <w:jc w:val="center"/>
                    <w:rPr>
                      <w:rFonts w:hint="eastAsia"/>
                      <w:lang w:val="en-US" w:eastAsia="zh-CN"/>
                    </w:rPr>
                  </w:pPr>
                  <w:r>
                    <w:rPr>
                      <w:rFonts w:hint="eastAsia"/>
                    </w:rPr>
                    <w:t>316L，A=~1m</w:t>
                  </w:r>
                  <w:r>
                    <w:rPr>
                      <w:rFonts w:hint="eastAsia"/>
                      <w:vertAlign w:val="superscript"/>
                    </w:rPr>
                    <w:t>2</w:t>
                  </w:r>
                </w:p>
              </w:tc>
              <w:tc>
                <w:tcPr>
                  <w:tcW w:w="749" w:type="pct"/>
                  <w:shd w:val="clear" w:color="auto" w:fill="auto"/>
                  <w:vAlign w:val="center"/>
                </w:tcPr>
                <w:p w14:paraId="007D4AD6">
                  <w:pPr>
                    <w:widowControl/>
                    <w:ind w:left="0" w:leftChars="0" w:right="0" w:rightChars="0" w:firstLine="0" w:firstLineChars="0"/>
                    <w:jc w:val="center"/>
                    <w:rPr>
                      <w:rFonts w:hint="eastAsia"/>
                      <w:lang w:val="en-US" w:eastAsia="zh-CN"/>
                    </w:rPr>
                  </w:pPr>
                  <w:r>
                    <w:rPr>
                      <w:rFonts w:hint="eastAsia"/>
                    </w:rPr>
                    <w:t>1台</w:t>
                  </w:r>
                </w:p>
              </w:tc>
              <w:tc>
                <w:tcPr>
                  <w:tcW w:w="749" w:type="pct"/>
                  <w:shd w:val="clear" w:color="auto" w:fill="auto"/>
                  <w:vAlign w:val="center"/>
                </w:tcPr>
                <w:p w14:paraId="629DA2E1">
                  <w:pPr>
                    <w:widowControl/>
                    <w:ind w:left="0" w:leftChars="0" w:right="0" w:rightChars="0" w:firstLine="0" w:firstLineChars="0"/>
                    <w:jc w:val="center"/>
                    <w:rPr>
                      <w:rFonts w:hint="eastAsia"/>
                    </w:rPr>
                  </w:pPr>
                  <w:r>
                    <w:rPr>
                      <w:rFonts w:hint="eastAsia"/>
                      <w:lang w:val="en-US" w:eastAsia="zh-CN"/>
                    </w:rPr>
                    <w:t>外购</w:t>
                  </w:r>
                </w:p>
              </w:tc>
            </w:tr>
            <w:tr w14:paraId="6E357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7C4879B4">
                  <w:pPr>
                    <w:widowControl/>
                    <w:ind w:left="0" w:leftChars="0" w:right="0" w:rightChars="0" w:firstLine="0" w:firstLineChars="0"/>
                    <w:jc w:val="center"/>
                    <w:rPr>
                      <w:rFonts w:hint="default" w:eastAsia="宋体"/>
                      <w:lang w:val="en-US" w:eastAsia="zh-CN"/>
                    </w:rPr>
                  </w:pPr>
                  <w:r>
                    <w:rPr>
                      <w:rFonts w:hint="eastAsia"/>
                      <w:lang w:val="en-US" w:eastAsia="zh-CN"/>
                    </w:rPr>
                    <w:t>19</w:t>
                  </w:r>
                </w:p>
              </w:tc>
              <w:tc>
                <w:tcPr>
                  <w:tcW w:w="1199" w:type="pct"/>
                  <w:shd w:val="clear" w:color="auto" w:fill="auto"/>
                  <w:vAlign w:val="center"/>
                </w:tcPr>
                <w:p w14:paraId="4A7EE64F">
                  <w:pPr>
                    <w:widowControl/>
                    <w:ind w:left="0" w:leftChars="0" w:right="0" w:rightChars="0" w:firstLine="0" w:firstLineChars="0"/>
                    <w:jc w:val="center"/>
                    <w:rPr>
                      <w:rFonts w:hint="eastAsia" w:eastAsia="宋体"/>
                      <w:lang w:val="en-US" w:eastAsia="zh-CN"/>
                    </w:rPr>
                  </w:pPr>
                  <w:r>
                    <w:rPr>
                      <w:rFonts w:hint="eastAsia"/>
                    </w:rPr>
                    <w:t>丙酸缓冲</w:t>
                  </w:r>
                  <w:r>
                    <w:rPr>
                      <w:rFonts w:hint="eastAsia"/>
                      <w:lang w:val="en-US" w:eastAsia="zh-CN"/>
                    </w:rPr>
                    <w:t>罐</w:t>
                  </w:r>
                </w:p>
              </w:tc>
              <w:tc>
                <w:tcPr>
                  <w:tcW w:w="1955" w:type="pct"/>
                  <w:shd w:val="clear" w:color="auto" w:fill="auto"/>
                  <w:vAlign w:val="center"/>
                </w:tcPr>
                <w:p w14:paraId="39BD50C6">
                  <w:pPr>
                    <w:widowControl/>
                    <w:ind w:left="0" w:leftChars="0" w:right="0" w:rightChars="0" w:firstLine="0" w:firstLineChars="0"/>
                    <w:jc w:val="center"/>
                    <w:rPr>
                      <w:lang w:val="en-US" w:eastAsia="zh-CN"/>
                    </w:rPr>
                  </w:pPr>
                  <w:r>
                    <w:rPr>
                      <w:rFonts w:hint="eastAsia"/>
                    </w:rPr>
                    <w:t>316L，Φ</w:t>
                  </w:r>
                  <w:r>
                    <w:t>2800×7200，V=50m</w:t>
                  </w:r>
                  <w:r>
                    <w:rPr>
                      <w:vertAlign w:val="superscript"/>
                    </w:rPr>
                    <w:t>3</w:t>
                  </w:r>
                </w:p>
              </w:tc>
              <w:tc>
                <w:tcPr>
                  <w:tcW w:w="749" w:type="pct"/>
                  <w:shd w:val="clear" w:color="auto" w:fill="auto"/>
                  <w:vAlign w:val="center"/>
                </w:tcPr>
                <w:p w14:paraId="085D6D37">
                  <w:pPr>
                    <w:widowControl/>
                    <w:ind w:left="0" w:leftChars="0" w:right="0" w:rightChars="0" w:firstLine="0" w:firstLineChars="0"/>
                    <w:jc w:val="center"/>
                    <w:rPr>
                      <w:lang w:val="en-US" w:eastAsia="zh-CN"/>
                    </w:rPr>
                  </w:pPr>
                  <w:r>
                    <w:rPr>
                      <w:rFonts w:hint="eastAsia"/>
                    </w:rPr>
                    <w:t>1台</w:t>
                  </w:r>
                </w:p>
              </w:tc>
              <w:tc>
                <w:tcPr>
                  <w:tcW w:w="749" w:type="pct"/>
                  <w:shd w:val="clear" w:color="auto" w:fill="auto"/>
                  <w:vAlign w:val="center"/>
                </w:tcPr>
                <w:p w14:paraId="025E89E2">
                  <w:pPr>
                    <w:widowControl/>
                    <w:ind w:left="0" w:leftChars="0" w:right="0" w:rightChars="0" w:firstLine="0" w:firstLineChars="0"/>
                    <w:jc w:val="center"/>
                    <w:rPr>
                      <w:rFonts w:hint="eastAsia"/>
                    </w:rPr>
                  </w:pPr>
                  <w:r>
                    <w:rPr>
                      <w:rFonts w:hint="eastAsia"/>
                      <w:lang w:val="en-US" w:eastAsia="zh-CN"/>
                    </w:rPr>
                    <w:t>外购</w:t>
                  </w:r>
                </w:p>
              </w:tc>
            </w:tr>
            <w:tr w14:paraId="46234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7665EFE7">
                  <w:pPr>
                    <w:widowControl/>
                    <w:ind w:left="0" w:leftChars="0" w:right="0" w:rightChars="0" w:firstLine="0" w:firstLineChars="0"/>
                    <w:jc w:val="center"/>
                    <w:rPr>
                      <w:rFonts w:hint="default" w:eastAsia="宋体"/>
                      <w:lang w:val="en-US" w:eastAsia="zh-CN"/>
                    </w:rPr>
                  </w:pPr>
                  <w:r>
                    <w:rPr>
                      <w:rFonts w:hint="eastAsia"/>
                      <w:lang w:val="en-US" w:eastAsia="zh-CN"/>
                    </w:rPr>
                    <w:t>20</w:t>
                  </w:r>
                </w:p>
              </w:tc>
              <w:tc>
                <w:tcPr>
                  <w:tcW w:w="1199" w:type="pct"/>
                  <w:shd w:val="clear" w:color="auto" w:fill="auto"/>
                  <w:vAlign w:val="center"/>
                </w:tcPr>
                <w:p w14:paraId="50CD8923">
                  <w:pPr>
                    <w:widowControl/>
                    <w:ind w:left="0" w:leftChars="0" w:right="0" w:rightChars="0" w:firstLine="0" w:firstLineChars="0"/>
                    <w:jc w:val="center"/>
                    <w:rPr>
                      <w:lang w:val="en-US" w:eastAsia="zh-CN"/>
                    </w:rPr>
                  </w:pPr>
                  <w:r>
                    <w:rPr>
                      <w:rFonts w:hint="eastAsia"/>
                    </w:rPr>
                    <w:t>丙酸装车泵</w:t>
                  </w:r>
                </w:p>
              </w:tc>
              <w:tc>
                <w:tcPr>
                  <w:tcW w:w="1955" w:type="pct"/>
                  <w:shd w:val="clear" w:color="auto" w:fill="auto"/>
                  <w:vAlign w:val="center"/>
                </w:tcPr>
                <w:p w14:paraId="53FB03D1">
                  <w:pPr>
                    <w:widowControl/>
                    <w:ind w:left="0" w:leftChars="0" w:right="0" w:rightChars="0" w:firstLine="0" w:firstLineChars="0"/>
                    <w:jc w:val="center"/>
                    <w:rPr>
                      <w:lang w:val="en-US" w:eastAsia="zh-CN"/>
                    </w:rPr>
                  </w:pPr>
                  <w:r>
                    <w:rPr>
                      <w:rFonts w:hint="eastAsia"/>
                    </w:rPr>
                    <w:t>316L，F=20</w:t>
                  </w:r>
                  <w:r>
                    <w:t>m</w:t>
                  </w:r>
                  <w:r>
                    <w:rPr>
                      <w:vertAlign w:val="superscript"/>
                    </w:rPr>
                    <w:t>3</w:t>
                  </w:r>
                  <w:r>
                    <w:t>/h</w:t>
                  </w:r>
                </w:p>
              </w:tc>
              <w:tc>
                <w:tcPr>
                  <w:tcW w:w="749" w:type="pct"/>
                  <w:shd w:val="clear" w:color="auto" w:fill="auto"/>
                  <w:vAlign w:val="center"/>
                </w:tcPr>
                <w:p w14:paraId="6A664799">
                  <w:pPr>
                    <w:widowControl/>
                    <w:ind w:left="0" w:leftChars="0" w:right="0" w:rightChars="0" w:firstLine="0" w:firstLineChars="0"/>
                    <w:jc w:val="center"/>
                    <w:rPr>
                      <w:lang w:val="en-US" w:eastAsia="zh-CN"/>
                    </w:rPr>
                  </w:pPr>
                  <w:r>
                    <w:rPr>
                      <w:rFonts w:hint="eastAsia"/>
                    </w:rPr>
                    <w:t>2台</w:t>
                  </w:r>
                </w:p>
              </w:tc>
              <w:tc>
                <w:tcPr>
                  <w:tcW w:w="749" w:type="pct"/>
                  <w:shd w:val="clear" w:color="auto" w:fill="auto"/>
                  <w:vAlign w:val="center"/>
                </w:tcPr>
                <w:p w14:paraId="5BC447BA">
                  <w:pPr>
                    <w:widowControl/>
                    <w:ind w:left="0" w:leftChars="0" w:right="0" w:rightChars="0" w:firstLine="0" w:firstLineChars="0"/>
                    <w:jc w:val="center"/>
                    <w:rPr>
                      <w:rFonts w:hint="eastAsia"/>
                    </w:rPr>
                  </w:pPr>
                  <w:r>
                    <w:rPr>
                      <w:rFonts w:hint="eastAsia"/>
                      <w:lang w:val="en-US" w:eastAsia="zh-CN"/>
                    </w:rPr>
                    <w:t>外购</w:t>
                  </w:r>
                </w:p>
              </w:tc>
            </w:tr>
            <w:tr w14:paraId="2372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0E820B1C">
                  <w:pPr>
                    <w:widowControl/>
                    <w:ind w:left="0" w:leftChars="0" w:right="0" w:rightChars="0" w:firstLine="0" w:firstLineChars="0"/>
                    <w:jc w:val="center"/>
                    <w:rPr>
                      <w:rFonts w:hint="eastAsia"/>
                      <w:lang w:val="en-US" w:eastAsia="zh-CN"/>
                    </w:rPr>
                  </w:pPr>
                  <w:r>
                    <w:rPr>
                      <w:rFonts w:hint="eastAsia"/>
                      <w:szCs w:val="21"/>
                      <w:u w:val="single"/>
                      <w:lang w:val="en-US" w:eastAsia="zh-CN"/>
                    </w:rPr>
                    <w:t>70万t/a醋酸装置（依托的现有工程醋酸装置）</w:t>
                  </w:r>
                </w:p>
              </w:tc>
            </w:tr>
            <w:tr w14:paraId="31923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5B1AF8BC">
                  <w:pPr>
                    <w:widowControl/>
                    <w:ind w:left="0" w:leftChars="0" w:right="0" w:rightChars="0" w:firstLine="0" w:firstLineChars="0"/>
                    <w:jc w:val="center"/>
                    <w:rPr>
                      <w:rFonts w:hint="default"/>
                      <w:u w:val="single"/>
                      <w:lang w:val="en-US" w:eastAsia="zh-CN"/>
                    </w:rPr>
                  </w:pPr>
                  <w:r>
                    <w:rPr>
                      <w:rFonts w:hint="eastAsia"/>
                      <w:u w:val="single"/>
                      <w:lang w:val="en-US" w:eastAsia="zh-CN"/>
                    </w:rPr>
                    <w:t>1</w:t>
                  </w:r>
                </w:p>
              </w:tc>
              <w:tc>
                <w:tcPr>
                  <w:tcW w:w="1199" w:type="pct"/>
                  <w:shd w:val="clear" w:color="000000" w:fill="auto"/>
                  <w:vAlign w:val="center"/>
                </w:tcPr>
                <w:p w14:paraId="6C89CD53">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精制塔</w:t>
                  </w:r>
                </w:p>
              </w:tc>
              <w:tc>
                <w:tcPr>
                  <w:tcW w:w="1955" w:type="pct"/>
                  <w:shd w:val="clear" w:color="000000" w:fill="auto"/>
                  <w:vAlign w:val="center"/>
                </w:tcPr>
                <w:p w14:paraId="2B7DFE33">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塔形式：浮阀塔 ID=3200</w:t>
                  </w:r>
                </w:p>
              </w:tc>
              <w:tc>
                <w:tcPr>
                  <w:tcW w:w="749" w:type="pct"/>
                  <w:shd w:val="clear" w:color="000000" w:fill="auto"/>
                  <w:vAlign w:val="center"/>
                </w:tcPr>
                <w:p w14:paraId="23FE239A">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1</w:t>
                  </w:r>
                </w:p>
              </w:tc>
              <w:tc>
                <w:tcPr>
                  <w:tcW w:w="749" w:type="pct"/>
                  <w:shd w:val="clear" w:color="000000" w:fill="auto"/>
                  <w:vAlign w:val="center"/>
                </w:tcPr>
                <w:p w14:paraId="4E95EC48">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hint="eastAsia" w:eastAsia="宋体"/>
                      <w:kern w:val="0"/>
                      <w:sz w:val="21"/>
                      <w:szCs w:val="21"/>
                      <w:u w:val="single"/>
                    </w:rPr>
                    <w:t>依托</w:t>
                  </w:r>
                  <w:r>
                    <w:rPr>
                      <w:rFonts w:hint="eastAsia"/>
                      <w:kern w:val="0"/>
                      <w:sz w:val="21"/>
                      <w:szCs w:val="21"/>
                      <w:u w:val="single"/>
                      <w:lang w:val="en-US" w:eastAsia="zh-CN"/>
                    </w:rPr>
                    <w:t>现有</w:t>
                  </w:r>
                </w:p>
              </w:tc>
            </w:tr>
            <w:tr w14:paraId="0D3DD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78161E2D">
                  <w:pPr>
                    <w:widowControl/>
                    <w:ind w:left="0" w:leftChars="0" w:right="0" w:rightChars="0" w:firstLine="0" w:firstLineChars="0"/>
                    <w:jc w:val="center"/>
                    <w:rPr>
                      <w:rFonts w:hint="default"/>
                      <w:u w:val="single"/>
                      <w:lang w:val="en-US" w:eastAsia="zh-CN"/>
                    </w:rPr>
                  </w:pPr>
                  <w:r>
                    <w:rPr>
                      <w:rFonts w:hint="eastAsia"/>
                      <w:u w:val="single"/>
                      <w:lang w:val="en-US" w:eastAsia="zh-CN"/>
                    </w:rPr>
                    <w:t>2</w:t>
                  </w:r>
                </w:p>
              </w:tc>
              <w:tc>
                <w:tcPr>
                  <w:tcW w:w="1199" w:type="pct"/>
                  <w:shd w:val="clear" w:color="000000" w:fill="auto"/>
                  <w:vAlign w:val="center"/>
                </w:tcPr>
                <w:p w14:paraId="4D990603">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放空洗涤器水循环泵</w:t>
                  </w:r>
                </w:p>
              </w:tc>
              <w:tc>
                <w:tcPr>
                  <w:tcW w:w="1955" w:type="pct"/>
                  <w:shd w:val="clear" w:color="000000" w:fill="auto"/>
                  <w:vAlign w:val="center"/>
                </w:tcPr>
                <w:p w14:paraId="711E9ABC">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离心式，功率：11KW</w:t>
                  </w:r>
                </w:p>
              </w:tc>
              <w:tc>
                <w:tcPr>
                  <w:tcW w:w="749" w:type="pct"/>
                  <w:shd w:val="clear" w:color="000000" w:fill="auto"/>
                  <w:vAlign w:val="center"/>
                </w:tcPr>
                <w:p w14:paraId="084AE750">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1</w:t>
                  </w:r>
                </w:p>
              </w:tc>
              <w:tc>
                <w:tcPr>
                  <w:tcW w:w="749" w:type="pct"/>
                  <w:shd w:val="clear" w:color="000000" w:fill="auto"/>
                  <w:vAlign w:val="center"/>
                </w:tcPr>
                <w:p w14:paraId="512E90C3">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hint="eastAsia" w:eastAsia="宋体"/>
                      <w:kern w:val="0"/>
                      <w:sz w:val="21"/>
                      <w:szCs w:val="21"/>
                      <w:u w:val="single"/>
                    </w:rPr>
                    <w:t>依托</w:t>
                  </w:r>
                  <w:r>
                    <w:rPr>
                      <w:rFonts w:hint="eastAsia"/>
                      <w:kern w:val="0"/>
                      <w:sz w:val="21"/>
                      <w:szCs w:val="21"/>
                      <w:u w:val="single"/>
                      <w:lang w:val="en-US" w:eastAsia="zh-CN"/>
                    </w:rPr>
                    <w:t>现有</w:t>
                  </w:r>
                </w:p>
              </w:tc>
            </w:tr>
            <w:tr w14:paraId="623E6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6" w:type="pct"/>
                  <w:vAlign w:val="center"/>
                </w:tcPr>
                <w:p w14:paraId="2546BA9A">
                  <w:pPr>
                    <w:widowControl/>
                    <w:ind w:left="0" w:leftChars="0" w:right="0" w:rightChars="0" w:firstLine="0" w:firstLineChars="0"/>
                    <w:jc w:val="center"/>
                    <w:rPr>
                      <w:rFonts w:hint="default"/>
                      <w:u w:val="single"/>
                      <w:lang w:val="en-US" w:eastAsia="zh-CN"/>
                    </w:rPr>
                  </w:pPr>
                  <w:r>
                    <w:rPr>
                      <w:rFonts w:hint="eastAsia"/>
                      <w:u w:val="single"/>
                      <w:lang w:val="en-US" w:eastAsia="zh-CN"/>
                    </w:rPr>
                    <w:t>3</w:t>
                  </w:r>
                </w:p>
              </w:tc>
              <w:tc>
                <w:tcPr>
                  <w:tcW w:w="1199" w:type="pct"/>
                  <w:shd w:val="clear" w:color="000000" w:fill="auto"/>
                  <w:vAlign w:val="center"/>
                </w:tcPr>
                <w:p w14:paraId="0ADA0462">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醋酸中间储罐</w:t>
                  </w:r>
                </w:p>
              </w:tc>
              <w:tc>
                <w:tcPr>
                  <w:tcW w:w="1955" w:type="pct"/>
                  <w:shd w:val="clear" w:color="000000" w:fill="auto"/>
                  <w:vAlign w:val="center"/>
                </w:tcPr>
                <w:p w14:paraId="3F553398">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 xml:space="preserve"> V=1000 m</w:t>
                  </w:r>
                  <w:r>
                    <w:rPr>
                      <w:rFonts w:eastAsia="宋体"/>
                      <w:kern w:val="0"/>
                      <w:sz w:val="21"/>
                      <w:szCs w:val="21"/>
                      <w:u w:val="single"/>
                      <w:vertAlign w:val="superscript"/>
                    </w:rPr>
                    <w:t>3</w:t>
                  </w:r>
                </w:p>
              </w:tc>
              <w:tc>
                <w:tcPr>
                  <w:tcW w:w="749" w:type="pct"/>
                  <w:shd w:val="clear" w:color="000000" w:fill="auto"/>
                  <w:vAlign w:val="center"/>
                </w:tcPr>
                <w:p w14:paraId="1514D584">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eastAsia="宋体"/>
                      <w:kern w:val="0"/>
                      <w:sz w:val="21"/>
                      <w:szCs w:val="21"/>
                      <w:u w:val="single"/>
                    </w:rPr>
                    <w:t>4</w:t>
                  </w:r>
                </w:p>
              </w:tc>
              <w:tc>
                <w:tcPr>
                  <w:tcW w:w="749" w:type="pct"/>
                  <w:shd w:val="clear" w:color="000000" w:fill="auto"/>
                  <w:vAlign w:val="center"/>
                </w:tcPr>
                <w:p w14:paraId="326D6E73">
                  <w:pPr>
                    <w:adjustRightInd w:val="0"/>
                    <w:snapToGrid w:val="0"/>
                    <w:spacing w:line="0" w:lineRule="atLeast"/>
                    <w:jc w:val="center"/>
                    <w:rPr>
                      <w:rFonts w:hint="eastAsia" w:ascii="Times New Roman" w:hAnsi="Times New Roman" w:eastAsia="宋体" w:cs="Times New Roman"/>
                      <w:kern w:val="0"/>
                      <w:sz w:val="21"/>
                      <w:szCs w:val="21"/>
                      <w:u w:val="single"/>
                      <w:lang w:val="en-US" w:eastAsia="zh-CN" w:bidi="ar-SA"/>
                    </w:rPr>
                  </w:pPr>
                  <w:r>
                    <w:rPr>
                      <w:rFonts w:hint="eastAsia" w:eastAsia="宋体"/>
                      <w:kern w:val="0"/>
                      <w:sz w:val="21"/>
                      <w:szCs w:val="21"/>
                      <w:u w:val="single"/>
                    </w:rPr>
                    <w:t>依托</w:t>
                  </w:r>
                  <w:r>
                    <w:rPr>
                      <w:rFonts w:hint="eastAsia"/>
                      <w:kern w:val="0"/>
                      <w:sz w:val="21"/>
                      <w:szCs w:val="21"/>
                      <w:u w:val="single"/>
                      <w:lang w:val="en-US" w:eastAsia="zh-CN"/>
                    </w:rPr>
                    <w:t>现有</w:t>
                  </w:r>
                </w:p>
              </w:tc>
            </w:tr>
          </w:tbl>
          <w:p w14:paraId="2454EAF8">
            <w:pPr>
              <w:spacing w:line="500" w:lineRule="atLeast"/>
              <w:ind w:firstLine="482" w:firstLineChars="200"/>
              <w:rPr>
                <w:b/>
                <w:sz w:val="24"/>
              </w:rPr>
            </w:pPr>
            <w:r>
              <w:rPr>
                <w:rFonts w:hint="eastAsia"/>
                <w:b/>
                <w:sz w:val="24"/>
              </w:rPr>
              <w:t>5、项目主要原辅料及能源消耗情况</w:t>
            </w:r>
          </w:p>
          <w:p w14:paraId="02FC47EA">
            <w:pPr>
              <w:spacing w:line="500" w:lineRule="atLeast"/>
              <w:ind w:firstLine="480" w:firstLineChars="200"/>
              <w:rPr>
                <w:rFonts w:hint="eastAsia"/>
                <w:sz w:val="24"/>
              </w:rPr>
            </w:pPr>
            <w:r>
              <w:rPr>
                <w:rFonts w:hint="eastAsia"/>
                <w:sz w:val="24"/>
                <w:lang w:val="en-US" w:eastAsia="zh-CN"/>
              </w:rPr>
              <w:t>根据建设单位提供的设计方案，</w:t>
            </w:r>
            <w:r>
              <w:rPr>
                <w:rFonts w:hint="eastAsia"/>
                <w:sz w:val="24"/>
              </w:rPr>
              <w:t>主要原辅料消耗情况详见表2-</w:t>
            </w:r>
            <w:r>
              <w:rPr>
                <w:rFonts w:hint="eastAsia"/>
                <w:sz w:val="24"/>
                <w:lang w:val="en-US" w:eastAsia="zh-CN"/>
              </w:rPr>
              <w:t>7，60醋酸组分详见表2-8</w:t>
            </w:r>
            <w:r>
              <w:rPr>
                <w:rFonts w:hint="eastAsia"/>
                <w:sz w:val="24"/>
              </w:rPr>
              <w:t>。</w:t>
            </w:r>
          </w:p>
          <w:p w14:paraId="7F3BA716">
            <w:pPr>
              <w:pStyle w:val="51"/>
              <w:numPr>
                <w:ilvl w:val="2"/>
                <w:numId w:val="3"/>
              </w:numPr>
              <w:spacing w:line="500" w:lineRule="atLeast"/>
              <w:ind w:firstLineChars="0"/>
              <w:jc w:val="center"/>
              <w:rPr>
                <w:b/>
                <w:sz w:val="24"/>
              </w:rPr>
            </w:pPr>
            <w:r>
              <w:rPr>
                <w:rFonts w:hint="eastAsia"/>
                <w:b/>
                <w:sz w:val="24"/>
              </w:rPr>
              <w:t>项目主要原辅料用量情况一览表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144"/>
              <w:gridCol w:w="1080"/>
              <w:gridCol w:w="1620"/>
              <w:gridCol w:w="1425"/>
              <w:gridCol w:w="1402"/>
            </w:tblGrid>
            <w:tr w14:paraId="5233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vAlign w:val="center"/>
                </w:tcPr>
                <w:p w14:paraId="08075F97">
                  <w:pPr>
                    <w:widowControl/>
                    <w:jc w:val="center"/>
                    <w:rPr>
                      <w:u w:val="single"/>
                    </w:rPr>
                  </w:pPr>
                  <w:r>
                    <w:rPr>
                      <w:u w:val="single"/>
                    </w:rPr>
                    <w:t>序号</w:t>
                  </w:r>
                </w:p>
              </w:tc>
              <w:tc>
                <w:tcPr>
                  <w:tcW w:w="1274" w:type="pct"/>
                  <w:vMerge w:val="restart"/>
                  <w:vAlign w:val="center"/>
                </w:tcPr>
                <w:p w14:paraId="5F9E1E10">
                  <w:pPr>
                    <w:widowControl/>
                    <w:jc w:val="center"/>
                    <w:rPr>
                      <w:u w:val="single"/>
                    </w:rPr>
                  </w:pPr>
                  <w:r>
                    <w:rPr>
                      <w:u w:val="single"/>
                    </w:rPr>
                    <w:t>名称</w:t>
                  </w:r>
                </w:p>
              </w:tc>
              <w:tc>
                <w:tcPr>
                  <w:tcW w:w="641" w:type="pct"/>
                  <w:vMerge w:val="restart"/>
                  <w:vAlign w:val="center"/>
                </w:tcPr>
                <w:p w14:paraId="5C6EB762">
                  <w:pPr>
                    <w:widowControl/>
                    <w:jc w:val="center"/>
                    <w:rPr>
                      <w:u w:val="single"/>
                    </w:rPr>
                  </w:pPr>
                  <w:r>
                    <w:rPr>
                      <w:u w:val="single"/>
                    </w:rPr>
                    <w:t>单位</w:t>
                  </w:r>
                </w:p>
              </w:tc>
              <w:tc>
                <w:tcPr>
                  <w:tcW w:w="1809" w:type="pct"/>
                  <w:gridSpan w:val="2"/>
                  <w:vAlign w:val="center"/>
                </w:tcPr>
                <w:p w14:paraId="7E4A6967">
                  <w:pPr>
                    <w:widowControl/>
                    <w:jc w:val="center"/>
                    <w:rPr>
                      <w:u w:val="single"/>
                    </w:rPr>
                  </w:pPr>
                  <w:r>
                    <w:rPr>
                      <w:u w:val="single"/>
                    </w:rPr>
                    <w:t>消耗量</w:t>
                  </w:r>
                </w:p>
              </w:tc>
              <w:tc>
                <w:tcPr>
                  <w:tcW w:w="833" w:type="pct"/>
                  <w:vMerge w:val="restart"/>
                  <w:vAlign w:val="center"/>
                </w:tcPr>
                <w:p w14:paraId="4D896A0E">
                  <w:pPr>
                    <w:widowControl/>
                    <w:jc w:val="center"/>
                    <w:rPr>
                      <w:rFonts w:hint="eastAsia" w:eastAsia="宋体"/>
                      <w:u w:val="single"/>
                      <w:lang w:val="en-US" w:eastAsia="zh-CN"/>
                    </w:rPr>
                  </w:pPr>
                  <w:r>
                    <w:rPr>
                      <w:rFonts w:hint="eastAsia"/>
                      <w:u w:val="single"/>
                      <w:lang w:val="en-US" w:eastAsia="zh-CN"/>
                    </w:rPr>
                    <w:t>备注</w:t>
                  </w:r>
                </w:p>
              </w:tc>
            </w:tr>
            <w:tr w14:paraId="2079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12789137">
                  <w:pPr>
                    <w:widowControl/>
                    <w:jc w:val="center"/>
                    <w:rPr>
                      <w:u w:val="single"/>
                    </w:rPr>
                  </w:pPr>
                </w:p>
              </w:tc>
              <w:tc>
                <w:tcPr>
                  <w:tcW w:w="1274" w:type="pct"/>
                  <w:vMerge w:val="continue"/>
                  <w:vAlign w:val="center"/>
                </w:tcPr>
                <w:p w14:paraId="154207F2">
                  <w:pPr>
                    <w:widowControl/>
                    <w:jc w:val="center"/>
                    <w:rPr>
                      <w:u w:val="single"/>
                    </w:rPr>
                  </w:pPr>
                </w:p>
              </w:tc>
              <w:tc>
                <w:tcPr>
                  <w:tcW w:w="641" w:type="pct"/>
                  <w:vMerge w:val="continue"/>
                  <w:vAlign w:val="center"/>
                </w:tcPr>
                <w:p w14:paraId="1AF5A048">
                  <w:pPr>
                    <w:widowControl/>
                    <w:jc w:val="center"/>
                    <w:rPr>
                      <w:u w:val="single"/>
                    </w:rPr>
                  </w:pPr>
                </w:p>
              </w:tc>
              <w:tc>
                <w:tcPr>
                  <w:tcW w:w="962" w:type="pct"/>
                  <w:vAlign w:val="center"/>
                </w:tcPr>
                <w:p w14:paraId="12AF9C7B">
                  <w:pPr>
                    <w:widowControl/>
                    <w:jc w:val="center"/>
                    <w:rPr>
                      <w:rFonts w:hint="default" w:eastAsia="宋体"/>
                      <w:u w:val="single"/>
                      <w:lang w:val="en-US" w:eastAsia="zh-CN"/>
                    </w:rPr>
                  </w:pPr>
                  <w:r>
                    <w:rPr>
                      <w:rFonts w:hint="eastAsia"/>
                      <w:u w:val="single"/>
                      <w:lang w:val="en-US" w:eastAsia="zh-CN"/>
                    </w:rPr>
                    <w:t>扩建前</w:t>
                  </w:r>
                </w:p>
              </w:tc>
              <w:tc>
                <w:tcPr>
                  <w:tcW w:w="846" w:type="pct"/>
                  <w:vAlign w:val="center"/>
                </w:tcPr>
                <w:p w14:paraId="3FFB7348">
                  <w:pPr>
                    <w:widowControl/>
                    <w:jc w:val="center"/>
                    <w:rPr>
                      <w:rFonts w:hint="default" w:eastAsia="宋体"/>
                      <w:u w:val="single"/>
                      <w:lang w:val="en-US" w:eastAsia="zh-CN"/>
                    </w:rPr>
                  </w:pPr>
                  <w:r>
                    <w:rPr>
                      <w:rFonts w:hint="eastAsia"/>
                      <w:u w:val="single"/>
                      <w:lang w:val="en-US" w:eastAsia="zh-CN"/>
                    </w:rPr>
                    <w:t>扩建后</w:t>
                  </w:r>
                </w:p>
              </w:tc>
              <w:tc>
                <w:tcPr>
                  <w:tcW w:w="833" w:type="pct"/>
                  <w:vMerge w:val="continue"/>
                  <w:vAlign w:val="center"/>
                </w:tcPr>
                <w:p w14:paraId="2F316873">
                  <w:pPr>
                    <w:widowControl/>
                    <w:jc w:val="center"/>
                    <w:rPr>
                      <w:rFonts w:hint="eastAsia"/>
                      <w:u w:val="single"/>
                      <w:lang w:val="en-US" w:eastAsia="zh-CN"/>
                    </w:rPr>
                  </w:pPr>
                </w:p>
              </w:tc>
            </w:tr>
            <w:tr w14:paraId="20C4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2C5A07DD">
                  <w:pPr>
                    <w:widowControl/>
                    <w:jc w:val="center"/>
                    <w:rPr>
                      <w:rFonts w:hint="eastAsia"/>
                      <w:u w:val="single"/>
                      <w:lang w:val="en-US" w:eastAsia="zh-CN"/>
                    </w:rPr>
                  </w:pPr>
                  <w:r>
                    <w:rPr>
                      <w:rFonts w:hint="eastAsia"/>
                      <w:szCs w:val="21"/>
                      <w:u w:val="single"/>
                      <w:lang w:val="en-US" w:eastAsia="zh-CN"/>
                    </w:rPr>
                    <w:t>60醋酸分离装置（本项目建设）</w:t>
                  </w:r>
                </w:p>
              </w:tc>
            </w:tr>
            <w:tr w14:paraId="41AB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0D2CDAEF">
                  <w:pPr>
                    <w:widowControl/>
                    <w:jc w:val="center"/>
                    <w:rPr>
                      <w:rFonts w:ascii="Times New Roman" w:hAnsi="Times New Roman" w:eastAsia="宋体" w:cs="Times New Roman"/>
                      <w:kern w:val="2"/>
                      <w:sz w:val="21"/>
                      <w:szCs w:val="24"/>
                      <w:u w:val="single"/>
                      <w:lang w:val="en-US" w:eastAsia="zh-CN" w:bidi="ar-SA"/>
                    </w:rPr>
                  </w:pPr>
                  <w:r>
                    <w:rPr>
                      <w:rFonts w:hint="eastAsia"/>
                      <w:u w:val="single"/>
                    </w:rPr>
                    <w:t>1</w:t>
                  </w:r>
                </w:p>
              </w:tc>
              <w:tc>
                <w:tcPr>
                  <w:tcW w:w="1274" w:type="pct"/>
                  <w:shd w:val="clear" w:color="auto" w:fill="auto"/>
                  <w:vAlign w:val="center"/>
                </w:tcPr>
                <w:p w14:paraId="5681DBFB">
                  <w:pPr>
                    <w:widowControl/>
                    <w:jc w:val="center"/>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60醋酸</w:t>
                  </w:r>
                </w:p>
              </w:tc>
              <w:tc>
                <w:tcPr>
                  <w:tcW w:w="641" w:type="pct"/>
                  <w:shd w:val="clear" w:color="auto" w:fill="auto"/>
                  <w:vAlign w:val="center"/>
                </w:tcPr>
                <w:p w14:paraId="510575F8">
                  <w:pPr>
                    <w:widowControl/>
                    <w:jc w:val="center"/>
                    <w:rPr>
                      <w:rFonts w:hint="default" w:ascii="Times New Roman" w:hAnsi="Times New Roman" w:eastAsia="宋体" w:cs="Times New Roman"/>
                      <w:kern w:val="2"/>
                      <w:sz w:val="21"/>
                      <w:szCs w:val="24"/>
                      <w:u w:val="single"/>
                      <w:lang w:val="en-US" w:eastAsia="zh-CN" w:bidi="ar-SA"/>
                    </w:rPr>
                  </w:pPr>
                  <w:r>
                    <w:rPr>
                      <w:u w:val="single"/>
                    </w:rPr>
                    <w:t>t</w:t>
                  </w:r>
                  <w:r>
                    <w:rPr>
                      <w:rFonts w:hint="eastAsia"/>
                      <w:u w:val="single"/>
                      <w:lang w:val="en-US" w:eastAsia="zh-CN"/>
                    </w:rPr>
                    <w:t>/a</w:t>
                  </w:r>
                </w:p>
              </w:tc>
              <w:tc>
                <w:tcPr>
                  <w:tcW w:w="962" w:type="pct"/>
                  <w:vAlign w:val="center"/>
                </w:tcPr>
                <w:p w14:paraId="384BF37C">
                  <w:pPr>
                    <w:widowControl/>
                    <w:jc w:val="center"/>
                    <w:rPr>
                      <w:rFonts w:hint="default"/>
                      <w:u w:val="single"/>
                      <w:lang w:val="en-US" w:eastAsia="zh-CN"/>
                    </w:rPr>
                  </w:pPr>
                  <w:r>
                    <w:rPr>
                      <w:rFonts w:hint="eastAsia"/>
                      <w:u w:val="single"/>
                      <w:lang w:val="en-US" w:eastAsia="zh-CN"/>
                    </w:rPr>
                    <w:t>0</w:t>
                  </w:r>
                </w:p>
              </w:tc>
              <w:tc>
                <w:tcPr>
                  <w:tcW w:w="846" w:type="pct"/>
                  <w:vAlign w:val="center"/>
                </w:tcPr>
                <w:p w14:paraId="0FBE22B5">
                  <w:pPr>
                    <w:widowControl/>
                    <w:jc w:val="center"/>
                    <w:rPr>
                      <w:rFonts w:hint="eastAsia"/>
                      <w:u w:val="single"/>
                      <w:lang w:val="en-US" w:eastAsia="zh-CN"/>
                    </w:rPr>
                  </w:pPr>
                  <w:r>
                    <w:rPr>
                      <w:rFonts w:hint="eastAsia"/>
                      <w:u w:val="single"/>
                      <w:lang w:val="en-US" w:eastAsia="zh-CN"/>
                    </w:rPr>
                    <w:t>2800</w:t>
                  </w:r>
                </w:p>
              </w:tc>
              <w:tc>
                <w:tcPr>
                  <w:tcW w:w="833" w:type="pct"/>
                  <w:shd w:val="clear" w:color="auto" w:fill="auto"/>
                  <w:vAlign w:val="center"/>
                </w:tcPr>
                <w:p w14:paraId="7D926800">
                  <w:pPr>
                    <w:pStyle w:val="65"/>
                    <w:snapToGrid w:val="0"/>
                    <w:jc w:val="center"/>
                    <w:rPr>
                      <w:rFonts w:hint="eastAsia"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0F2D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0210EC56">
                  <w:pPr>
                    <w:widowControl/>
                    <w:jc w:val="center"/>
                    <w:rPr>
                      <w:rFonts w:ascii="Times New Roman" w:hAnsi="Times New Roman" w:eastAsia="宋体" w:cs="Times New Roman"/>
                      <w:kern w:val="2"/>
                      <w:sz w:val="21"/>
                      <w:szCs w:val="24"/>
                      <w:u w:val="single"/>
                      <w:lang w:val="en-US" w:eastAsia="zh-CN" w:bidi="ar-SA"/>
                    </w:rPr>
                  </w:pPr>
                  <w:r>
                    <w:rPr>
                      <w:rFonts w:hint="eastAsia"/>
                      <w:u w:val="single"/>
                    </w:rPr>
                    <w:t>2</w:t>
                  </w:r>
                </w:p>
              </w:tc>
              <w:tc>
                <w:tcPr>
                  <w:tcW w:w="1274" w:type="pct"/>
                  <w:shd w:val="clear" w:color="auto" w:fill="auto"/>
                  <w:vAlign w:val="center"/>
                </w:tcPr>
                <w:p w14:paraId="135AD7AF">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循环水</w:t>
                  </w:r>
                </w:p>
              </w:tc>
              <w:tc>
                <w:tcPr>
                  <w:tcW w:w="641" w:type="pct"/>
                  <w:shd w:val="clear" w:color="auto" w:fill="auto"/>
                  <w:vAlign w:val="center"/>
                </w:tcPr>
                <w:p w14:paraId="75A23407">
                  <w:pPr>
                    <w:widowControl/>
                    <w:jc w:val="center"/>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t/a</w:t>
                  </w:r>
                </w:p>
              </w:tc>
              <w:tc>
                <w:tcPr>
                  <w:tcW w:w="962" w:type="pct"/>
                  <w:vAlign w:val="center"/>
                </w:tcPr>
                <w:p w14:paraId="66BB7A94">
                  <w:pPr>
                    <w:widowControl/>
                    <w:jc w:val="center"/>
                    <w:rPr>
                      <w:rFonts w:hint="default"/>
                      <w:u w:val="single"/>
                      <w:lang w:val="en-US" w:eastAsia="zh-CN"/>
                    </w:rPr>
                  </w:pPr>
                  <w:r>
                    <w:rPr>
                      <w:rFonts w:hint="eastAsia"/>
                      <w:u w:val="single"/>
                      <w:lang w:val="en-US" w:eastAsia="zh-CN"/>
                    </w:rPr>
                    <w:t>0</w:t>
                  </w:r>
                </w:p>
              </w:tc>
              <w:tc>
                <w:tcPr>
                  <w:tcW w:w="846" w:type="pct"/>
                  <w:shd w:val="clear" w:color="auto" w:fill="auto"/>
                  <w:vAlign w:val="center"/>
                </w:tcPr>
                <w:p w14:paraId="663C1D7A">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79560</w:t>
                  </w:r>
                </w:p>
              </w:tc>
              <w:tc>
                <w:tcPr>
                  <w:tcW w:w="833" w:type="pct"/>
                  <w:shd w:val="clear" w:color="auto" w:fill="auto"/>
                  <w:vAlign w:val="center"/>
                </w:tcPr>
                <w:p w14:paraId="0A982A16">
                  <w:pPr>
                    <w:pStyle w:val="65"/>
                    <w:snapToGrid w:val="0"/>
                    <w:jc w:val="center"/>
                    <w:rPr>
                      <w:rFonts w:hint="eastAsia"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14F5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56A86F8F">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rPr>
                    <w:t>3</w:t>
                  </w:r>
                </w:p>
              </w:tc>
              <w:tc>
                <w:tcPr>
                  <w:tcW w:w="1274" w:type="pct"/>
                  <w:shd w:val="clear" w:color="auto" w:fill="auto"/>
                  <w:vAlign w:val="center"/>
                </w:tcPr>
                <w:p w14:paraId="0F9E73B7">
                  <w:pPr>
                    <w:widowControl/>
                    <w:jc w:val="center"/>
                    <w:rPr>
                      <w:rFonts w:hint="eastAsia" w:ascii="Times New Roman" w:hAnsi="Times New Roman" w:eastAsia="宋体" w:cs="Times New Roman"/>
                      <w:kern w:val="2"/>
                      <w:sz w:val="21"/>
                      <w:szCs w:val="24"/>
                      <w:u w:val="single"/>
                      <w:lang w:val="en-US" w:eastAsia="zh-CN" w:bidi="ar-SA"/>
                    </w:rPr>
                  </w:pPr>
                  <w:r>
                    <w:rPr>
                      <w:u w:val="single"/>
                    </w:rPr>
                    <w:t>低压蒸汽</w:t>
                  </w:r>
                </w:p>
              </w:tc>
              <w:tc>
                <w:tcPr>
                  <w:tcW w:w="641" w:type="pct"/>
                  <w:shd w:val="clear" w:color="auto" w:fill="auto"/>
                  <w:vAlign w:val="center"/>
                </w:tcPr>
                <w:p w14:paraId="33158A55">
                  <w:pPr>
                    <w:widowControl/>
                    <w:jc w:val="center"/>
                    <w:rPr>
                      <w:rFonts w:hint="default" w:ascii="Times New Roman" w:hAnsi="Times New Roman" w:eastAsia="宋体" w:cs="Times New Roman"/>
                      <w:kern w:val="2"/>
                      <w:sz w:val="21"/>
                      <w:szCs w:val="24"/>
                      <w:u w:val="single"/>
                      <w:lang w:val="en-US" w:eastAsia="zh-CN" w:bidi="ar-SA"/>
                    </w:rPr>
                  </w:pPr>
                  <w:r>
                    <w:rPr>
                      <w:rFonts w:hint="eastAsia"/>
                      <w:u w:val="single"/>
                    </w:rPr>
                    <w:t>t</w:t>
                  </w:r>
                  <w:r>
                    <w:rPr>
                      <w:rFonts w:hint="eastAsia"/>
                      <w:u w:val="single"/>
                      <w:lang w:val="en-US" w:eastAsia="zh-CN"/>
                    </w:rPr>
                    <w:t>/a</w:t>
                  </w:r>
                </w:p>
              </w:tc>
              <w:tc>
                <w:tcPr>
                  <w:tcW w:w="962" w:type="pct"/>
                  <w:vAlign w:val="center"/>
                </w:tcPr>
                <w:p w14:paraId="62553420">
                  <w:pPr>
                    <w:widowControl/>
                    <w:jc w:val="center"/>
                    <w:rPr>
                      <w:rFonts w:hint="default"/>
                      <w:u w:val="single"/>
                      <w:lang w:val="en-US" w:eastAsia="zh-CN"/>
                    </w:rPr>
                  </w:pPr>
                  <w:r>
                    <w:rPr>
                      <w:rFonts w:hint="eastAsia"/>
                      <w:u w:val="single"/>
                      <w:lang w:val="en-US" w:eastAsia="zh-CN"/>
                    </w:rPr>
                    <w:t>0</w:t>
                  </w:r>
                </w:p>
              </w:tc>
              <w:tc>
                <w:tcPr>
                  <w:tcW w:w="846" w:type="pct"/>
                  <w:shd w:val="clear" w:color="auto" w:fill="auto"/>
                  <w:vAlign w:val="center"/>
                </w:tcPr>
                <w:p w14:paraId="4037EA74">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4960</w:t>
                  </w:r>
                </w:p>
              </w:tc>
              <w:tc>
                <w:tcPr>
                  <w:tcW w:w="833" w:type="pct"/>
                  <w:shd w:val="clear" w:color="auto" w:fill="auto"/>
                  <w:vAlign w:val="center"/>
                </w:tcPr>
                <w:p w14:paraId="1B190A36">
                  <w:pPr>
                    <w:pStyle w:val="65"/>
                    <w:snapToGrid w:val="0"/>
                    <w:jc w:val="center"/>
                    <w:rPr>
                      <w:rFonts w:hint="eastAsia" w:ascii="Times New Roman" w:hAnsi="Calibri" w:eastAsia="宋体" w:cs="宋体"/>
                      <w:color w:val="000000"/>
                      <w:sz w:val="21"/>
                      <w:szCs w:val="21"/>
                      <w:u w:val="single"/>
                      <w:lang w:val="en-US" w:eastAsia="zh-CN" w:bidi="ar-SA"/>
                    </w:rPr>
                  </w:pPr>
                  <w:r>
                    <w:rPr>
                      <w:rFonts w:ascii="Times New Roman"/>
                      <w:sz w:val="21"/>
                      <w:szCs w:val="21"/>
                      <w:u w:val="single"/>
                    </w:rPr>
                    <w:t>外购</w:t>
                  </w:r>
                </w:p>
              </w:tc>
            </w:tr>
            <w:tr w14:paraId="108D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18E62CCA">
                  <w:pPr>
                    <w:widowControl/>
                    <w:jc w:val="center"/>
                    <w:rPr>
                      <w:rFonts w:hint="eastAsia" w:eastAsia="宋体"/>
                      <w:u w:val="single"/>
                      <w:lang w:val="en-US" w:eastAsia="zh-CN"/>
                    </w:rPr>
                  </w:pPr>
                  <w:r>
                    <w:rPr>
                      <w:rFonts w:hint="eastAsia" w:ascii="Times New Roman"/>
                      <w:sz w:val="21"/>
                      <w:szCs w:val="21"/>
                      <w:u w:val="single"/>
                    </w:rPr>
                    <w:t>70万t/a醋酸装置</w:t>
                  </w:r>
                  <w:r>
                    <w:rPr>
                      <w:rFonts w:hint="eastAsia" w:ascii="Times New Roman"/>
                      <w:sz w:val="21"/>
                      <w:szCs w:val="21"/>
                      <w:u w:val="single"/>
                      <w:lang w:eastAsia="zh-CN"/>
                    </w:rPr>
                    <w:t>（</w:t>
                  </w:r>
                  <w:r>
                    <w:rPr>
                      <w:rFonts w:hint="eastAsia" w:ascii="Times New Roman"/>
                      <w:sz w:val="21"/>
                      <w:szCs w:val="21"/>
                      <w:u w:val="single"/>
                      <w:lang w:val="en-US" w:eastAsia="zh-CN"/>
                    </w:rPr>
                    <w:t>现有工程</w:t>
                  </w:r>
                  <w:r>
                    <w:rPr>
                      <w:rFonts w:hint="eastAsia" w:ascii="Times New Roman"/>
                      <w:sz w:val="21"/>
                      <w:szCs w:val="21"/>
                      <w:u w:val="single"/>
                      <w:lang w:eastAsia="zh-CN"/>
                    </w:rPr>
                    <w:t>）</w:t>
                  </w:r>
                </w:p>
              </w:tc>
            </w:tr>
            <w:tr w14:paraId="2003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4655B6C0">
                  <w:pPr>
                    <w:widowControl/>
                    <w:jc w:val="center"/>
                    <w:rPr>
                      <w:rFonts w:hint="eastAsia" w:eastAsia="宋体"/>
                      <w:u w:val="single"/>
                      <w:lang w:val="en-US" w:eastAsia="zh-CN"/>
                    </w:rPr>
                  </w:pPr>
                  <w:r>
                    <w:rPr>
                      <w:rFonts w:hint="eastAsia"/>
                      <w:u w:val="single"/>
                      <w:lang w:val="en-US" w:eastAsia="zh-CN"/>
                    </w:rPr>
                    <w:t>1</w:t>
                  </w:r>
                </w:p>
              </w:tc>
              <w:tc>
                <w:tcPr>
                  <w:tcW w:w="1274" w:type="pct"/>
                  <w:shd w:val="clear" w:color="auto" w:fill="auto"/>
                  <w:vAlign w:val="center"/>
                </w:tcPr>
                <w:p w14:paraId="2CF25B9F">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CO</w:t>
                  </w:r>
                </w:p>
              </w:tc>
              <w:tc>
                <w:tcPr>
                  <w:tcW w:w="641" w:type="pct"/>
                  <w:shd w:val="clear" w:color="auto" w:fill="auto"/>
                  <w:vAlign w:val="center"/>
                </w:tcPr>
                <w:p w14:paraId="22C0F4CB">
                  <w:pPr>
                    <w:widowControl/>
                    <w:jc w:val="center"/>
                    <w:rPr>
                      <w:rFonts w:hint="eastAsia" w:ascii="Times New Roman" w:hAnsi="Times New Roman" w:eastAsia="宋体" w:cs="Times New Roman"/>
                      <w:kern w:val="2"/>
                      <w:sz w:val="21"/>
                      <w:szCs w:val="24"/>
                      <w:u w:val="single"/>
                      <w:lang w:val="en-US" w:eastAsia="zh-CN" w:bidi="ar-SA"/>
                    </w:rPr>
                  </w:pPr>
                  <w:r>
                    <w:rPr>
                      <w:u w:val="single"/>
                    </w:rPr>
                    <w:t>t</w:t>
                  </w:r>
                  <w:r>
                    <w:rPr>
                      <w:rFonts w:hint="eastAsia"/>
                      <w:u w:val="single"/>
                      <w:lang w:val="en-US" w:eastAsia="zh-CN"/>
                    </w:rPr>
                    <w:t>/a</w:t>
                  </w:r>
                </w:p>
              </w:tc>
              <w:tc>
                <w:tcPr>
                  <w:tcW w:w="962" w:type="pct"/>
                  <w:shd w:val="clear" w:color="auto" w:fill="auto"/>
                  <w:vAlign w:val="center"/>
                </w:tcPr>
                <w:p w14:paraId="138B6AFD">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367500</w:t>
                  </w:r>
                </w:p>
              </w:tc>
              <w:tc>
                <w:tcPr>
                  <w:tcW w:w="846" w:type="pct"/>
                  <w:shd w:val="clear" w:color="auto" w:fill="auto"/>
                  <w:vAlign w:val="center"/>
                </w:tcPr>
                <w:p w14:paraId="66E799C7">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367500</w:t>
                  </w:r>
                </w:p>
              </w:tc>
              <w:tc>
                <w:tcPr>
                  <w:tcW w:w="833" w:type="pct"/>
                  <w:shd w:val="clear" w:color="auto" w:fill="auto"/>
                  <w:vAlign w:val="center"/>
                </w:tcPr>
                <w:p w14:paraId="1A15EBDA">
                  <w:pPr>
                    <w:pStyle w:val="65"/>
                    <w:snapToGrid w:val="0"/>
                    <w:jc w:val="center"/>
                    <w:rPr>
                      <w:rFonts w:hint="eastAsia"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372D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2CFF2335">
                  <w:pPr>
                    <w:widowControl/>
                    <w:jc w:val="center"/>
                    <w:rPr>
                      <w:rFonts w:hint="eastAsia" w:eastAsia="宋体"/>
                      <w:u w:val="single"/>
                      <w:lang w:val="en-US" w:eastAsia="zh-CN"/>
                    </w:rPr>
                  </w:pPr>
                  <w:r>
                    <w:rPr>
                      <w:rFonts w:hint="eastAsia"/>
                      <w:u w:val="single"/>
                      <w:lang w:val="en-US" w:eastAsia="zh-CN"/>
                    </w:rPr>
                    <w:t>2</w:t>
                  </w:r>
                </w:p>
              </w:tc>
              <w:tc>
                <w:tcPr>
                  <w:tcW w:w="1274" w:type="pct"/>
                  <w:shd w:val="clear" w:color="auto" w:fill="auto"/>
                  <w:vAlign w:val="center"/>
                </w:tcPr>
                <w:p w14:paraId="73724D27">
                  <w:pPr>
                    <w:adjustRightInd w:val="0"/>
                    <w:snapToGrid w:val="0"/>
                    <w:spacing w:line="240" w:lineRule="exact"/>
                    <w:jc w:val="center"/>
                    <w:rPr>
                      <w:rFonts w:ascii="Times New Roman" w:hAnsi="Times New Roman" w:eastAsia="宋体" w:cs="Times New Roman"/>
                      <w:kern w:val="2"/>
                      <w:sz w:val="21"/>
                      <w:szCs w:val="21"/>
                      <w:u w:val="single"/>
                      <w:lang w:val="en-US" w:eastAsia="zh-CN" w:bidi="ar-SA"/>
                    </w:rPr>
                  </w:pPr>
                  <w:r>
                    <w:rPr>
                      <w:rFonts w:eastAsia="宋体"/>
                      <w:sz w:val="21"/>
                      <w:szCs w:val="21"/>
                      <w:u w:val="single"/>
                    </w:rPr>
                    <w:t>甲醇</w:t>
                  </w:r>
                </w:p>
              </w:tc>
              <w:tc>
                <w:tcPr>
                  <w:tcW w:w="641" w:type="pct"/>
                  <w:shd w:val="clear" w:color="auto" w:fill="auto"/>
                  <w:vAlign w:val="center"/>
                </w:tcPr>
                <w:p w14:paraId="2B6AA657">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t/a</w:t>
                  </w:r>
                </w:p>
              </w:tc>
              <w:tc>
                <w:tcPr>
                  <w:tcW w:w="962" w:type="pct"/>
                  <w:shd w:val="clear" w:color="auto" w:fill="auto"/>
                  <w:vAlign w:val="center"/>
                </w:tcPr>
                <w:p w14:paraId="5111E99E">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378000</w:t>
                  </w:r>
                </w:p>
              </w:tc>
              <w:tc>
                <w:tcPr>
                  <w:tcW w:w="846" w:type="pct"/>
                  <w:shd w:val="clear" w:color="auto" w:fill="auto"/>
                  <w:vAlign w:val="center"/>
                </w:tcPr>
                <w:p w14:paraId="2D820212">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378000</w:t>
                  </w:r>
                </w:p>
              </w:tc>
              <w:tc>
                <w:tcPr>
                  <w:tcW w:w="833" w:type="pct"/>
                  <w:shd w:val="clear" w:color="auto" w:fill="auto"/>
                  <w:vAlign w:val="center"/>
                </w:tcPr>
                <w:p w14:paraId="2AFEFBCA">
                  <w:pPr>
                    <w:pStyle w:val="65"/>
                    <w:snapToGrid w:val="0"/>
                    <w:jc w:val="center"/>
                    <w:rPr>
                      <w:rFonts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3FC1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31C31709">
                  <w:pPr>
                    <w:widowControl/>
                    <w:jc w:val="center"/>
                    <w:rPr>
                      <w:rFonts w:hint="eastAsia" w:eastAsia="宋体"/>
                      <w:u w:val="single"/>
                      <w:lang w:val="en-US" w:eastAsia="zh-CN"/>
                    </w:rPr>
                  </w:pPr>
                  <w:r>
                    <w:rPr>
                      <w:rFonts w:hint="eastAsia"/>
                      <w:u w:val="single"/>
                      <w:lang w:val="en-US" w:eastAsia="zh-CN"/>
                    </w:rPr>
                    <w:t>3</w:t>
                  </w:r>
                </w:p>
              </w:tc>
              <w:tc>
                <w:tcPr>
                  <w:tcW w:w="1274" w:type="pct"/>
                  <w:shd w:val="clear" w:color="auto" w:fill="auto"/>
                  <w:vAlign w:val="center"/>
                </w:tcPr>
                <w:p w14:paraId="0EB1A7B7">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HI</w:t>
                  </w:r>
                  <w:r>
                    <w:rPr>
                      <w:rFonts w:hint="eastAsia"/>
                      <w:sz w:val="21"/>
                      <w:szCs w:val="21"/>
                      <w:u w:val="single"/>
                      <w:lang w:eastAsia="zh-CN"/>
                    </w:rPr>
                    <w:t>（</w:t>
                  </w:r>
                  <w:r>
                    <w:rPr>
                      <w:rFonts w:hint="eastAsia"/>
                      <w:sz w:val="21"/>
                      <w:szCs w:val="21"/>
                      <w:u w:val="single"/>
                      <w:lang w:val="en-US" w:eastAsia="zh-CN"/>
                    </w:rPr>
                    <w:t>57%</w:t>
                  </w:r>
                  <w:r>
                    <w:rPr>
                      <w:rFonts w:hint="eastAsia"/>
                      <w:sz w:val="21"/>
                      <w:szCs w:val="21"/>
                      <w:u w:val="single"/>
                      <w:lang w:eastAsia="zh-CN"/>
                    </w:rPr>
                    <w:t>）</w:t>
                  </w:r>
                </w:p>
              </w:tc>
              <w:tc>
                <w:tcPr>
                  <w:tcW w:w="641" w:type="pct"/>
                  <w:shd w:val="clear" w:color="auto" w:fill="auto"/>
                  <w:vAlign w:val="center"/>
                </w:tcPr>
                <w:p w14:paraId="07FDB00C">
                  <w:pPr>
                    <w:widowControl/>
                    <w:jc w:val="center"/>
                    <w:rPr>
                      <w:rFonts w:hint="eastAsia" w:ascii="Times New Roman" w:hAnsi="Times New Roman" w:eastAsia="宋体" w:cs="Times New Roman"/>
                      <w:kern w:val="2"/>
                      <w:sz w:val="21"/>
                      <w:szCs w:val="24"/>
                      <w:u w:val="single"/>
                      <w:lang w:val="en-US" w:eastAsia="zh-CN" w:bidi="ar-SA"/>
                    </w:rPr>
                  </w:pPr>
                  <w:r>
                    <w:rPr>
                      <w:u w:val="single"/>
                    </w:rPr>
                    <w:t>t</w:t>
                  </w:r>
                  <w:r>
                    <w:rPr>
                      <w:rFonts w:hint="eastAsia"/>
                      <w:u w:val="single"/>
                      <w:lang w:val="en-US" w:eastAsia="zh-CN"/>
                    </w:rPr>
                    <w:t>/a</w:t>
                  </w:r>
                </w:p>
              </w:tc>
              <w:tc>
                <w:tcPr>
                  <w:tcW w:w="962" w:type="pct"/>
                  <w:shd w:val="clear" w:color="auto" w:fill="auto"/>
                  <w:vAlign w:val="center"/>
                </w:tcPr>
                <w:p w14:paraId="35F86849">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70</w:t>
                  </w:r>
                </w:p>
              </w:tc>
              <w:tc>
                <w:tcPr>
                  <w:tcW w:w="846" w:type="pct"/>
                  <w:shd w:val="clear" w:color="auto" w:fill="auto"/>
                  <w:vAlign w:val="center"/>
                </w:tcPr>
                <w:p w14:paraId="446B9052">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70</w:t>
                  </w:r>
                </w:p>
              </w:tc>
              <w:tc>
                <w:tcPr>
                  <w:tcW w:w="833" w:type="pct"/>
                  <w:shd w:val="clear" w:color="auto" w:fill="auto"/>
                  <w:vAlign w:val="center"/>
                </w:tcPr>
                <w:p w14:paraId="2EB2A8A7">
                  <w:pPr>
                    <w:pStyle w:val="65"/>
                    <w:snapToGrid w:val="0"/>
                    <w:jc w:val="center"/>
                    <w:rPr>
                      <w:rFonts w:ascii="Times New Roman" w:hAnsi="Calibri" w:eastAsia="宋体" w:cs="宋体"/>
                      <w:color w:val="000000"/>
                      <w:sz w:val="21"/>
                      <w:szCs w:val="21"/>
                      <w:u w:val="single"/>
                      <w:lang w:val="en-US" w:eastAsia="zh-CN" w:bidi="ar-SA"/>
                    </w:rPr>
                  </w:pPr>
                  <w:r>
                    <w:rPr>
                      <w:rFonts w:ascii="Times New Roman"/>
                      <w:sz w:val="21"/>
                      <w:szCs w:val="21"/>
                      <w:u w:val="single"/>
                    </w:rPr>
                    <w:t>外购</w:t>
                  </w:r>
                </w:p>
              </w:tc>
            </w:tr>
            <w:tr w14:paraId="41D9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05AABE90">
                  <w:pPr>
                    <w:widowControl/>
                    <w:jc w:val="center"/>
                    <w:rPr>
                      <w:rFonts w:hint="eastAsia" w:eastAsia="宋体"/>
                      <w:u w:val="single"/>
                      <w:lang w:val="en-US" w:eastAsia="zh-CN"/>
                    </w:rPr>
                  </w:pPr>
                  <w:r>
                    <w:rPr>
                      <w:rFonts w:hint="eastAsia"/>
                      <w:u w:val="single"/>
                      <w:lang w:val="en-US" w:eastAsia="zh-CN"/>
                    </w:rPr>
                    <w:t>4</w:t>
                  </w:r>
                </w:p>
              </w:tc>
              <w:tc>
                <w:tcPr>
                  <w:tcW w:w="1274" w:type="pct"/>
                  <w:shd w:val="clear" w:color="auto" w:fill="auto"/>
                  <w:vAlign w:val="center"/>
                </w:tcPr>
                <w:p w14:paraId="19D76473">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KOH溶液</w:t>
                  </w:r>
                  <w:r>
                    <w:rPr>
                      <w:rFonts w:hint="eastAsia"/>
                      <w:sz w:val="21"/>
                      <w:szCs w:val="21"/>
                      <w:u w:val="single"/>
                      <w:lang w:eastAsia="zh-CN"/>
                    </w:rPr>
                    <w:t>（</w:t>
                  </w:r>
                  <w:r>
                    <w:rPr>
                      <w:rFonts w:hint="eastAsia"/>
                      <w:sz w:val="21"/>
                      <w:szCs w:val="21"/>
                      <w:u w:val="single"/>
                      <w:lang w:val="en-US" w:eastAsia="zh-CN"/>
                    </w:rPr>
                    <w:t>45%</w:t>
                  </w:r>
                  <w:r>
                    <w:rPr>
                      <w:rFonts w:hint="eastAsia"/>
                      <w:sz w:val="21"/>
                      <w:szCs w:val="21"/>
                      <w:u w:val="single"/>
                      <w:lang w:eastAsia="zh-CN"/>
                    </w:rPr>
                    <w:t>）</w:t>
                  </w:r>
                </w:p>
              </w:tc>
              <w:tc>
                <w:tcPr>
                  <w:tcW w:w="641" w:type="pct"/>
                  <w:shd w:val="clear" w:color="auto" w:fill="auto"/>
                  <w:vAlign w:val="center"/>
                </w:tcPr>
                <w:p w14:paraId="76116774">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t/a</w:t>
                  </w:r>
                </w:p>
              </w:tc>
              <w:tc>
                <w:tcPr>
                  <w:tcW w:w="962" w:type="pct"/>
                  <w:shd w:val="clear" w:color="auto" w:fill="auto"/>
                  <w:vAlign w:val="center"/>
                </w:tcPr>
                <w:p w14:paraId="4BD0C5B0">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112</w:t>
                  </w:r>
                </w:p>
              </w:tc>
              <w:tc>
                <w:tcPr>
                  <w:tcW w:w="846" w:type="pct"/>
                  <w:shd w:val="clear" w:color="auto" w:fill="auto"/>
                  <w:vAlign w:val="center"/>
                </w:tcPr>
                <w:p w14:paraId="615BAC53">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kern w:val="0"/>
                      <w:sz w:val="21"/>
                      <w:szCs w:val="21"/>
                      <w:u w:val="single"/>
                    </w:rPr>
                    <w:t>112</w:t>
                  </w:r>
                </w:p>
              </w:tc>
              <w:tc>
                <w:tcPr>
                  <w:tcW w:w="833" w:type="pct"/>
                  <w:shd w:val="clear" w:color="auto" w:fill="auto"/>
                  <w:vAlign w:val="center"/>
                </w:tcPr>
                <w:p w14:paraId="24E977C8">
                  <w:pPr>
                    <w:pStyle w:val="65"/>
                    <w:snapToGrid w:val="0"/>
                    <w:jc w:val="center"/>
                    <w:rPr>
                      <w:rFonts w:ascii="Times New Roman" w:hAnsi="Calibri" w:eastAsia="宋体" w:cs="宋体"/>
                      <w:color w:val="000000"/>
                      <w:sz w:val="21"/>
                      <w:szCs w:val="21"/>
                      <w:u w:val="single"/>
                      <w:lang w:val="en-US" w:eastAsia="zh-CN" w:bidi="ar-SA"/>
                    </w:rPr>
                  </w:pPr>
                  <w:r>
                    <w:rPr>
                      <w:rFonts w:ascii="Times New Roman"/>
                      <w:sz w:val="21"/>
                      <w:szCs w:val="21"/>
                      <w:u w:val="single"/>
                    </w:rPr>
                    <w:t>外购</w:t>
                  </w:r>
                </w:p>
              </w:tc>
            </w:tr>
            <w:tr w14:paraId="0819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4E20E75D">
                  <w:pPr>
                    <w:widowControl/>
                    <w:jc w:val="center"/>
                    <w:rPr>
                      <w:rFonts w:hint="eastAsia"/>
                      <w:u w:val="single"/>
                      <w:lang w:val="en-US" w:eastAsia="zh-CN"/>
                    </w:rPr>
                  </w:pPr>
                  <w:r>
                    <w:rPr>
                      <w:rFonts w:hint="eastAsia" w:ascii="Times New Roman"/>
                      <w:sz w:val="21"/>
                      <w:szCs w:val="21"/>
                      <w:u w:val="single"/>
                    </w:rPr>
                    <w:t>98万t/a醋酸装置</w:t>
                  </w:r>
                  <w:r>
                    <w:rPr>
                      <w:rFonts w:hint="eastAsia" w:ascii="Times New Roman"/>
                      <w:sz w:val="21"/>
                      <w:szCs w:val="21"/>
                      <w:u w:val="single"/>
                      <w:lang w:eastAsia="zh-CN"/>
                    </w:rPr>
                    <w:t>（</w:t>
                  </w:r>
                  <w:r>
                    <w:rPr>
                      <w:rFonts w:hint="eastAsia" w:ascii="Times New Roman"/>
                      <w:sz w:val="21"/>
                      <w:szCs w:val="21"/>
                      <w:u w:val="single"/>
                      <w:lang w:val="en-US" w:eastAsia="zh-CN"/>
                    </w:rPr>
                    <w:t>现有工程</w:t>
                  </w:r>
                  <w:r>
                    <w:rPr>
                      <w:rFonts w:hint="eastAsia" w:ascii="Times New Roman"/>
                      <w:sz w:val="21"/>
                      <w:szCs w:val="21"/>
                      <w:u w:val="single"/>
                      <w:lang w:eastAsia="zh-CN"/>
                    </w:rPr>
                    <w:t>）</w:t>
                  </w:r>
                </w:p>
              </w:tc>
            </w:tr>
            <w:tr w14:paraId="0AFA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26CD9886">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1</w:t>
                  </w:r>
                </w:p>
              </w:tc>
              <w:tc>
                <w:tcPr>
                  <w:tcW w:w="1274" w:type="pct"/>
                  <w:shd w:val="clear" w:color="auto" w:fill="auto"/>
                  <w:vAlign w:val="center"/>
                </w:tcPr>
                <w:p w14:paraId="70B080F5">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CO</w:t>
                  </w:r>
                </w:p>
              </w:tc>
              <w:tc>
                <w:tcPr>
                  <w:tcW w:w="641" w:type="pct"/>
                  <w:shd w:val="clear" w:color="auto" w:fill="auto"/>
                  <w:vAlign w:val="center"/>
                </w:tcPr>
                <w:p w14:paraId="10E5A91D">
                  <w:pPr>
                    <w:widowControl/>
                    <w:jc w:val="center"/>
                    <w:rPr>
                      <w:rFonts w:hint="default" w:ascii="Times New Roman" w:hAnsi="Times New Roman" w:eastAsia="宋体" w:cs="Times New Roman"/>
                      <w:kern w:val="2"/>
                      <w:sz w:val="21"/>
                      <w:szCs w:val="24"/>
                      <w:u w:val="single"/>
                      <w:lang w:val="en-US" w:eastAsia="zh-CN" w:bidi="ar-SA"/>
                    </w:rPr>
                  </w:pPr>
                  <w:r>
                    <w:rPr>
                      <w:u w:val="single"/>
                    </w:rPr>
                    <w:t>t</w:t>
                  </w:r>
                  <w:r>
                    <w:rPr>
                      <w:rFonts w:hint="eastAsia"/>
                      <w:u w:val="single"/>
                      <w:lang w:val="en-US" w:eastAsia="zh-CN"/>
                    </w:rPr>
                    <w:t>/a</w:t>
                  </w:r>
                </w:p>
              </w:tc>
              <w:tc>
                <w:tcPr>
                  <w:tcW w:w="962" w:type="pct"/>
                  <w:shd w:val="clear" w:color="auto" w:fill="auto"/>
                  <w:vAlign w:val="center"/>
                </w:tcPr>
                <w:p w14:paraId="11A5003C">
                  <w:pPr>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eastAsia="宋体"/>
                      <w:kern w:val="0"/>
                      <w:sz w:val="21"/>
                      <w:szCs w:val="21"/>
                      <w:u w:val="single"/>
                    </w:rPr>
                    <w:t>500256</w:t>
                  </w:r>
                </w:p>
              </w:tc>
              <w:tc>
                <w:tcPr>
                  <w:tcW w:w="846" w:type="pct"/>
                  <w:shd w:val="clear" w:color="auto" w:fill="auto"/>
                  <w:vAlign w:val="center"/>
                </w:tcPr>
                <w:p w14:paraId="2A54588D">
                  <w:pPr>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eastAsia="宋体"/>
                      <w:kern w:val="0"/>
                      <w:sz w:val="21"/>
                      <w:szCs w:val="21"/>
                      <w:u w:val="single"/>
                    </w:rPr>
                    <w:t>500256</w:t>
                  </w:r>
                </w:p>
              </w:tc>
              <w:tc>
                <w:tcPr>
                  <w:tcW w:w="833" w:type="pct"/>
                  <w:shd w:val="clear" w:color="auto" w:fill="auto"/>
                  <w:vAlign w:val="center"/>
                </w:tcPr>
                <w:p w14:paraId="317E44B1">
                  <w:pPr>
                    <w:pStyle w:val="65"/>
                    <w:snapToGrid w:val="0"/>
                    <w:jc w:val="center"/>
                    <w:rPr>
                      <w:rFonts w:hint="eastAsia"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5BC1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3164161D">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2</w:t>
                  </w:r>
                </w:p>
              </w:tc>
              <w:tc>
                <w:tcPr>
                  <w:tcW w:w="1274" w:type="pct"/>
                  <w:shd w:val="clear" w:color="auto" w:fill="auto"/>
                  <w:vAlign w:val="center"/>
                </w:tcPr>
                <w:p w14:paraId="7ECA3112">
                  <w:pPr>
                    <w:adjustRightInd w:val="0"/>
                    <w:snapToGrid w:val="0"/>
                    <w:spacing w:line="240" w:lineRule="exact"/>
                    <w:jc w:val="center"/>
                    <w:rPr>
                      <w:rFonts w:ascii="Times New Roman" w:hAnsi="Times New Roman" w:eastAsia="宋体" w:cs="Times New Roman"/>
                      <w:kern w:val="2"/>
                      <w:sz w:val="21"/>
                      <w:szCs w:val="21"/>
                      <w:u w:val="single"/>
                      <w:lang w:val="en-US" w:eastAsia="zh-CN" w:bidi="ar-SA"/>
                    </w:rPr>
                  </w:pPr>
                  <w:r>
                    <w:rPr>
                      <w:rFonts w:eastAsia="宋体"/>
                      <w:sz w:val="21"/>
                      <w:szCs w:val="21"/>
                      <w:u w:val="single"/>
                    </w:rPr>
                    <w:t>甲醇</w:t>
                  </w:r>
                </w:p>
              </w:tc>
              <w:tc>
                <w:tcPr>
                  <w:tcW w:w="641" w:type="pct"/>
                  <w:shd w:val="clear" w:color="auto" w:fill="auto"/>
                  <w:vAlign w:val="center"/>
                </w:tcPr>
                <w:p w14:paraId="306743D4">
                  <w:pPr>
                    <w:widowControl/>
                    <w:jc w:val="center"/>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t/a</w:t>
                  </w:r>
                </w:p>
              </w:tc>
              <w:tc>
                <w:tcPr>
                  <w:tcW w:w="962" w:type="pct"/>
                  <w:shd w:val="clear" w:color="auto" w:fill="auto"/>
                  <w:vAlign w:val="center"/>
                </w:tcPr>
                <w:p w14:paraId="713B9905">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529200</w:t>
                  </w:r>
                </w:p>
              </w:tc>
              <w:tc>
                <w:tcPr>
                  <w:tcW w:w="846" w:type="pct"/>
                  <w:shd w:val="clear" w:color="auto" w:fill="auto"/>
                  <w:vAlign w:val="center"/>
                </w:tcPr>
                <w:p w14:paraId="42F4B595">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529200</w:t>
                  </w:r>
                </w:p>
              </w:tc>
              <w:tc>
                <w:tcPr>
                  <w:tcW w:w="833" w:type="pct"/>
                  <w:shd w:val="clear" w:color="auto" w:fill="auto"/>
                  <w:vAlign w:val="center"/>
                </w:tcPr>
                <w:p w14:paraId="32ADC0B1">
                  <w:pPr>
                    <w:pStyle w:val="65"/>
                    <w:snapToGrid w:val="0"/>
                    <w:jc w:val="center"/>
                    <w:rPr>
                      <w:rFonts w:hint="eastAsia" w:ascii="Times New Roman" w:hAnsi="Calibri" w:eastAsia="宋体" w:cs="宋体"/>
                      <w:color w:val="000000"/>
                      <w:sz w:val="21"/>
                      <w:szCs w:val="21"/>
                      <w:u w:val="single"/>
                      <w:lang w:val="en-US" w:eastAsia="zh-CN" w:bidi="ar-SA"/>
                    </w:rPr>
                  </w:pPr>
                  <w:r>
                    <w:rPr>
                      <w:rFonts w:hint="eastAsia" w:ascii="Times New Roman"/>
                      <w:sz w:val="21"/>
                      <w:szCs w:val="21"/>
                      <w:u w:val="single"/>
                    </w:rPr>
                    <w:t>自产</w:t>
                  </w:r>
                </w:p>
              </w:tc>
            </w:tr>
            <w:tr w14:paraId="024B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4C99F4F8">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3</w:t>
                  </w:r>
                </w:p>
              </w:tc>
              <w:tc>
                <w:tcPr>
                  <w:tcW w:w="1274" w:type="pct"/>
                  <w:shd w:val="clear" w:color="auto" w:fill="auto"/>
                  <w:vAlign w:val="center"/>
                </w:tcPr>
                <w:p w14:paraId="438EF3D7">
                  <w:pPr>
                    <w:adjustRightInd w:val="0"/>
                    <w:snapToGrid w:val="0"/>
                    <w:spacing w:line="240" w:lineRule="exact"/>
                    <w:jc w:val="center"/>
                    <w:rPr>
                      <w:rFonts w:hint="default" w:ascii="Times New Roman" w:hAnsi="Times New Roman" w:eastAsia="宋体" w:cs="Times New Roman"/>
                      <w:kern w:val="2"/>
                      <w:sz w:val="21"/>
                      <w:szCs w:val="21"/>
                      <w:u w:val="single"/>
                      <w:lang w:val="en-US" w:eastAsia="zh-CN" w:bidi="ar-SA"/>
                    </w:rPr>
                  </w:pPr>
                  <w:r>
                    <w:rPr>
                      <w:rFonts w:eastAsia="宋体"/>
                      <w:sz w:val="21"/>
                      <w:szCs w:val="21"/>
                      <w:u w:val="single"/>
                    </w:rPr>
                    <w:t>HI</w:t>
                  </w:r>
                  <w:r>
                    <w:rPr>
                      <w:rFonts w:hint="eastAsia"/>
                      <w:sz w:val="21"/>
                      <w:szCs w:val="21"/>
                      <w:u w:val="single"/>
                      <w:lang w:eastAsia="zh-CN"/>
                    </w:rPr>
                    <w:t>（</w:t>
                  </w:r>
                  <w:r>
                    <w:rPr>
                      <w:rFonts w:hint="eastAsia"/>
                      <w:sz w:val="21"/>
                      <w:szCs w:val="21"/>
                      <w:u w:val="single"/>
                      <w:lang w:val="en-US" w:eastAsia="zh-CN"/>
                    </w:rPr>
                    <w:t>57%</w:t>
                  </w:r>
                  <w:r>
                    <w:rPr>
                      <w:rFonts w:hint="eastAsia"/>
                      <w:sz w:val="21"/>
                      <w:szCs w:val="21"/>
                      <w:u w:val="single"/>
                      <w:lang w:eastAsia="zh-CN"/>
                    </w:rPr>
                    <w:t>）</w:t>
                  </w:r>
                </w:p>
              </w:tc>
              <w:tc>
                <w:tcPr>
                  <w:tcW w:w="641" w:type="pct"/>
                  <w:shd w:val="clear" w:color="auto" w:fill="auto"/>
                  <w:vAlign w:val="center"/>
                </w:tcPr>
                <w:p w14:paraId="5B2BF67C">
                  <w:pPr>
                    <w:widowControl/>
                    <w:jc w:val="center"/>
                    <w:rPr>
                      <w:rFonts w:hint="default" w:ascii="Times New Roman" w:hAnsi="Times New Roman" w:eastAsia="宋体" w:cs="Times New Roman"/>
                      <w:kern w:val="2"/>
                      <w:sz w:val="21"/>
                      <w:szCs w:val="24"/>
                      <w:u w:val="single"/>
                      <w:lang w:val="en-US" w:eastAsia="zh-CN" w:bidi="ar-SA"/>
                    </w:rPr>
                  </w:pPr>
                  <w:r>
                    <w:rPr>
                      <w:u w:val="single"/>
                    </w:rPr>
                    <w:t>t</w:t>
                  </w:r>
                  <w:r>
                    <w:rPr>
                      <w:rFonts w:hint="eastAsia"/>
                      <w:u w:val="single"/>
                      <w:lang w:val="en-US" w:eastAsia="zh-CN"/>
                    </w:rPr>
                    <w:t>/a</w:t>
                  </w:r>
                </w:p>
              </w:tc>
              <w:tc>
                <w:tcPr>
                  <w:tcW w:w="962" w:type="pct"/>
                  <w:shd w:val="clear" w:color="auto" w:fill="auto"/>
                  <w:vAlign w:val="center"/>
                </w:tcPr>
                <w:p w14:paraId="5F6A8202">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98</w:t>
                  </w:r>
                </w:p>
              </w:tc>
              <w:tc>
                <w:tcPr>
                  <w:tcW w:w="846" w:type="pct"/>
                  <w:shd w:val="clear" w:color="auto" w:fill="auto"/>
                  <w:vAlign w:val="center"/>
                </w:tcPr>
                <w:p w14:paraId="25832584">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98</w:t>
                  </w:r>
                </w:p>
              </w:tc>
              <w:tc>
                <w:tcPr>
                  <w:tcW w:w="833" w:type="pct"/>
                  <w:shd w:val="clear" w:color="auto" w:fill="auto"/>
                  <w:vAlign w:val="center"/>
                </w:tcPr>
                <w:p w14:paraId="65F5ECE9">
                  <w:pPr>
                    <w:pStyle w:val="65"/>
                    <w:snapToGrid w:val="0"/>
                    <w:jc w:val="center"/>
                    <w:rPr>
                      <w:rFonts w:hint="eastAsia" w:ascii="Times New Roman" w:hAnsi="Calibri" w:eastAsia="宋体" w:cs="宋体"/>
                      <w:color w:val="000000"/>
                      <w:sz w:val="21"/>
                      <w:szCs w:val="21"/>
                      <w:u w:val="single"/>
                      <w:lang w:val="en-US" w:eastAsia="zh-CN" w:bidi="ar-SA"/>
                    </w:rPr>
                  </w:pPr>
                  <w:r>
                    <w:rPr>
                      <w:rFonts w:ascii="Times New Roman"/>
                      <w:sz w:val="21"/>
                      <w:szCs w:val="21"/>
                      <w:u w:val="single"/>
                    </w:rPr>
                    <w:t>外购</w:t>
                  </w:r>
                </w:p>
              </w:tc>
            </w:tr>
            <w:tr w14:paraId="686A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shd w:val="clear" w:color="auto" w:fill="auto"/>
                  <w:vAlign w:val="center"/>
                </w:tcPr>
                <w:p w14:paraId="788D048D">
                  <w:pPr>
                    <w:widowControl/>
                    <w:jc w:val="center"/>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4</w:t>
                  </w:r>
                </w:p>
              </w:tc>
              <w:tc>
                <w:tcPr>
                  <w:tcW w:w="1274" w:type="pct"/>
                  <w:shd w:val="clear" w:color="auto" w:fill="auto"/>
                  <w:vAlign w:val="center"/>
                </w:tcPr>
                <w:p w14:paraId="6849FD1F">
                  <w:pPr>
                    <w:adjustRightInd w:val="0"/>
                    <w:snapToGrid w:val="0"/>
                    <w:spacing w:line="240" w:lineRule="exact"/>
                    <w:jc w:val="center"/>
                    <w:rPr>
                      <w:rFonts w:hint="eastAsia" w:ascii="Times New Roman" w:hAnsi="Times New Roman" w:eastAsia="宋体" w:cs="Times New Roman"/>
                      <w:kern w:val="2"/>
                      <w:sz w:val="21"/>
                      <w:szCs w:val="21"/>
                      <w:u w:val="single"/>
                      <w:lang w:val="en-US" w:eastAsia="zh-CN" w:bidi="ar-SA"/>
                    </w:rPr>
                  </w:pPr>
                  <w:r>
                    <w:rPr>
                      <w:rFonts w:eastAsia="宋体"/>
                      <w:sz w:val="21"/>
                      <w:szCs w:val="21"/>
                      <w:u w:val="single"/>
                    </w:rPr>
                    <w:t>KOH溶液</w:t>
                  </w:r>
                  <w:r>
                    <w:rPr>
                      <w:rFonts w:hint="eastAsia"/>
                      <w:sz w:val="21"/>
                      <w:szCs w:val="21"/>
                      <w:u w:val="single"/>
                      <w:lang w:eastAsia="zh-CN"/>
                    </w:rPr>
                    <w:t>（</w:t>
                  </w:r>
                  <w:r>
                    <w:rPr>
                      <w:rFonts w:hint="eastAsia"/>
                      <w:sz w:val="21"/>
                      <w:szCs w:val="21"/>
                      <w:u w:val="single"/>
                      <w:lang w:val="en-US" w:eastAsia="zh-CN"/>
                    </w:rPr>
                    <w:t>45%</w:t>
                  </w:r>
                  <w:r>
                    <w:rPr>
                      <w:rFonts w:hint="eastAsia"/>
                      <w:sz w:val="21"/>
                      <w:szCs w:val="21"/>
                      <w:u w:val="single"/>
                      <w:lang w:eastAsia="zh-CN"/>
                    </w:rPr>
                    <w:t>）</w:t>
                  </w:r>
                </w:p>
              </w:tc>
              <w:tc>
                <w:tcPr>
                  <w:tcW w:w="641" w:type="pct"/>
                  <w:shd w:val="clear" w:color="auto" w:fill="auto"/>
                  <w:vAlign w:val="center"/>
                </w:tcPr>
                <w:p w14:paraId="5397CE26">
                  <w:pPr>
                    <w:widowControl/>
                    <w:jc w:val="center"/>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t/a</w:t>
                  </w:r>
                </w:p>
              </w:tc>
              <w:tc>
                <w:tcPr>
                  <w:tcW w:w="962" w:type="pct"/>
                  <w:shd w:val="clear" w:color="auto" w:fill="auto"/>
                  <w:vAlign w:val="center"/>
                </w:tcPr>
                <w:p w14:paraId="5561CFB4">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156.8</w:t>
                  </w:r>
                </w:p>
              </w:tc>
              <w:tc>
                <w:tcPr>
                  <w:tcW w:w="846" w:type="pct"/>
                  <w:shd w:val="clear" w:color="auto" w:fill="auto"/>
                  <w:vAlign w:val="center"/>
                </w:tcPr>
                <w:p w14:paraId="33D5480B">
                  <w:pPr>
                    <w:autoSpaceDE w:val="0"/>
                    <w:autoSpaceDN w:val="0"/>
                    <w:adjustRightInd w:val="0"/>
                    <w:snapToGrid w:val="0"/>
                    <w:spacing w:line="240" w:lineRule="exact"/>
                    <w:jc w:val="center"/>
                    <w:rPr>
                      <w:rFonts w:hint="eastAsia" w:ascii="Times New Roman" w:hAnsi="Times New Roman" w:eastAsia="宋体" w:cs="Times New Roman"/>
                      <w:kern w:val="0"/>
                      <w:sz w:val="21"/>
                      <w:szCs w:val="21"/>
                      <w:u w:val="single"/>
                      <w:lang w:val="en-US" w:eastAsia="zh-CN" w:bidi="ar-SA"/>
                    </w:rPr>
                  </w:pPr>
                  <w:r>
                    <w:rPr>
                      <w:rFonts w:hint="eastAsia"/>
                      <w:sz w:val="21"/>
                      <w:szCs w:val="21"/>
                      <w:u w:val="single"/>
                    </w:rPr>
                    <w:t>156.8</w:t>
                  </w:r>
                </w:p>
              </w:tc>
              <w:tc>
                <w:tcPr>
                  <w:tcW w:w="833" w:type="pct"/>
                  <w:shd w:val="clear" w:color="auto" w:fill="auto"/>
                  <w:vAlign w:val="center"/>
                </w:tcPr>
                <w:p w14:paraId="3F01509E">
                  <w:pPr>
                    <w:pStyle w:val="65"/>
                    <w:snapToGrid w:val="0"/>
                    <w:jc w:val="center"/>
                    <w:rPr>
                      <w:rFonts w:hint="eastAsia" w:ascii="Times New Roman" w:hAnsi="Calibri" w:eastAsia="宋体" w:cs="宋体"/>
                      <w:color w:val="000000"/>
                      <w:sz w:val="21"/>
                      <w:szCs w:val="21"/>
                      <w:u w:val="single"/>
                      <w:lang w:val="en-US" w:eastAsia="zh-CN" w:bidi="ar-SA"/>
                    </w:rPr>
                  </w:pPr>
                  <w:r>
                    <w:rPr>
                      <w:rFonts w:ascii="Times New Roman"/>
                      <w:sz w:val="21"/>
                      <w:szCs w:val="21"/>
                      <w:u w:val="single"/>
                    </w:rPr>
                    <w:t>外购</w:t>
                  </w:r>
                </w:p>
              </w:tc>
            </w:tr>
          </w:tbl>
          <w:p w14:paraId="7DEDB092">
            <w:pPr>
              <w:pStyle w:val="51"/>
              <w:numPr>
                <w:ilvl w:val="2"/>
                <w:numId w:val="3"/>
              </w:numPr>
              <w:spacing w:line="500" w:lineRule="atLeast"/>
              <w:ind w:firstLineChars="0"/>
              <w:jc w:val="center"/>
              <w:rPr>
                <w:rFonts w:hint="default" w:eastAsia="宋体"/>
                <w:b/>
                <w:sz w:val="24"/>
                <w:lang w:val="en-US" w:eastAsia="zh-CN"/>
              </w:rPr>
            </w:pPr>
            <w:r>
              <w:rPr>
                <w:rFonts w:hint="eastAsia"/>
                <w:b/>
                <w:sz w:val="24"/>
                <w:lang w:val="en-US" w:eastAsia="zh-CN"/>
              </w:rPr>
              <w:t>60醋酸组分一览表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776"/>
              <w:gridCol w:w="2776"/>
            </w:tblGrid>
            <w:tr w14:paraId="149F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292A2572">
                  <w:pPr>
                    <w:widowControl/>
                    <w:ind w:left="0" w:leftChars="0" w:right="0" w:rightChars="0" w:firstLine="0" w:firstLineChars="0"/>
                    <w:jc w:val="center"/>
                    <w:rPr>
                      <w:rFonts w:hint="eastAsia" w:eastAsia="宋体"/>
                      <w:lang w:eastAsia="zh-CN"/>
                    </w:rPr>
                  </w:pPr>
                  <w:r>
                    <w:rPr>
                      <w:rFonts w:hint="eastAsia"/>
                      <w:lang w:val="en-US" w:eastAsia="zh-CN"/>
                    </w:rPr>
                    <w:t>成分</w:t>
                  </w:r>
                </w:p>
              </w:tc>
              <w:tc>
                <w:tcPr>
                  <w:tcW w:w="2775" w:type="dxa"/>
                  <w:vAlign w:val="center"/>
                </w:tcPr>
                <w:p w14:paraId="41C625C4">
                  <w:pPr>
                    <w:widowControl/>
                    <w:ind w:left="0" w:leftChars="0" w:right="0" w:rightChars="0" w:firstLine="0" w:firstLineChars="0"/>
                    <w:jc w:val="center"/>
                  </w:pPr>
                  <w:r>
                    <w:rPr>
                      <w:rFonts w:hint="eastAsia"/>
                    </w:rPr>
                    <w:t>单位</w:t>
                  </w:r>
                </w:p>
              </w:tc>
              <w:tc>
                <w:tcPr>
                  <w:tcW w:w="2775" w:type="dxa"/>
                  <w:vAlign w:val="center"/>
                </w:tcPr>
                <w:p w14:paraId="3783A24C">
                  <w:pPr>
                    <w:widowControl/>
                    <w:ind w:left="0" w:leftChars="0" w:right="0" w:rightChars="0" w:firstLine="0" w:firstLineChars="0"/>
                    <w:jc w:val="center"/>
                    <w:rPr>
                      <w:rFonts w:hint="eastAsia" w:eastAsia="宋体"/>
                      <w:lang w:eastAsia="zh-CN"/>
                    </w:rPr>
                  </w:pPr>
                  <w:r>
                    <w:rPr>
                      <w:rFonts w:hint="eastAsia"/>
                      <w:lang w:val="en-US" w:eastAsia="zh-CN"/>
                    </w:rPr>
                    <w:t>含量</w:t>
                  </w:r>
                </w:p>
              </w:tc>
            </w:tr>
            <w:tr w14:paraId="3D1E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0C95DFBC">
                  <w:pPr>
                    <w:widowControl/>
                    <w:ind w:left="0" w:leftChars="0" w:right="0" w:rightChars="0" w:firstLine="0" w:firstLineChars="0"/>
                    <w:jc w:val="center"/>
                  </w:pPr>
                  <w:r>
                    <w:rPr>
                      <w:rFonts w:hint="eastAsia"/>
                    </w:rPr>
                    <w:t>醋酸</w:t>
                  </w:r>
                </w:p>
              </w:tc>
              <w:tc>
                <w:tcPr>
                  <w:tcW w:w="2775" w:type="dxa"/>
                  <w:vAlign w:val="center"/>
                </w:tcPr>
                <w:p w14:paraId="0BE76D39">
                  <w:pPr>
                    <w:widowControl/>
                    <w:ind w:left="0" w:leftChars="0" w:right="0" w:rightChars="0" w:firstLine="0" w:firstLineChars="0"/>
                    <w:jc w:val="center"/>
                  </w:pPr>
                  <w:r>
                    <w:rPr>
                      <w:rFonts w:hint="eastAsia"/>
                    </w:rPr>
                    <w:t>%</w:t>
                  </w:r>
                  <w:r>
                    <w:t xml:space="preserve"> wt</w:t>
                  </w:r>
                </w:p>
              </w:tc>
              <w:tc>
                <w:tcPr>
                  <w:tcW w:w="2775" w:type="dxa"/>
                  <w:vAlign w:val="center"/>
                </w:tcPr>
                <w:p w14:paraId="7F0CF89A">
                  <w:pPr>
                    <w:widowControl/>
                    <w:ind w:left="0" w:leftChars="0" w:right="0" w:rightChars="0" w:firstLine="0" w:firstLineChars="0"/>
                    <w:jc w:val="center"/>
                  </w:pPr>
                  <w:r>
                    <w:rPr>
                      <w:rFonts w:hint="eastAsia"/>
                    </w:rPr>
                    <w:t>60.2</w:t>
                  </w:r>
                </w:p>
              </w:tc>
            </w:tr>
            <w:tr w14:paraId="7EBA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7A163B40">
                  <w:pPr>
                    <w:widowControl/>
                    <w:ind w:left="0" w:leftChars="0" w:right="0" w:rightChars="0" w:firstLine="0" w:firstLineChars="0"/>
                    <w:jc w:val="center"/>
                  </w:pPr>
                  <w:r>
                    <w:rPr>
                      <w:rFonts w:hint="eastAsia"/>
                    </w:rPr>
                    <w:t>丙酸</w:t>
                  </w:r>
                </w:p>
              </w:tc>
              <w:tc>
                <w:tcPr>
                  <w:tcW w:w="2775" w:type="dxa"/>
                  <w:vAlign w:val="center"/>
                </w:tcPr>
                <w:p w14:paraId="6D7A14D6">
                  <w:pPr>
                    <w:widowControl/>
                    <w:ind w:left="0" w:leftChars="0" w:right="0" w:rightChars="0" w:firstLine="0" w:firstLineChars="0"/>
                    <w:jc w:val="center"/>
                  </w:pPr>
                  <w:r>
                    <w:rPr>
                      <w:rFonts w:hint="eastAsia"/>
                    </w:rPr>
                    <w:t>%</w:t>
                  </w:r>
                  <w:r>
                    <w:t xml:space="preserve"> wt</w:t>
                  </w:r>
                </w:p>
              </w:tc>
              <w:tc>
                <w:tcPr>
                  <w:tcW w:w="2775" w:type="dxa"/>
                  <w:vAlign w:val="center"/>
                </w:tcPr>
                <w:p w14:paraId="21609181">
                  <w:pPr>
                    <w:widowControl/>
                    <w:ind w:left="0" w:leftChars="0" w:right="0" w:rightChars="0" w:firstLine="0" w:firstLineChars="0"/>
                    <w:jc w:val="center"/>
                  </w:pPr>
                  <w:r>
                    <w:rPr>
                      <w:rFonts w:hint="eastAsia"/>
                    </w:rPr>
                    <w:t>32.3</w:t>
                  </w:r>
                </w:p>
              </w:tc>
            </w:tr>
            <w:tr w14:paraId="4E40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57A81167">
                  <w:pPr>
                    <w:widowControl/>
                    <w:ind w:left="0" w:leftChars="0" w:right="0" w:rightChars="0" w:firstLine="0" w:firstLineChars="0"/>
                    <w:jc w:val="center"/>
                  </w:pPr>
                  <w:r>
                    <w:rPr>
                      <w:rFonts w:hint="eastAsia"/>
                    </w:rPr>
                    <w:t>水</w:t>
                  </w:r>
                </w:p>
              </w:tc>
              <w:tc>
                <w:tcPr>
                  <w:tcW w:w="2775" w:type="dxa"/>
                  <w:vAlign w:val="center"/>
                </w:tcPr>
                <w:p w14:paraId="202E0A1F">
                  <w:pPr>
                    <w:widowControl/>
                    <w:ind w:left="0" w:leftChars="0" w:right="0" w:rightChars="0" w:firstLine="0" w:firstLineChars="0"/>
                    <w:jc w:val="center"/>
                  </w:pPr>
                  <w:r>
                    <w:rPr>
                      <w:rFonts w:hint="eastAsia"/>
                    </w:rPr>
                    <w:t>%</w:t>
                  </w:r>
                  <w:r>
                    <w:t xml:space="preserve"> wt</w:t>
                  </w:r>
                </w:p>
              </w:tc>
              <w:tc>
                <w:tcPr>
                  <w:tcW w:w="2775" w:type="dxa"/>
                  <w:vAlign w:val="center"/>
                </w:tcPr>
                <w:p w14:paraId="4FE963A4">
                  <w:pPr>
                    <w:widowControl/>
                    <w:ind w:left="0" w:leftChars="0" w:right="0" w:rightChars="0" w:firstLine="0" w:firstLineChars="0"/>
                    <w:jc w:val="center"/>
                  </w:pPr>
                  <w:r>
                    <w:rPr>
                      <w:rFonts w:hint="eastAsia"/>
                    </w:rPr>
                    <w:t>3.5</w:t>
                  </w:r>
                </w:p>
              </w:tc>
            </w:tr>
            <w:tr w14:paraId="4121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4423766F">
                  <w:pPr>
                    <w:widowControl/>
                    <w:ind w:left="0" w:leftChars="0" w:right="0" w:rightChars="0" w:firstLine="0" w:firstLineChars="0"/>
                    <w:jc w:val="center"/>
                  </w:pPr>
                  <w:r>
                    <w:rPr>
                      <w:rFonts w:hint="eastAsia"/>
                    </w:rPr>
                    <w:t>丁酸</w:t>
                  </w:r>
                </w:p>
              </w:tc>
              <w:tc>
                <w:tcPr>
                  <w:tcW w:w="2775" w:type="dxa"/>
                  <w:vAlign w:val="center"/>
                </w:tcPr>
                <w:p w14:paraId="4EB4D84D">
                  <w:pPr>
                    <w:widowControl/>
                    <w:ind w:left="0" w:leftChars="0" w:right="0" w:rightChars="0" w:firstLine="0" w:firstLineChars="0"/>
                    <w:jc w:val="center"/>
                  </w:pPr>
                  <w:r>
                    <w:rPr>
                      <w:rFonts w:hint="eastAsia"/>
                    </w:rPr>
                    <w:t>%</w:t>
                  </w:r>
                  <w:r>
                    <w:t xml:space="preserve"> wt</w:t>
                  </w:r>
                </w:p>
              </w:tc>
              <w:tc>
                <w:tcPr>
                  <w:tcW w:w="2775" w:type="dxa"/>
                  <w:vAlign w:val="center"/>
                </w:tcPr>
                <w:p w14:paraId="650CE306">
                  <w:pPr>
                    <w:widowControl/>
                    <w:ind w:left="0" w:leftChars="0" w:right="0" w:rightChars="0" w:firstLine="0" w:firstLineChars="0"/>
                    <w:jc w:val="center"/>
                  </w:pPr>
                  <w:r>
                    <w:rPr>
                      <w:rFonts w:hint="eastAsia"/>
                    </w:rPr>
                    <w:t>0.73</w:t>
                  </w:r>
                </w:p>
              </w:tc>
            </w:tr>
            <w:tr w14:paraId="515D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31BF0E81">
                  <w:pPr>
                    <w:widowControl/>
                    <w:ind w:left="0" w:leftChars="0" w:right="0" w:rightChars="0" w:firstLine="0" w:firstLineChars="0"/>
                    <w:jc w:val="center"/>
                  </w:pPr>
                  <w:r>
                    <w:rPr>
                      <w:rFonts w:hint="eastAsia"/>
                    </w:rPr>
                    <w:t>戊酸</w:t>
                  </w:r>
                </w:p>
              </w:tc>
              <w:tc>
                <w:tcPr>
                  <w:tcW w:w="2775" w:type="dxa"/>
                  <w:vAlign w:val="center"/>
                </w:tcPr>
                <w:p w14:paraId="0F7597F2">
                  <w:pPr>
                    <w:widowControl/>
                    <w:ind w:left="0" w:leftChars="0" w:right="0" w:rightChars="0" w:firstLine="0" w:firstLineChars="0"/>
                    <w:jc w:val="center"/>
                  </w:pPr>
                  <w:r>
                    <w:rPr>
                      <w:rFonts w:hint="eastAsia"/>
                    </w:rPr>
                    <w:t>%</w:t>
                  </w:r>
                  <w:r>
                    <w:t xml:space="preserve"> wt</w:t>
                  </w:r>
                </w:p>
              </w:tc>
              <w:tc>
                <w:tcPr>
                  <w:tcW w:w="2775" w:type="dxa"/>
                  <w:vAlign w:val="center"/>
                </w:tcPr>
                <w:p w14:paraId="03662DFE">
                  <w:pPr>
                    <w:widowControl/>
                    <w:ind w:left="0" w:leftChars="0" w:right="0" w:rightChars="0" w:firstLine="0" w:firstLineChars="0"/>
                    <w:jc w:val="center"/>
                  </w:pPr>
                  <w:r>
                    <w:rPr>
                      <w:rFonts w:hint="eastAsia"/>
                    </w:rPr>
                    <w:t>0.73</w:t>
                  </w:r>
                </w:p>
              </w:tc>
            </w:tr>
            <w:tr w14:paraId="0F81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1" w:type="dxa"/>
                  <w:vAlign w:val="center"/>
                </w:tcPr>
                <w:p w14:paraId="011CC30F">
                  <w:pPr>
                    <w:widowControl/>
                    <w:ind w:left="0" w:leftChars="0" w:right="0" w:rightChars="0" w:firstLine="0" w:firstLineChars="0"/>
                    <w:jc w:val="center"/>
                    <w:rPr>
                      <w:rFonts w:hint="eastAsia"/>
                    </w:rPr>
                  </w:pPr>
                  <w:r>
                    <w:rPr>
                      <w:rFonts w:hint="eastAsia"/>
                    </w:rPr>
                    <w:t>盐类</w:t>
                  </w:r>
                </w:p>
              </w:tc>
              <w:tc>
                <w:tcPr>
                  <w:tcW w:w="2775" w:type="dxa"/>
                  <w:vAlign w:val="center"/>
                </w:tcPr>
                <w:p w14:paraId="1FA2D33C">
                  <w:pPr>
                    <w:widowControl/>
                    <w:ind w:left="0" w:leftChars="0" w:right="0" w:rightChars="0" w:firstLine="0" w:firstLineChars="0"/>
                    <w:jc w:val="center"/>
                    <w:rPr>
                      <w:rFonts w:hint="eastAsia"/>
                    </w:rPr>
                  </w:pPr>
                  <w:r>
                    <w:rPr>
                      <w:rFonts w:hint="eastAsia"/>
                    </w:rPr>
                    <w:t>%</w:t>
                  </w:r>
                  <w:r>
                    <w:t xml:space="preserve"> wt</w:t>
                  </w:r>
                </w:p>
              </w:tc>
              <w:tc>
                <w:tcPr>
                  <w:tcW w:w="2775" w:type="dxa"/>
                  <w:vAlign w:val="center"/>
                </w:tcPr>
                <w:p w14:paraId="330C2146">
                  <w:pPr>
                    <w:widowControl/>
                    <w:ind w:left="0" w:leftChars="0" w:right="0" w:rightChars="0" w:firstLine="0" w:firstLineChars="0"/>
                    <w:jc w:val="center"/>
                    <w:rPr>
                      <w:rFonts w:hint="eastAsia"/>
                    </w:rPr>
                  </w:pPr>
                  <w:r>
                    <w:rPr>
                      <w:rFonts w:hint="eastAsia"/>
                    </w:rPr>
                    <w:t>2.57</w:t>
                  </w:r>
                </w:p>
              </w:tc>
            </w:tr>
          </w:tbl>
          <w:p w14:paraId="271B35B0">
            <w:pPr>
              <w:spacing w:line="500" w:lineRule="atLeast"/>
              <w:ind w:firstLine="482" w:firstLineChars="200"/>
              <w:rPr>
                <w:b/>
                <w:sz w:val="24"/>
              </w:rPr>
            </w:pPr>
            <w:r>
              <w:rPr>
                <w:rFonts w:hint="eastAsia"/>
                <w:b/>
                <w:sz w:val="24"/>
              </w:rPr>
              <w:t>6、总平面布置</w:t>
            </w:r>
          </w:p>
          <w:p w14:paraId="5C5DF7D6">
            <w:pPr>
              <w:spacing w:line="500" w:lineRule="atLeast"/>
              <w:ind w:firstLine="480" w:firstLineChars="200"/>
              <w:rPr>
                <w:rFonts w:hint="eastAsia"/>
                <w:sz w:val="24"/>
              </w:rPr>
            </w:pPr>
            <w:r>
              <w:rPr>
                <w:rFonts w:hint="eastAsia"/>
                <w:sz w:val="24"/>
              </w:rPr>
              <w:t>本项目</w:t>
            </w:r>
            <w:r>
              <w:rPr>
                <w:rFonts w:hint="eastAsia"/>
                <w:sz w:val="24"/>
                <w:lang w:val="en-US" w:eastAsia="zh-CN"/>
              </w:rPr>
              <w:t>60醋酸分离回收装置主要设置在醋酸装置区内，废液罐、丙酸缓冲罐设置在现有醋酸罐区西南面</w:t>
            </w:r>
            <w:r>
              <w:rPr>
                <w:rFonts w:hint="eastAsia"/>
                <w:sz w:val="24"/>
              </w:rPr>
              <w:t>，总平面布置图见附图2。</w:t>
            </w:r>
          </w:p>
          <w:p w14:paraId="5CC41C67">
            <w:pPr>
              <w:spacing w:line="500" w:lineRule="atLeast"/>
              <w:ind w:firstLine="482" w:firstLineChars="200"/>
              <w:rPr>
                <w:b/>
                <w:sz w:val="24"/>
              </w:rPr>
            </w:pPr>
            <w:r>
              <w:rPr>
                <w:rFonts w:hint="eastAsia"/>
                <w:b/>
                <w:sz w:val="24"/>
              </w:rPr>
              <w:t>7、公用工程</w:t>
            </w:r>
          </w:p>
          <w:p w14:paraId="2B241071">
            <w:pPr>
              <w:spacing w:line="500" w:lineRule="atLeast"/>
              <w:ind w:firstLine="482" w:firstLineChars="200"/>
              <w:rPr>
                <w:b/>
                <w:sz w:val="24"/>
              </w:rPr>
            </w:pPr>
            <w:r>
              <w:rPr>
                <w:rFonts w:hint="eastAsia"/>
                <w:b/>
                <w:sz w:val="24"/>
              </w:rPr>
              <w:t>（1）供电</w:t>
            </w:r>
          </w:p>
          <w:p w14:paraId="0E4679CF">
            <w:pPr>
              <w:spacing w:line="500" w:lineRule="atLeast"/>
              <w:ind w:firstLine="480" w:firstLineChars="200"/>
              <w:rPr>
                <w:sz w:val="24"/>
              </w:rPr>
            </w:pPr>
            <w:r>
              <w:rPr>
                <w:sz w:val="24"/>
              </w:rPr>
              <w:t>本项目电源由</w:t>
            </w:r>
            <w:r>
              <w:rPr>
                <w:rFonts w:hint="eastAsia"/>
                <w:sz w:val="24"/>
              </w:rPr>
              <w:t>厂区</w:t>
            </w:r>
            <w:r>
              <w:rPr>
                <w:sz w:val="24"/>
              </w:rPr>
              <w:t>变电所提供。</w:t>
            </w:r>
          </w:p>
          <w:p w14:paraId="6F5592C6">
            <w:pPr>
              <w:spacing w:line="500" w:lineRule="atLeast"/>
              <w:ind w:firstLine="482" w:firstLineChars="200"/>
              <w:rPr>
                <w:rFonts w:hint="eastAsia" w:eastAsia="宋体"/>
                <w:b/>
                <w:sz w:val="24"/>
                <w:lang w:val="en-US" w:eastAsia="zh-CN"/>
              </w:rPr>
            </w:pPr>
            <w:r>
              <w:rPr>
                <w:rFonts w:hint="eastAsia"/>
                <w:b/>
                <w:sz w:val="24"/>
              </w:rPr>
              <w:t>（</w:t>
            </w:r>
            <w:r>
              <w:rPr>
                <w:b/>
                <w:sz w:val="24"/>
              </w:rPr>
              <w:t>2</w:t>
            </w:r>
            <w:r>
              <w:rPr>
                <w:rFonts w:hint="eastAsia"/>
                <w:b/>
                <w:sz w:val="24"/>
              </w:rPr>
              <w:t>）供</w:t>
            </w:r>
            <w:r>
              <w:rPr>
                <w:rFonts w:hint="eastAsia"/>
                <w:b/>
                <w:sz w:val="24"/>
                <w:lang w:val="en-US" w:eastAsia="zh-CN"/>
              </w:rPr>
              <w:t>汽</w:t>
            </w:r>
          </w:p>
          <w:p w14:paraId="71F72A57">
            <w:pPr>
              <w:spacing w:line="500" w:lineRule="atLeast"/>
              <w:ind w:firstLine="480" w:firstLineChars="200"/>
              <w:rPr>
                <w:sz w:val="24"/>
              </w:rPr>
            </w:pPr>
            <w:r>
              <w:rPr>
                <w:sz w:val="24"/>
              </w:rPr>
              <w:t>本项目</w:t>
            </w:r>
            <w:r>
              <w:rPr>
                <w:rFonts w:hint="eastAsia"/>
                <w:sz w:val="24"/>
                <w:lang w:val="en-US" w:eastAsia="zh-CN"/>
              </w:rPr>
              <w:t>蒸汽</w:t>
            </w:r>
            <w:r>
              <w:rPr>
                <w:sz w:val="24"/>
              </w:rPr>
              <w:t>依托</w:t>
            </w:r>
            <w:r>
              <w:rPr>
                <w:rFonts w:hint="eastAsia"/>
                <w:sz w:val="24"/>
                <w:lang w:val="en-US" w:eastAsia="zh-CN"/>
              </w:rPr>
              <w:t>供汽管网提供，</w:t>
            </w:r>
            <w:r>
              <w:rPr>
                <w:rFonts w:hint="eastAsia"/>
                <w:sz w:val="24"/>
              </w:rPr>
              <w:t>由园区统一供汽。</w:t>
            </w:r>
          </w:p>
          <w:p w14:paraId="2BE96B30">
            <w:pPr>
              <w:spacing w:line="500" w:lineRule="atLeast"/>
              <w:ind w:firstLine="482" w:firstLineChars="200"/>
              <w:rPr>
                <w:b/>
                <w:sz w:val="24"/>
              </w:rPr>
            </w:pPr>
            <w:r>
              <w:rPr>
                <w:rFonts w:hint="eastAsia"/>
                <w:b/>
                <w:sz w:val="24"/>
              </w:rPr>
              <w:t>（3）供水</w:t>
            </w:r>
          </w:p>
          <w:p w14:paraId="2CA13AF3">
            <w:pPr>
              <w:spacing w:line="500" w:lineRule="atLeast"/>
              <w:ind w:firstLine="480" w:firstLineChars="200"/>
              <w:rPr>
                <w:rFonts w:hint="default"/>
                <w:sz w:val="24"/>
                <w:lang w:val="en-US" w:eastAsia="zh-CN"/>
              </w:rPr>
            </w:pPr>
            <w:r>
              <w:rPr>
                <w:sz w:val="24"/>
              </w:rPr>
              <w:t>本</w:t>
            </w:r>
            <w:r>
              <w:rPr>
                <w:rFonts w:hint="eastAsia"/>
                <w:sz w:val="24"/>
                <w:lang w:val="en-US" w:eastAsia="zh-CN"/>
              </w:rPr>
              <w:t>项目</w:t>
            </w:r>
            <w:r>
              <w:rPr>
                <w:sz w:val="24"/>
              </w:rPr>
              <w:t>不新增定员，无</w:t>
            </w:r>
            <w:r>
              <w:rPr>
                <w:rFonts w:hint="eastAsia"/>
                <w:sz w:val="24"/>
                <w:lang w:val="en-US" w:eastAsia="zh-CN"/>
              </w:rPr>
              <w:t>新增</w:t>
            </w:r>
            <w:r>
              <w:rPr>
                <w:sz w:val="24"/>
              </w:rPr>
              <w:t>生活</w:t>
            </w:r>
            <w:r>
              <w:rPr>
                <w:rFonts w:hint="eastAsia"/>
                <w:sz w:val="24"/>
                <w:lang w:val="en-US" w:eastAsia="zh-CN"/>
              </w:rPr>
              <w:t>用水</w:t>
            </w:r>
            <w:r>
              <w:rPr>
                <w:sz w:val="24"/>
              </w:rPr>
              <w:t>。</w:t>
            </w:r>
            <w:r>
              <w:rPr>
                <w:rFonts w:hint="eastAsia"/>
                <w:sz w:val="24"/>
                <w:lang w:val="en-US" w:eastAsia="zh-CN"/>
              </w:rPr>
              <w:t>生产过程主要用水为循环水、丙酸缓冲罐呼吸废气洗涤水，循环水用水量为10t/h。依托现有工程循环水站提供，现有工程建设有1#循环水场、2#循环水场，建设规模均为13×5000m</w:t>
            </w:r>
            <w:r>
              <w:rPr>
                <w:rFonts w:hint="eastAsia"/>
                <w:sz w:val="24"/>
                <w:vertAlign w:val="superscript"/>
                <w:lang w:val="en-US" w:eastAsia="zh-CN"/>
              </w:rPr>
              <w:t>3</w:t>
            </w:r>
            <w:r>
              <w:rPr>
                <w:rFonts w:hint="eastAsia"/>
                <w:sz w:val="24"/>
                <w:lang w:val="en-US" w:eastAsia="zh-CN"/>
              </w:rPr>
              <w:t>/h，合计规模为130000t/h。根据统计，工业气体岛项目循环水量为93495t/h、合成气综合利用项目循环水量为14956t/h、HOPENE项目循环水量为120t/h，甲醇制烯烃项目另建循环水站，氨回收装置循环水量为150t/h，醋酸提产项目循环水量为822t/h，合计循环水站使用量为109543t/h，仍有富余量20457t/h，可满足本项目10t/h的需求。丙酸缓冲罐呼吸废气洗涤水用量约5t/a，循环使用不外排。</w:t>
            </w:r>
          </w:p>
          <w:p w14:paraId="3B663254">
            <w:pPr>
              <w:spacing w:line="500" w:lineRule="atLeast"/>
              <w:ind w:firstLine="482" w:firstLineChars="200"/>
              <w:rPr>
                <w:b/>
                <w:sz w:val="24"/>
              </w:rPr>
            </w:pPr>
            <w:r>
              <w:rPr>
                <w:rFonts w:hint="eastAsia"/>
                <w:b/>
                <w:sz w:val="24"/>
              </w:rPr>
              <w:t>（4）排水</w:t>
            </w:r>
          </w:p>
          <w:p w14:paraId="116CBEA0">
            <w:pPr>
              <w:spacing w:line="500" w:lineRule="atLeast"/>
              <w:ind w:firstLine="480" w:firstLineChars="200"/>
              <w:rPr>
                <w:rFonts w:hint="default"/>
                <w:sz w:val="24"/>
                <w:lang w:val="en-US" w:eastAsia="zh-CN"/>
              </w:rPr>
            </w:pPr>
            <w:r>
              <w:rPr>
                <w:rFonts w:hint="eastAsia"/>
                <w:sz w:val="24"/>
              </w:rPr>
              <w:t>本项目不新增定员，无新增生活</w:t>
            </w:r>
            <w:r>
              <w:rPr>
                <w:rFonts w:hint="eastAsia"/>
                <w:sz w:val="24"/>
                <w:lang w:val="en-US" w:eastAsia="zh-CN"/>
              </w:rPr>
              <w:t>废水</w:t>
            </w:r>
            <w:r>
              <w:rPr>
                <w:rFonts w:hint="eastAsia"/>
                <w:sz w:val="24"/>
                <w:lang w:eastAsia="zh-CN"/>
              </w:rPr>
              <w:t>，</w:t>
            </w:r>
            <w:r>
              <w:rPr>
                <w:rFonts w:hint="eastAsia"/>
                <w:sz w:val="24"/>
                <w:lang w:val="en-US" w:eastAsia="zh-CN"/>
              </w:rPr>
              <w:t>运营过程中主要是对60醋酸进行物理分离和回收，生产过程无生产废水产生。</w:t>
            </w:r>
          </w:p>
          <w:p w14:paraId="67F6CB0A">
            <w:pPr>
              <w:spacing w:line="500" w:lineRule="atLeast"/>
              <w:ind w:firstLine="482" w:firstLineChars="200"/>
              <w:rPr>
                <w:b/>
                <w:sz w:val="24"/>
              </w:rPr>
            </w:pPr>
            <w:r>
              <w:rPr>
                <w:rFonts w:hint="eastAsia"/>
                <w:b/>
                <w:sz w:val="24"/>
              </w:rPr>
              <w:t>8、劳动定员及工作制度</w:t>
            </w:r>
          </w:p>
          <w:p w14:paraId="34E3387E">
            <w:pPr>
              <w:spacing w:line="500" w:lineRule="atLeast"/>
              <w:ind w:firstLine="480" w:firstLineChars="200"/>
              <w:rPr>
                <w:rFonts w:hint="eastAsia"/>
                <w:sz w:val="24"/>
                <w:u w:val="single"/>
              </w:rPr>
            </w:pPr>
            <w:r>
              <w:rPr>
                <w:rFonts w:hint="eastAsia"/>
                <w:sz w:val="24"/>
                <w:u w:val="single"/>
                <w:lang w:val="en-US" w:eastAsia="zh-CN"/>
              </w:rPr>
              <w:t>项目</w:t>
            </w:r>
            <w:r>
              <w:rPr>
                <w:rFonts w:hint="eastAsia"/>
                <w:sz w:val="24"/>
                <w:u w:val="single"/>
              </w:rPr>
              <w:t>不新增劳动定员，生产按四班两运转运行，24小时运行模式，年工作时间为8000h。</w:t>
            </w:r>
          </w:p>
          <w:p w14:paraId="0DF2F42F">
            <w:pPr>
              <w:spacing w:line="500" w:lineRule="atLeast"/>
              <w:ind w:firstLine="482" w:firstLineChars="200"/>
              <w:rPr>
                <w:rFonts w:hint="eastAsia"/>
                <w:b/>
                <w:bCs/>
                <w:sz w:val="24"/>
                <w:lang w:val="en-US" w:eastAsia="zh-CN"/>
              </w:rPr>
            </w:pPr>
            <w:r>
              <w:rPr>
                <w:rFonts w:hint="eastAsia"/>
                <w:b/>
                <w:bCs/>
                <w:sz w:val="24"/>
                <w:lang w:val="en-US" w:eastAsia="zh-CN"/>
              </w:rPr>
              <w:t>9、物料平衡</w:t>
            </w:r>
          </w:p>
          <w:p w14:paraId="150E84F6">
            <w:pPr>
              <w:pStyle w:val="51"/>
              <w:numPr>
                <w:ilvl w:val="2"/>
                <w:numId w:val="3"/>
              </w:numPr>
              <w:spacing w:line="500" w:lineRule="atLeast"/>
              <w:ind w:firstLineChars="0"/>
              <w:jc w:val="center"/>
              <w:rPr>
                <w:rFonts w:hint="default"/>
                <w:b/>
                <w:bCs/>
                <w:sz w:val="24"/>
                <w:lang w:val="en-US" w:eastAsia="zh-CN"/>
              </w:rPr>
            </w:pPr>
            <w:r>
              <w:rPr>
                <w:rFonts w:hint="eastAsia"/>
                <w:b/>
                <w:sz w:val="24"/>
                <w:lang w:val="en-US" w:eastAsia="zh-CN"/>
              </w:rPr>
              <w:t>项目物料平衡一览表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681"/>
              <w:gridCol w:w="1816"/>
              <w:gridCol w:w="2280"/>
              <w:gridCol w:w="1831"/>
            </w:tblGrid>
            <w:tr w14:paraId="19EF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Merge w:val="restart"/>
                  <w:vAlign w:val="center"/>
                </w:tcPr>
                <w:p w14:paraId="7F42D83A">
                  <w:pPr>
                    <w:widowControl/>
                    <w:ind w:left="0" w:leftChars="0" w:right="0" w:rightChars="0" w:firstLine="0" w:firstLineChars="0"/>
                    <w:jc w:val="center"/>
                    <w:rPr>
                      <w:rFonts w:hint="eastAsia" w:eastAsia="宋体"/>
                      <w:lang w:val="en-US" w:eastAsia="zh-CN"/>
                    </w:rPr>
                  </w:pPr>
                  <w:r>
                    <w:rPr>
                      <w:rFonts w:hint="eastAsia"/>
                      <w:lang w:val="en-US" w:eastAsia="zh-CN"/>
                    </w:rPr>
                    <w:t>序号</w:t>
                  </w:r>
                </w:p>
              </w:tc>
              <w:tc>
                <w:tcPr>
                  <w:tcW w:w="3495" w:type="dxa"/>
                  <w:gridSpan w:val="2"/>
                  <w:vAlign w:val="center"/>
                </w:tcPr>
                <w:p w14:paraId="4FF5BD64">
                  <w:pPr>
                    <w:widowControl/>
                    <w:ind w:left="0" w:leftChars="0" w:right="0" w:rightChars="0" w:firstLine="0" w:firstLineChars="0"/>
                    <w:jc w:val="center"/>
                    <w:rPr>
                      <w:rFonts w:hint="eastAsia" w:eastAsia="宋体"/>
                      <w:lang w:val="en-US" w:eastAsia="zh-CN"/>
                    </w:rPr>
                  </w:pPr>
                  <w:r>
                    <w:rPr>
                      <w:rFonts w:hint="eastAsia"/>
                      <w:lang w:val="en-US" w:eastAsia="zh-CN"/>
                    </w:rPr>
                    <w:t>进料（t/a）</w:t>
                  </w:r>
                </w:p>
              </w:tc>
              <w:tc>
                <w:tcPr>
                  <w:tcW w:w="4108" w:type="dxa"/>
                  <w:gridSpan w:val="2"/>
                  <w:vAlign w:val="center"/>
                </w:tcPr>
                <w:p w14:paraId="669F89F9">
                  <w:pPr>
                    <w:widowControl/>
                    <w:ind w:left="0" w:leftChars="0" w:right="0" w:rightChars="0" w:firstLine="0" w:firstLineChars="0"/>
                    <w:jc w:val="center"/>
                    <w:rPr>
                      <w:rFonts w:hint="default" w:eastAsia="宋体"/>
                      <w:lang w:val="en-US" w:eastAsia="zh-CN"/>
                    </w:rPr>
                  </w:pPr>
                  <w:r>
                    <w:rPr>
                      <w:rFonts w:hint="eastAsia"/>
                      <w:lang w:val="en-US" w:eastAsia="zh-CN"/>
                    </w:rPr>
                    <w:t>出料（t/a）</w:t>
                  </w:r>
                </w:p>
              </w:tc>
            </w:tr>
            <w:tr w14:paraId="61EF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Merge w:val="continue"/>
                  <w:vAlign w:val="center"/>
                </w:tcPr>
                <w:p w14:paraId="6C91E4B4">
                  <w:pPr>
                    <w:widowControl/>
                    <w:ind w:left="0" w:leftChars="0" w:right="0" w:rightChars="0" w:firstLine="0" w:firstLineChars="0"/>
                    <w:jc w:val="center"/>
                    <w:rPr>
                      <w:rFonts w:hint="eastAsia"/>
                      <w:lang w:val="en-US" w:eastAsia="zh-CN"/>
                    </w:rPr>
                  </w:pPr>
                </w:p>
              </w:tc>
              <w:tc>
                <w:tcPr>
                  <w:tcW w:w="1680" w:type="dxa"/>
                  <w:vAlign w:val="center"/>
                </w:tcPr>
                <w:p w14:paraId="0B7E946F">
                  <w:pPr>
                    <w:widowControl/>
                    <w:ind w:left="0" w:leftChars="0" w:right="0" w:rightChars="0" w:firstLine="0" w:firstLineChars="0"/>
                    <w:jc w:val="center"/>
                    <w:rPr>
                      <w:rFonts w:hint="default"/>
                      <w:lang w:val="en-US" w:eastAsia="zh-CN"/>
                    </w:rPr>
                  </w:pPr>
                  <w:r>
                    <w:rPr>
                      <w:rFonts w:hint="eastAsia"/>
                      <w:lang w:val="en-US" w:eastAsia="zh-CN"/>
                    </w:rPr>
                    <w:t>名称</w:t>
                  </w:r>
                </w:p>
              </w:tc>
              <w:tc>
                <w:tcPr>
                  <w:tcW w:w="1815" w:type="dxa"/>
                  <w:vAlign w:val="center"/>
                </w:tcPr>
                <w:p w14:paraId="49EA4D4E">
                  <w:pPr>
                    <w:widowControl/>
                    <w:ind w:left="0" w:leftChars="0" w:right="0" w:rightChars="0" w:firstLine="0" w:firstLineChars="0"/>
                    <w:jc w:val="center"/>
                    <w:rPr>
                      <w:rFonts w:hint="default"/>
                      <w:lang w:val="en-US" w:eastAsia="zh-CN"/>
                    </w:rPr>
                  </w:pPr>
                  <w:r>
                    <w:rPr>
                      <w:rFonts w:hint="eastAsia"/>
                      <w:lang w:val="en-US" w:eastAsia="zh-CN"/>
                    </w:rPr>
                    <w:t>数量</w:t>
                  </w:r>
                </w:p>
              </w:tc>
              <w:tc>
                <w:tcPr>
                  <w:tcW w:w="2279" w:type="dxa"/>
                  <w:shd w:val="clear" w:color="auto" w:fill="auto"/>
                  <w:vAlign w:val="center"/>
                </w:tcPr>
                <w:p w14:paraId="09EF47E2">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名称</w:t>
                  </w:r>
                </w:p>
              </w:tc>
              <w:tc>
                <w:tcPr>
                  <w:tcW w:w="1829" w:type="dxa"/>
                  <w:shd w:val="clear" w:color="auto" w:fill="auto"/>
                  <w:vAlign w:val="center"/>
                </w:tcPr>
                <w:p w14:paraId="698C1BF2">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数量</w:t>
                  </w:r>
                </w:p>
              </w:tc>
            </w:tr>
            <w:tr w14:paraId="458C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Align w:val="center"/>
                </w:tcPr>
                <w:p w14:paraId="20FAC374">
                  <w:pPr>
                    <w:widowControl/>
                    <w:ind w:left="0" w:leftChars="0" w:right="0" w:rightChars="0" w:firstLine="0" w:firstLineChars="0"/>
                    <w:jc w:val="center"/>
                    <w:rPr>
                      <w:rFonts w:hint="eastAsia" w:eastAsia="宋体"/>
                      <w:lang w:val="en-US" w:eastAsia="zh-CN"/>
                    </w:rPr>
                  </w:pPr>
                  <w:r>
                    <w:rPr>
                      <w:rFonts w:hint="eastAsia"/>
                      <w:lang w:val="en-US" w:eastAsia="zh-CN"/>
                    </w:rPr>
                    <w:t>1</w:t>
                  </w:r>
                </w:p>
              </w:tc>
              <w:tc>
                <w:tcPr>
                  <w:tcW w:w="1680" w:type="dxa"/>
                  <w:vAlign w:val="center"/>
                </w:tcPr>
                <w:p w14:paraId="30349FD9">
                  <w:pPr>
                    <w:widowControl/>
                    <w:ind w:left="0" w:leftChars="0" w:right="0" w:rightChars="0" w:firstLine="0" w:firstLineChars="0"/>
                    <w:jc w:val="center"/>
                    <w:rPr>
                      <w:rFonts w:hint="default" w:eastAsia="宋体"/>
                      <w:lang w:val="en-US" w:eastAsia="zh-CN"/>
                    </w:rPr>
                  </w:pPr>
                  <w:r>
                    <w:rPr>
                      <w:rFonts w:hint="eastAsia"/>
                      <w:lang w:val="en-US" w:eastAsia="zh-CN"/>
                    </w:rPr>
                    <w:t>60醋酸</w:t>
                  </w:r>
                </w:p>
              </w:tc>
              <w:tc>
                <w:tcPr>
                  <w:tcW w:w="1815" w:type="dxa"/>
                  <w:vAlign w:val="center"/>
                </w:tcPr>
                <w:p w14:paraId="165F96C2">
                  <w:pPr>
                    <w:widowControl/>
                    <w:ind w:left="0" w:leftChars="0" w:right="0" w:rightChars="0" w:firstLine="0" w:firstLineChars="0"/>
                    <w:jc w:val="center"/>
                    <w:rPr>
                      <w:rFonts w:hint="default"/>
                      <w:lang w:val="en-US" w:eastAsia="zh-CN"/>
                    </w:rPr>
                  </w:pPr>
                  <w:r>
                    <w:rPr>
                      <w:rFonts w:hint="eastAsia"/>
                      <w:lang w:val="en-US" w:eastAsia="zh-CN"/>
                    </w:rPr>
                    <w:t>2800</w:t>
                  </w:r>
                </w:p>
              </w:tc>
              <w:tc>
                <w:tcPr>
                  <w:tcW w:w="2279" w:type="dxa"/>
                  <w:vAlign w:val="center"/>
                </w:tcPr>
                <w:p w14:paraId="5FE0AA18">
                  <w:pPr>
                    <w:widowControl/>
                    <w:ind w:left="0" w:leftChars="0" w:right="0" w:rightChars="0" w:firstLine="0" w:firstLineChars="0"/>
                    <w:jc w:val="center"/>
                    <w:rPr>
                      <w:rFonts w:hint="default" w:eastAsia="宋体"/>
                      <w:lang w:val="en-US" w:eastAsia="zh-CN"/>
                    </w:rPr>
                  </w:pPr>
                  <w:r>
                    <w:rPr>
                      <w:rFonts w:hint="eastAsia"/>
                      <w:lang w:val="en-US" w:eastAsia="zh-CN"/>
                    </w:rPr>
                    <w:t>醋酸</w:t>
                  </w:r>
                </w:p>
              </w:tc>
              <w:tc>
                <w:tcPr>
                  <w:tcW w:w="1829" w:type="dxa"/>
                  <w:vAlign w:val="center"/>
                </w:tcPr>
                <w:p w14:paraId="7E9E256F">
                  <w:pPr>
                    <w:widowControl/>
                    <w:ind w:left="0" w:leftChars="0" w:right="0" w:rightChars="0" w:firstLine="0" w:firstLineChars="0"/>
                    <w:jc w:val="center"/>
                    <w:rPr>
                      <w:rFonts w:hint="default" w:eastAsia="宋体"/>
                      <w:lang w:val="en-US" w:eastAsia="zh-CN"/>
                    </w:rPr>
                  </w:pPr>
                  <w:r>
                    <w:rPr>
                      <w:rFonts w:hint="eastAsia"/>
                      <w:lang w:val="en-US" w:eastAsia="zh-CN"/>
                    </w:rPr>
                    <w:t>1600</w:t>
                  </w:r>
                </w:p>
              </w:tc>
            </w:tr>
            <w:tr w14:paraId="3DDD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shd w:val="clear" w:color="auto" w:fill="auto"/>
                  <w:vAlign w:val="center"/>
                </w:tcPr>
                <w:p w14:paraId="7926453E">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2</w:t>
                  </w:r>
                </w:p>
              </w:tc>
              <w:tc>
                <w:tcPr>
                  <w:tcW w:w="1680" w:type="dxa"/>
                  <w:vAlign w:val="center"/>
                </w:tcPr>
                <w:p w14:paraId="082C9F68">
                  <w:pPr>
                    <w:widowControl/>
                    <w:ind w:left="0" w:leftChars="0" w:right="0" w:rightChars="0" w:firstLine="0" w:firstLineChars="0"/>
                    <w:jc w:val="center"/>
                    <w:rPr>
                      <w:rFonts w:hint="eastAsia"/>
                      <w:lang w:val="en-US" w:eastAsia="zh-CN"/>
                    </w:rPr>
                  </w:pPr>
                </w:p>
              </w:tc>
              <w:tc>
                <w:tcPr>
                  <w:tcW w:w="1815" w:type="dxa"/>
                  <w:vAlign w:val="center"/>
                </w:tcPr>
                <w:p w14:paraId="487A68E0">
                  <w:pPr>
                    <w:widowControl/>
                    <w:ind w:left="0" w:leftChars="0" w:right="0" w:rightChars="0" w:firstLine="0" w:firstLineChars="0"/>
                    <w:jc w:val="center"/>
                    <w:rPr>
                      <w:rFonts w:hint="eastAsia"/>
                      <w:lang w:val="en-US" w:eastAsia="zh-CN"/>
                    </w:rPr>
                  </w:pPr>
                </w:p>
              </w:tc>
              <w:tc>
                <w:tcPr>
                  <w:tcW w:w="2279" w:type="dxa"/>
                  <w:vAlign w:val="center"/>
                </w:tcPr>
                <w:p w14:paraId="4D849E32">
                  <w:pPr>
                    <w:widowControl/>
                    <w:ind w:left="0" w:leftChars="0" w:right="0" w:rightChars="0" w:firstLine="0" w:firstLineChars="0"/>
                    <w:jc w:val="center"/>
                    <w:rPr>
                      <w:rFonts w:hint="eastAsia" w:eastAsia="宋体"/>
                      <w:lang w:val="en-US" w:eastAsia="zh-CN"/>
                    </w:rPr>
                  </w:pPr>
                  <w:r>
                    <w:rPr>
                      <w:rFonts w:hint="eastAsia"/>
                      <w:lang w:val="en-US" w:eastAsia="zh-CN"/>
                    </w:rPr>
                    <w:t>丙酸</w:t>
                  </w:r>
                </w:p>
              </w:tc>
              <w:tc>
                <w:tcPr>
                  <w:tcW w:w="1829" w:type="dxa"/>
                  <w:vAlign w:val="center"/>
                </w:tcPr>
                <w:p w14:paraId="002E5CE4">
                  <w:pPr>
                    <w:widowControl/>
                    <w:ind w:left="0" w:leftChars="0" w:right="0" w:rightChars="0" w:firstLine="0" w:firstLineChars="0"/>
                    <w:jc w:val="center"/>
                    <w:rPr>
                      <w:rFonts w:hint="default" w:eastAsia="宋体"/>
                      <w:lang w:val="en-US" w:eastAsia="zh-CN"/>
                    </w:rPr>
                  </w:pPr>
                  <w:r>
                    <w:rPr>
                      <w:rFonts w:hint="eastAsia"/>
                      <w:lang w:val="en-US" w:eastAsia="zh-CN"/>
                    </w:rPr>
                    <w:t>424</w:t>
                  </w:r>
                </w:p>
              </w:tc>
            </w:tr>
            <w:tr w14:paraId="17CF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shd w:val="clear" w:color="auto" w:fill="auto"/>
                  <w:vAlign w:val="center"/>
                </w:tcPr>
                <w:p w14:paraId="25BCA950">
                  <w:pPr>
                    <w:widowControl/>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3</w:t>
                  </w:r>
                </w:p>
              </w:tc>
              <w:tc>
                <w:tcPr>
                  <w:tcW w:w="1680" w:type="dxa"/>
                  <w:vAlign w:val="center"/>
                </w:tcPr>
                <w:p w14:paraId="09ED20DF">
                  <w:pPr>
                    <w:widowControl/>
                    <w:ind w:left="0" w:leftChars="0" w:right="0" w:rightChars="0" w:firstLine="0" w:firstLineChars="0"/>
                    <w:jc w:val="center"/>
                    <w:rPr>
                      <w:rFonts w:hint="eastAsia"/>
                      <w:lang w:val="en-US" w:eastAsia="zh-CN"/>
                    </w:rPr>
                  </w:pPr>
                </w:p>
              </w:tc>
              <w:tc>
                <w:tcPr>
                  <w:tcW w:w="1815" w:type="dxa"/>
                  <w:vAlign w:val="center"/>
                </w:tcPr>
                <w:p w14:paraId="0A568A0C">
                  <w:pPr>
                    <w:widowControl/>
                    <w:ind w:left="0" w:leftChars="0" w:right="0" w:rightChars="0" w:firstLine="0" w:firstLineChars="0"/>
                    <w:jc w:val="center"/>
                    <w:rPr>
                      <w:rFonts w:hint="eastAsia"/>
                      <w:lang w:val="en-US" w:eastAsia="zh-CN"/>
                    </w:rPr>
                  </w:pPr>
                </w:p>
              </w:tc>
              <w:tc>
                <w:tcPr>
                  <w:tcW w:w="2279" w:type="dxa"/>
                  <w:vAlign w:val="center"/>
                </w:tcPr>
                <w:p w14:paraId="50A6E306">
                  <w:pPr>
                    <w:widowControl/>
                    <w:ind w:left="0" w:leftChars="0" w:right="0" w:rightChars="0" w:firstLine="0" w:firstLineChars="0"/>
                    <w:jc w:val="center"/>
                    <w:rPr>
                      <w:rFonts w:hint="eastAsia" w:eastAsia="宋体"/>
                      <w:lang w:val="en-US" w:eastAsia="zh-CN"/>
                    </w:rPr>
                  </w:pPr>
                  <w:r>
                    <w:rPr>
                      <w:rFonts w:hint="eastAsia"/>
                      <w:lang w:val="en-US" w:eastAsia="zh-CN"/>
                    </w:rPr>
                    <w:t>废液</w:t>
                  </w:r>
                </w:p>
              </w:tc>
              <w:tc>
                <w:tcPr>
                  <w:tcW w:w="1829" w:type="dxa"/>
                  <w:vAlign w:val="center"/>
                </w:tcPr>
                <w:p w14:paraId="4AEA9673">
                  <w:pPr>
                    <w:widowControl/>
                    <w:ind w:left="0" w:leftChars="0" w:right="0" w:rightChars="0" w:firstLine="0" w:firstLineChars="0"/>
                    <w:jc w:val="center"/>
                    <w:rPr>
                      <w:rFonts w:hint="default" w:eastAsia="宋体"/>
                      <w:lang w:val="en-US" w:eastAsia="zh-CN"/>
                    </w:rPr>
                  </w:pPr>
                  <w:r>
                    <w:rPr>
                      <w:rFonts w:hint="eastAsia"/>
                      <w:lang w:val="en-US" w:eastAsia="zh-CN"/>
                    </w:rPr>
                    <w:t>776</w:t>
                  </w:r>
                </w:p>
              </w:tc>
            </w:tr>
            <w:tr w14:paraId="4382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shd w:val="clear" w:color="auto" w:fill="auto"/>
                  <w:vAlign w:val="center"/>
                </w:tcPr>
                <w:p w14:paraId="6F2A6940">
                  <w:pPr>
                    <w:widowControl/>
                    <w:ind w:left="0" w:leftChars="0" w:right="0" w:rightChars="0" w:firstLine="0" w:firstLineChars="0"/>
                    <w:jc w:val="center"/>
                    <w:rPr>
                      <w:rFonts w:hint="default"/>
                      <w:lang w:val="en-US" w:eastAsia="zh-CN"/>
                    </w:rPr>
                  </w:pPr>
                  <w:r>
                    <w:rPr>
                      <w:rFonts w:hint="eastAsia"/>
                      <w:lang w:val="en-US" w:eastAsia="zh-CN"/>
                    </w:rPr>
                    <w:t>4</w:t>
                  </w:r>
                </w:p>
              </w:tc>
              <w:tc>
                <w:tcPr>
                  <w:tcW w:w="1680" w:type="dxa"/>
                  <w:vAlign w:val="center"/>
                </w:tcPr>
                <w:p w14:paraId="0670305B">
                  <w:pPr>
                    <w:widowControl/>
                    <w:ind w:left="0" w:leftChars="0" w:right="0" w:rightChars="0" w:firstLine="0" w:firstLineChars="0"/>
                    <w:jc w:val="center"/>
                    <w:rPr>
                      <w:rFonts w:hint="default"/>
                      <w:lang w:val="en-US" w:eastAsia="zh-CN"/>
                    </w:rPr>
                  </w:pPr>
                  <w:r>
                    <w:rPr>
                      <w:rFonts w:hint="eastAsia"/>
                      <w:lang w:val="en-US" w:eastAsia="zh-CN"/>
                    </w:rPr>
                    <w:t>合计</w:t>
                  </w:r>
                </w:p>
              </w:tc>
              <w:tc>
                <w:tcPr>
                  <w:tcW w:w="1815" w:type="dxa"/>
                  <w:vAlign w:val="center"/>
                </w:tcPr>
                <w:p w14:paraId="78911DD8">
                  <w:pPr>
                    <w:widowControl/>
                    <w:ind w:left="0" w:leftChars="0" w:right="0" w:rightChars="0" w:firstLine="0" w:firstLineChars="0"/>
                    <w:jc w:val="center"/>
                    <w:rPr>
                      <w:rFonts w:hint="default"/>
                      <w:lang w:val="en-US" w:eastAsia="zh-CN"/>
                    </w:rPr>
                  </w:pPr>
                  <w:r>
                    <w:rPr>
                      <w:rFonts w:hint="eastAsia"/>
                      <w:lang w:val="en-US" w:eastAsia="zh-CN"/>
                    </w:rPr>
                    <w:t>2800</w:t>
                  </w:r>
                </w:p>
              </w:tc>
              <w:tc>
                <w:tcPr>
                  <w:tcW w:w="2279" w:type="dxa"/>
                  <w:vAlign w:val="center"/>
                </w:tcPr>
                <w:p w14:paraId="067F6CAA">
                  <w:pPr>
                    <w:widowControl/>
                    <w:ind w:left="0" w:leftChars="0" w:right="0" w:rightChars="0" w:firstLine="0" w:firstLineChars="0"/>
                    <w:jc w:val="center"/>
                    <w:rPr>
                      <w:rFonts w:hint="eastAsia" w:eastAsia="宋体"/>
                      <w:lang w:val="en-US" w:eastAsia="zh-CN"/>
                    </w:rPr>
                  </w:pPr>
                  <w:r>
                    <w:rPr>
                      <w:rFonts w:hint="eastAsia"/>
                      <w:lang w:val="en-US" w:eastAsia="zh-CN"/>
                    </w:rPr>
                    <w:t>合计</w:t>
                  </w:r>
                </w:p>
              </w:tc>
              <w:tc>
                <w:tcPr>
                  <w:tcW w:w="1829" w:type="dxa"/>
                  <w:vAlign w:val="center"/>
                </w:tcPr>
                <w:p w14:paraId="47DA4551">
                  <w:pPr>
                    <w:widowControl/>
                    <w:ind w:left="0" w:leftChars="0" w:right="0" w:rightChars="0" w:firstLine="0" w:firstLineChars="0"/>
                    <w:jc w:val="center"/>
                    <w:rPr>
                      <w:rFonts w:hint="default" w:eastAsia="宋体"/>
                      <w:lang w:val="en-US" w:eastAsia="zh-CN"/>
                    </w:rPr>
                  </w:pPr>
                  <w:r>
                    <w:rPr>
                      <w:rFonts w:hint="eastAsia"/>
                      <w:lang w:val="en-US" w:eastAsia="zh-CN"/>
                    </w:rPr>
                    <w:t>2800</w:t>
                  </w:r>
                </w:p>
              </w:tc>
            </w:tr>
          </w:tbl>
          <w:p w14:paraId="5095A4D5">
            <w:pPr>
              <w:spacing w:line="500" w:lineRule="atLeast"/>
              <w:rPr>
                <w:rFonts w:hint="eastAsia"/>
                <w:sz w:val="24"/>
              </w:rPr>
            </w:pPr>
          </w:p>
        </w:tc>
      </w:tr>
      <w:tr w14:paraId="7681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14:paraId="0BDF076C">
            <w:pPr>
              <w:pStyle w:val="22"/>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639" w:type="dxa"/>
          </w:tcPr>
          <w:p w14:paraId="58AEF4E3">
            <w:pPr>
              <w:spacing w:line="500" w:lineRule="exact"/>
              <w:ind w:firstLine="480"/>
              <w:rPr>
                <w:rFonts w:ascii="宋体" w:hAnsi="宋体"/>
                <w:b/>
                <w:sz w:val="24"/>
              </w:rPr>
            </w:pPr>
            <w:r>
              <w:rPr>
                <w:rFonts w:hint="eastAsia" w:ascii="宋体" w:hAnsi="宋体"/>
                <w:b/>
                <w:sz w:val="24"/>
              </w:rPr>
              <w:t>1、施工期工艺流程简述</w:t>
            </w:r>
          </w:p>
          <w:p w14:paraId="61ACB3AD">
            <w:pPr>
              <w:spacing w:line="500" w:lineRule="exact"/>
              <w:ind w:firstLine="480"/>
              <w:rPr>
                <w:sz w:val="24"/>
              </w:rPr>
            </w:pPr>
            <w:r>
              <w:rPr>
                <w:sz w:val="24"/>
              </w:rPr>
              <w:t>本项目主要分为施工期和运营期两个阶段。施工期主要进行</w:t>
            </w:r>
            <w:r>
              <w:rPr>
                <w:rFonts w:hint="eastAsia"/>
                <w:sz w:val="24"/>
                <w:lang w:val="en-US" w:eastAsia="zh-CN"/>
              </w:rPr>
              <w:t>罐体</w:t>
            </w:r>
            <w:r>
              <w:rPr>
                <w:sz w:val="24"/>
              </w:rPr>
              <w:t>基础工程、设备安装等工程的施工，工程通过竣工验收后，施工期结束；从竣工验收合格之日起，即进入运营期。施工流程及产污环节如图</w:t>
            </w:r>
            <w:r>
              <w:rPr>
                <w:rFonts w:hint="eastAsia"/>
                <w:sz w:val="24"/>
              </w:rPr>
              <w:t>2-</w:t>
            </w:r>
            <w:r>
              <w:rPr>
                <w:rFonts w:hint="eastAsia"/>
                <w:sz w:val="24"/>
                <w:lang w:val="en-US" w:eastAsia="zh-CN"/>
              </w:rPr>
              <w:t>1</w:t>
            </w:r>
            <w:r>
              <w:rPr>
                <w:rFonts w:hint="eastAsia"/>
                <w:sz w:val="24"/>
              </w:rPr>
              <w:t>所示。</w:t>
            </w:r>
          </w:p>
          <w:p w14:paraId="416A144F">
            <w:pPr>
              <w:jc w:val="center"/>
              <w:rPr>
                <w:rFonts w:ascii="宋体" w:hAnsi="宋体"/>
                <w:b/>
                <w:sz w:val="24"/>
              </w:rPr>
            </w:pPr>
            <w:r>
              <w:drawing>
                <wp:inline distT="0" distB="0" distL="0" distR="0">
                  <wp:extent cx="3771900" cy="1104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771900" cy="1104900"/>
                          </a:xfrm>
                          <a:prstGeom prst="rect">
                            <a:avLst/>
                          </a:prstGeom>
                        </pic:spPr>
                      </pic:pic>
                    </a:graphicData>
                  </a:graphic>
                </wp:inline>
              </w:drawing>
            </w:r>
          </w:p>
          <w:p w14:paraId="2542494B">
            <w:pPr>
              <w:spacing w:line="500" w:lineRule="exact"/>
              <w:jc w:val="center"/>
              <w:rPr>
                <w:b/>
                <w:sz w:val="24"/>
              </w:rPr>
            </w:pPr>
            <w:r>
              <w:rPr>
                <w:rFonts w:hint="eastAsia"/>
                <w:b/>
                <w:sz w:val="24"/>
              </w:rPr>
              <w:t>图</w:t>
            </w:r>
            <w:r>
              <w:rPr>
                <w:b/>
                <w:sz w:val="24"/>
              </w:rPr>
              <w:t>2-</w:t>
            </w:r>
            <w:r>
              <w:rPr>
                <w:rFonts w:hint="eastAsia"/>
                <w:b/>
                <w:sz w:val="24"/>
                <w:lang w:val="en-US" w:eastAsia="zh-CN"/>
              </w:rPr>
              <w:t>1</w:t>
            </w:r>
            <w:r>
              <w:rPr>
                <w:rFonts w:hint="eastAsia"/>
                <w:b/>
                <w:sz w:val="24"/>
              </w:rPr>
              <w:t xml:space="preserve"> 施工期工艺流程及产污环节图</w:t>
            </w:r>
          </w:p>
          <w:p w14:paraId="2F5778BE">
            <w:pPr>
              <w:spacing w:line="500" w:lineRule="exact"/>
              <w:ind w:firstLine="480"/>
              <w:rPr>
                <w:rFonts w:ascii="宋体" w:hAnsi="宋体"/>
                <w:b/>
                <w:sz w:val="24"/>
              </w:rPr>
            </w:pPr>
            <w:r>
              <w:rPr>
                <w:rFonts w:hint="eastAsia" w:ascii="宋体" w:hAnsi="宋体"/>
                <w:b/>
                <w:sz w:val="24"/>
              </w:rPr>
              <w:t>2、运营期工艺流程简述</w:t>
            </w:r>
          </w:p>
          <w:p w14:paraId="3C747C40">
            <w:pPr>
              <w:spacing w:line="500" w:lineRule="exact"/>
              <w:ind w:firstLine="480"/>
              <w:rPr>
                <w:sz w:val="24"/>
              </w:rPr>
            </w:pPr>
            <w:r>
              <w:rPr>
                <w:rFonts w:hint="eastAsia"/>
                <w:sz w:val="24"/>
              </w:rPr>
              <w:t>本项目生产工艺</w:t>
            </w:r>
            <w:r>
              <w:rPr>
                <w:rFonts w:hint="eastAsia"/>
                <w:sz w:val="24"/>
                <w:lang w:val="en-US" w:eastAsia="zh-CN"/>
              </w:rPr>
              <w:t>及产污节点详见下图</w:t>
            </w:r>
            <w:r>
              <w:rPr>
                <w:rFonts w:hint="eastAsia"/>
                <w:sz w:val="24"/>
              </w:rPr>
              <w:t>：</w:t>
            </w:r>
            <w:r>
              <w:rPr>
                <w:sz w:val="24"/>
              </w:rPr>
              <w:t xml:space="preserve"> </w:t>
            </w:r>
          </w:p>
          <w:p w14:paraId="6CEEDE58">
            <w:pPr>
              <w:jc w:val="center"/>
              <w:rPr>
                <w:sz w:val="24"/>
              </w:rPr>
            </w:pPr>
            <w:r>
              <w:rPr>
                <w:u w:val="single"/>
              </w:rPr>
              <w:drawing>
                <wp:inline distT="0" distB="0" distL="0" distR="0">
                  <wp:extent cx="5290820" cy="4364990"/>
                  <wp:effectExtent l="0" t="0" r="5080" b="16510"/>
                  <wp:docPr id="11" name="图片 11" descr="C:/Users/Administrator/Desktop/华谊60乙酸分离回收工艺.jpg华谊60乙酸分离回收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华谊60乙酸分离回收工艺.jpg华谊60乙酸分离回收工艺"/>
                          <pic:cNvPicPr>
                            <a:picLocks noChangeAspect="1"/>
                          </pic:cNvPicPr>
                        </pic:nvPicPr>
                        <pic:blipFill>
                          <a:blip r:embed="rId15"/>
                          <a:srcRect l="73" r="73"/>
                          <a:stretch>
                            <a:fillRect/>
                          </a:stretch>
                        </pic:blipFill>
                        <pic:spPr>
                          <a:xfrm>
                            <a:off x="0" y="0"/>
                            <a:ext cx="5290820" cy="4364990"/>
                          </a:xfrm>
                          <a:prstGeom prst="rect">
                            <a:avLst/>
                          </a:prstGeom>
                        </pic:spPr>
                      </pic:pic>
                    </a:graphicData>
                  </a:graphic>
                </wp:inline>
              </w:drawing>
            </w:r>
          </w:p>
          <w:p w14:paraId="1094DC4D">
            <w:pPr>
              <w:spacing w:line="500" w:lineRule="exact"/>
              <w:jc w:val="center"/>
              <w:rPr>
                <w:b/>
                <w:sz w:val="24"/>
              </w:rPr>
            </w:pPr>
            <w:r>
              <w:rPr>
                <w:rFonts w:hint="eastAsia"/>
                <w:b/>
                <w:sz w:val="24"/>
                <w:u w:val="single"/>
              </w:rPr>
              <w:t>图2-</w:t>
            </w:r>
            <w:r>
              <w:rPr>
                <w:rFonts w:hint="eastAsia"/>
                <w:b/>
                <w:sz w:val="24"/>
                <w:u w:val="single"/>
                <w:lang w:val="en-US" w:eastAsia="zh-CN"/>
              </w:rPr>
              <w:t>2</w:t>
            </w:r>
            <w:r>
              <w:rPr>
                <w:rFonts w:hint="eastAsia"/>
                <w:b/>
                <w:sz w:val="24"/>
                <w:u w:val="single"/>
              </w:rPr>
              <w:t>项目工艺流程图及产污节点图</w:t>
            </w:r>
          </w:p>
          <w:p w14:paraId="3AA89F49">
            <w:pPr>
              <w:spacing w:line="500" w:lineRule="exact"/>
              <w:ind w:firstLine="480"/>
              <w:rPr>
                <w:rFonts w:hint="eastAsia"/>
                <w:b/>
                <w:bCs/>
                <w:sz w:val="24"/>
              </w:rPr>
            </w:pPr>
            <w:r>
              <w:rPr>
                <w:rFonts w:hint="eastAsia"/>
                <w:b/>
                <w:bCs/>
                <w:sz w:val="24"/>
              </w:rPr>
              <w:t>工艺流程及产污环节简述：</w:t>
            </w:r>
          </w:p>
          <w:p w14:paraId="2C302138">
            <w:pPr>
              <w:spacing w:line="500" w:lineRule="exact"/>
              <w:ind w:firstLine="480"/>
              <w:rPr>
                <w:rFonts w:hint="default"/>
                <w:b w:val="0"/>
                <w:bCs w:val="0"/>
                <w:sz w:val="24"/>
                <w:u w:val="single"/>
                <w:lang w:val="en-US" w:eastAsia="zh-CN"/>
              </w:rPr>
            </w:pPr>
            <w:r>
              <w:rPr>
                <w:rFonts w:hint="eastAsia"/>
                <w:b w:val="0"/>
                <w:bCs w:val="0"/>
                <w:sz w:val="24"/>
                <w:u w:val="single"/>
                <w:lang w:val="en-US" w:eastAsia="zh-CN"/>
              </w:rPr>
              <w:t>本项目60醋酸分离装置本质是利用“沸点决定挥发度”的规律，通过热力学上的气-液平衡，实现醋酸和丙酸两种组分的选择性分离，属于“基于物理性质差异的分离方法”（无化学变化，仅状态和浓度改变）。</w:t>
            </w:r>
          </w:p>
          <w:p w14:paraId="28FADA7E">
            <w:pPr>
              <w:spacing w:line="500" w:lineRule="exact"/>
              <w:ind w:firstLine="480"/>
              <w:rPr>
                <w:rFonts w:hint="default"/>
                <w:b/>
                <w:bCs/>
                <w:sz w:val="24"/>
                <w:lang w:val="en-US" w:eastAsia="zh-CN"/>
              </w:rPr>
            </w:pPr>
            <w:r>
              <w:rPr>
                <w:rFonts w:hint="eastAsia"/>
                <w:b/>
                <w:bCs/>
                <w:sz w:val="24"/>
                <w:lang w:val="en-US" w:eastAsia="zh-CN"/>
              </w:rPr>
              <w:t>刮膜蒸发器：</w:t>
            </w:r>
          </w:p>
          <w:p w14:paraId="6644E9E8">
            <w:pPr>
              <w:spacing w:line="500" w:lineRule="exact"/>
              <w:ind w:firstLine="480"/>
              <w:rPr>
                <w:rFonts w:hint="eastAsia"/>
                <w:sz w:val="24"/>
                <w:lang w:val="en-US" w:eastAsia="zh-CN"/>
              </w:rPr>
            </w:pPr>
            <w:r>
              <w:rPr>
                <w:rFonts w:hint="eastAsia"/>
                <w:sz w:val="24"/>
                <w:lang w:val="en-US" w:eastAsia="zh-CN"/>
              </w:rPr>
              <w:t>现有工程70万t/a醋酸装置的60醋酸槽内的</w:t>
            </w:r>
            <w:r>
              <w:rPr>
                <w:rFonts w:hint="eastAsia"/>
                <w:sz w:val="24"/>
                <w:lang w:eastAsia="zh-CN"/>
              </w:rPr>
              <w:t>60醋酸</w:t>
            </w:r>
            <w:r>
              <w:rPr>
                <w:rFonts w:hint="eastAsia"/>
                <w:sz w:val="24"/>
                <w:lang w:val="en-US" w:eastAsia="zh-CN"/>
              </w:rPr>
              <w:t>通过输送</w:t>
            </w:r>
            <w:r>
              <w:rPr>
                <w:rFonts w:hint="eastAsia"/>
                <w:sz w:val="24"/>
              </w:rPr>
              <w:t>泵送往</w:t>
            </w:r>
            <w:r>
              <w:rPr>
                <w:rFonts w:hint="eastAsia"/>
                <w:sz w:val="24"/>
                <w:lang w:val="en-US" w:eastAsia="zh-CN"/>
              </w:rPr>
              <w:t>醋酸分离回收装置，60醋酸在带搅拌器的刮膜蒸发器内，通过蒸馏产生醋酸和丙酸混合物送往醋酸回收塔，含有高沸物、腐蚀金属离子和盐类的残液作为废液排往废液槽。刮膜蒸发器压力由精馏塔顶压力控制，压力约0.0605MPaA，温度约109℃。</w:t>
            </w:r>
          </w:p>
          <w:p w14:paraId="5A3FB430">
            <w:pPr>
              <w:spacing w:line="500" w:lineRule="exact"/>
              <w:ind w:firstLine="480"/>
              <w:rPr>
                <w:rFonts w:hint="default" w:eastAsia="宋体"/>
                <w:b/>
                <w:bCs/>
                <w:sz w:val="24"/>
                <w:lang w:val="en-US" w:eastAsia="zh-CN"/>
              </w:rPr>
            </w:pPr>
            <w:r>
              <w:rPr>
                <w:rFonts w:hint="eastAsia"/>
                <w:b/>
                <w:bCs/>
                <w:sz w:val="24"/>
                <w:lang w:val="en-US" w:eastAsia="zh-CN"/>
              </w:rPr>
              <w:t>醋酸回收塔：</w:t>
            </w:r>
          </w:p>
          <w:p w14:paraId="1D2B19E0">
            <w:pPr>
              <w:spacing w:line="500" w:lineRule="exact"/>
              <w:ind w:firstLine="480"/>
              <w:rPr>
                <w:rFonts w:hint="eastAsia" w:eastAsia="宋体"/>
                <w:sz w:val="24"/>
                <w:lang w:eastAsia="zh-CN"/>
              </w:rPr>
            </w:pPr>
            <w:r>
              <w:rPr>
                <w:rFonts w:hint="eastAsia"/>
                <w:sz w:val="24"/>
              </w:rPr>
              <w:t>醋酸和丙酸气相混合物进入醋酸回收塔中部，塔顶气相经醋酸回收塔冷凝器后进入醋酸回收塔，由醋酸回收塔回流泵输送，部分返回塔顶作为回流，部分采出送往醋酸装置精制塔，在精制塔中回收醋酸。塔顶操作压力采用真空控制在0.06MPaA左右，塔釜操作温度约127℃</w:t>
            </w:r>
            <w:r>
              <w:rPr>
                <w:rFonts w:hint="eastAsia"/>
                <w:sz w:val="24"/>
                <w:lang w:eastAsia="zh-CN"/>
              </w:rPr>
              <w:t>。</w:t>
            </w:r>
          </w:p>
          <w:p w14:paraId="58402E94">
            <w:pPr>
              <w:spacing w:line="500" w:lineRule="exact"/>
              <w:ind w:firstLine="480"/>
              <w:rPr>
                <w:rFonts w:hint="eastAsia"/>
                <w:b/>
                <w:bCs/>
                <w:sz w:val="24"/>
                <w:u w:val="single"/>
                <w:lang w:val="en-US" w:eastAsia="zh-CN"/>
              </w:rPr>
            </w:pPr>
            <w:r>
              <w:rPr>
                <w:rFonts w:hint="eastAsia"/>
                <w:b/>
                <w:bCs/>
                <w:sz w:val="24"/>
                <w:u w:val="single"/>
                <w:lang w:val="en-US" w:eastAsia="zh-CN"/>
              </w:rPr>
              <w:t>精制塔：</w:t>
            </w:r>
          </w:p>
          <w:p w14:paraId="161057C2">
            <w:pPr>
              <w:spacing w:line="500" w:lineRule="exact"/>
              <w:ind w:firstLine="480"/>
              <w:rPr>
                <w:rFonts w:hint="default"/>
                <w:sz w:val="24"/>
                <w:u w:val="single"/>
                <w:lang w:val="en-US" w:eastAsia="zh-CN"/>
              </w:rPr>
            </w:pPr>
            <w:r>
              <w:rPr>
                <w:rFonts w:hint="eastAsia"/>
                <w:sz w:val="24"/>
                <w:u w:val="single"/>
                <w:lang w:val="en-US" w:eastAsia="zh-CN"/>
              </w:rPr>
              <w:t>精制</w:t>
            </w:r>
            <w:r>
              <w:rPr>
                <w:rFonts w:hint="default"/>
                <w:sz w:val="24"/>
                <w:u w:val="single"/>
                <w:lang w:val="en-US" w:eastAsia="zh-CN"/>
              </w:rPr>
              <w:t>塔顶气相经精制塔冷凝器冷凝后进入精制塔塔顶储槽，槽内物料经精制塔回流泵后分成两路：一是作为塔顶回流；二是少量物料循环至醋酸水分离塔。醋酸产品从该塔出料，经产品冷却器冷却后进入产品中间罐区。在工艺产生中的少量丙酸与其他重组分从塔釜排出，经精制塔塔釜出料泵送至丙酸塔，以进一步回收其中的醋酸</w:t>
            </w:r>
            <w:r>
              <w:rPr>
                <w:rFonts w:hint="eastAsia"/>
                <w:sz w:val="24"/>
                <w:u w:val="single"/>
                <w:lang w:val="en-US" w:eastAsia="zh-CN"/>
              </w:rPr>
              <w:t>，得到60醋酸。</w:t>
            </w:r>
          </w:p>
          <w:p w14:paraId="2640522F">
            <w:pPr>
              <w:spacing w:line="500" w:lineRule="exact"/>
              <w:ind w:firstLine="480"/>
              <w:rPr>
                <w:rFonts w:hint="eastAsia"/>
                <w:sz w:val="24"/>
                <w:u w:val="single"/>
                <w:lang w:val="en-US" w:eastAsia="zh-CN"/>
              </w:rPr>
            </w:pPr>
            <w:r>
              <w:rPr>
                <w:rFonts w:hint="eastAsia"/>
                <w:sz w:val="24"/>
                <w:u w:val="single"/>
                <w:lang w:val="en-US" w:eastAsia="zh-CN"/>
              </w:rPr>
              <w:t>60醋酸分离装置的醋酸回收塔内的醋酸气相经冷凝后部分液相进入到醋酸装置精制塔内与精制塔醋酸产品直接进入醋酸中间罐区。醋酸装置精制塔内的气相量主要与精制塔内的醋酸液体面积有关，本项目的建设不会导致醋酸装置精制塔内醋酸液体面积增加，即不会增加精制塔气相，因此60醋酸分离装置的建设不会导致现有工程醋酸装置废气量增加。</w:t>
            </w:r>
          </w:p>
          <w:p w14:paraId="0D93A4B7">
            <w:pPr>
              <w:spacing w:line="500" w:lineRule="exact"/>
              <w:ind w:firstLine="480"/>
              <w:rPr>
                <w:rFonts w:hint="eastAsia"/>
                <w:b/>
                <w:bCs/>
                <w:sz w:val="24"/>
                <w:u w:val="single"/>
                <w:lang w:val="en-US" w:eastAsia="zh-CN"/>
              </w:rPr>
            </w:pPr>
            <w:r>
              <w:rPr>
                <w:rFonts w:hint="eastAsia"/>
                <w:b/>
                <w:bCs/>
                <w:sz w:val="24"/>
                <w:u w:val="single"/>
                <w:lang w:val="en-US" w:eastAsia="zh-CN"/>
              </w:rPr>
              <w:t>脱碘工序：</w:t>
            </w:r>
          </w:p>
          <w:p w14:paraId="1A49FFD8">
            <w:pPr>
              <w:spacing w:line="500" w:lineRule="exact"/>
              <w:ind w:firstLine="480"/>
              <w:rPr>
                <w:rFonts w:hint="default"/>
                <w:sz w:val="24"/>
                <w:u w:val="single"/>
                <w:lang w:val="en-US" w:eastAsia="zh-CN"/>
              </w:rPr>
            </w:pPr>
            <w:r>
              <w:rPr>
                <w:rFonts w:hint="default"/>
                <w:sz w:val="24"/>
                <w:u w:val="single"/>
                <w:lang w:val="en-US" w:eastAsia="zh-CN"/>
              </w:rPr>
              <w:t>成品醋酸进入脱碘塔精脱碘，脱碘采用脱碘树脂除碘。精脱碘的醋酸进入成品冷却器冷却到40℃送成品中间罐。脱碘工序产生的污染物主要为脱碘树脂，主要成分为树脂，作为危险废物，委外处置。根据调查了解，自2022年投运以来，尚未产生废脱碘树脂，废脱碘树脂更换周期为5~10年，</w:t>
            </w:r>
            <w:r>
              <w:rPr>
                <w:rFonts w:hint="eastAsia"/>
                <w:sz w:val="24"/>
                <w:u w:val="single"/>
                <w:lang w:val="en-US" w:eastAsia="zh-CN"/>
              </w:rPr>
              <w:t>本项目新增醋酸量较少，不会改变</w:t>
            </w:r>
            <w:r>
              <w:rPr>
                <w:rFonts w:hint="default"/>
                <w:sz w:val="24"/>
                <w:u w:val="single"/>
                <w:lang w:val="en-US" w:eastAsia="zh-CN"/>
              </w:rPr>
              <w:t>废脱碘树脂更换周期</w:t>
            </w:r>
            <w:r>
              <w:rPr>
                <w:rFonts w:hint="eastAsia"/>
                <w:sz w:val="24"/>
                <w:u w:val="single"/>
                <w:lang w:val="en-US" w:eastAsia="zh-CN"/>
              </w:rPr>
              <w:t>，因此不会新增</w:t>
            </w:r>
            <w:r>
              <w:rPr>
                <w:rFonts w:hint="default"/>
                <w:sz w:val="24"/>
                <w:u w:val="single"/>
                <w:lang w:val="en-US" w:eastAsia="zh-CN"/>
              </w:rPr>
              <w:t>废脱碘树脂</w:t>
            </w:r>
            <w:r>
              <w:rPr>
                <w:rFonts w:hint="eastAsia"/>
                <w:sz w:val="24"/>
                <w:u w:val="single"/>
                <w:lang w:val="en-US" w:eastAsia="zh-CN"/>
              </w:rPr>
              <w:t>。</w:t>
            </w:r>
          </w:p>
          <w:p w14:paraId="29BCDF2C">
            <w:pPr>
              <w:spacing w:line="500" w:lineRule="exact"/>
              <w:ind w:firstLine="480"/>
              <w:rPr>
                <w:rFonts w:hint="default"/>
                <w:b/>
                <w:bCs/>
                <w:sz w:val="24"/>
                <w:lang w:val="en-US" w:eastAsia="zh-CN"/>
              </w:rPr>
            </w:pPr>
            <w:r>
              <w:rPr>
                <w:rFonts w:hint="eastAsia"/>
                <w:b/>
                <w:bCs/>
                <w:sz w:val="24"/>
                <w:lang w:val="en-US" w:eastAsia="zh-CN"/>
              </w:rPr>
              <w:t>丙酸精制塔：</w:t>
            </w:r>
          </w:p>
          <w:p w14:paraId="32E2E49F">
            <w:pPr>
              <w:spacing w:line="500" w:lineRule="exact"/>
              <w:ind w:firstLine="480"/>
              <w:rPr>
                <w:rFonts w:hint="eastAsia"/>
                <w:sz w:val="24"/>
              </w:rPr>
            </w:pPr>
            <w:r>
              <w:rPr>
                <w:rFonts w:hint="eastAsia"/>
                <w:sz w:val="24"/>
              </w:rPr>
              <w:t>醋酸回收塔塔釜液相由醋酸回收塔出料泵送往丙酸精制塔中部，塔顶气相经丙酸精制塔冷凝器后，进入丙酸精制塔回流槽，由丙酸精制塔回流泵输送，部分返回塔顶作为回流，部分采出作为丙酸产品送往丙酸缓冲槽。塔釜重组分由丙酸精制塔出料泵输送排往废液槽。塔顶操作压力采用真空控制在0.06MPaA，塔釜操作温度约144℃。</w:t>
            </w:r>
          </w:p>
          <w:p w14:paraId="26A63DE1">
            <w:pPr>
              <w:spacing w:line="500" w:lineRule="exact"/>
              <w:ind w:firstLine="480"/>
              <w:rPr>
                <w:sz w:val="24"/>
              </w:rPr>
            </w:pPr>
            <w:r>
              <w:rPr>
                <w:rFonts w:hint="eastAsia"/>
                <w:sz w:val="24"/>
              </w:rPr>
              <w:t>本项目主要污染物见表2-</w:t>
            </w:r>
            <w:r>
              <w:rPr>
                <w:rFonts w:hint="eastAsia"/>
                <w:sz w:val="24"/>
                <w:lang w:val="en-US" w:eastAsia="zh-CN"/>
              </w:rPr>
              <w:t>10</w:t>
            </w:r>
            <w:r>
              <w:rPr>
                <w:rFonts w:hint="eastAsia"/>
                <w:sz w:val="24"/>
              </w:rPr>
              <w:t>。</w:t>
            </w:r>
          </w:p>
          <w:p w14:paraId="492068DE">
            <w:pPr>
              <w:pStyle w:val="51"/>
              <w:numPr>
                <w:ilvl w:val="2"/>
                <w:numId w:val="3"/>
              </w:numPr>
              <w:spacing w:line="500" w:lineRule="atLeast"/>
              <w:ind w:firstLineChars="0"/>
              <w:jc w:val="center"/>
              <w:rPr>
                <w:b/>
                <w:sz w:val="24"/>
              </w:rPr>
            </w:pPr>
            <w:r>
              <w:rPr>
                <w:rFonts w:hint="eastAsia"/>
                <w:b/>
                <w:sz w:val="24"/>
              </w:rPr>
              <w:t>主要污染物一览表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666"/>
              <w:gridCol w:w="1681"/>
              <w:gridCol w:w="1321"/>
              <w:gridCol w:w="2609"/>
            </w:tblGrid>
            <w:tr w14:paraId="4137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6F71D3BB">
                  <w:pPr>
                    <w:jc w:val="center"/>
                    <w:rPr>
                      <w:bCs/>
                      <w:kern w:val="0"/>
                      <w:szCs w:val="21"/>
                    </w:rPr>
                  </w:pPr>
                  <w:r>
                    <w:rPr>
                      <w:rFonts w:hint="eastAsia"/>
                      <w:bCs/>
                      <w:kern w:val="0"/>
                      <w:szCs w:val="21"/>
                    </w:rPr>
                    <w:t>项目</w:t>
                  </w:r>
                </w:p>
              </w:tc>
              <w:tc>
                <w:tcPr>
                  <w:tcW w:w="1666" w:type="dxa"/>
                  <w:vAlign w:val="center"/>
                </w:tcPr>
                <w:p w14:paraId="60FF101F">
                  <w:pPr>
                    <w:jc w:val="center"/>
                    <w:rPr>
                      <w:bCs/>
                      <w:kern w:val="0"/>
                      <w:szCs w:val="21"/>
                    </w:rPr>
                  </w:pPr>
                  <w:r>
                    <w:rPr>
                      <w:rFonts w:hint="eastAsia"/>
                      <w:bCs/>
                      <w:kern w:val="0"/>
                      <w:szCs w:val="21"/>
                    </w:rPr>
                    <w:t>类型（污染物）</w:t>
                  </w:r>
                </w:p>
              </w:tc>
              <w:tc>
                <w:tcPr>
                  <w:tcW w:w="1681" w:type="dxa"/>
                  <w:vAlign w:val="center"/>
                </w:tcPr>
                <w:p w14:paraId="5F672522">
                  <w:pPr>
                    <w:jc w:val="center"/>
                    <w:rPr>
                      <w:rFonts w:hint="default" w:eastAsia="宋体"/>
                      <w:bCs/>
                      <w:kern w:val="0"/>
                      <w:szCs w:val="21"/>
                      <w:lang w:val="en-US" w:eastAsia="zh-CN"/>
                    </w:rPr>
                  </w:pPr>
                  <w:r>
                    <w:rPr>
                      <w:rFonts w:hint="eastAsia"/>
                      <w:bCs/>
                      <w:kern w:val="0"/>
                      <w:szCs w:val="21"/>
                      <w:lang w:val="en-US" w:eastAsia="zh-CN"/>
                    </w:rPr>
                    <w:t>污染因子</w:t>
                  </w:r>
                </w:p>
              </w:tc>
              <w:tc>
                <w:tcPr>
                  <w:tcW w:w="1321" w:type="dxa"/>
                  <w:vAlign w:val="center"/>
                </w:tcPr>
                <w:p w14:paraId="74E1E588">
                  <w:pPr>
                    <w:jc w:val="center"/>
                    <w:rPr>
                      <w:bCs/>
                      <w:kern w:val="0"/>
                      <w:szCs w:val="21"/>
                    </w:rPr>
                  </w:pPr>
                  <w:r>
                    <w:rPr>
                      <w:rFonts w:hint="eastAsia"/>
                      <w:bCs/>
                      <w:kern w:val="0"/>
                      <w:szCs w:val="21"/>
                    </w:rPr>
                    <w:t>污染工序</w:t>
                  </w:r>
                </w:p>
              </w:tc>
              <w:tc>
                <w:tcPr>
                  <w:tcW w:w="2609" w:type="dxa"/>
                  <w:vAlign w:val="center"/>
                </w:tcPr>
                <w:p w14:paraId="53195C36">
                  <w:pPr>
                    <w:jc w:val="center"/>
                    <w:rPr>
                      <w:bCs/>
                      <w:kern w:val="0"/>
                      <w:szCs w:val="21"/>
                    </w:rPr>
                  </w:pPr>
                  <w:r>
                    <w:rPr>
                      <w:rFonts w:hint="eastAsia"/>
                      <w:bCs/>
                      <w:kern w:val="0"/>
                      <w:szCs w:val="21"/>
                    </w:rPr>
                    <w:t>处置措施</w:t>
                  </w:r>
                </w:p>
              </w:tc>
            </w:tr>
            <w:tr w14:paraId="4AFB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5B567743">
                  <w:pPr>
                    <w:jc w:val="center"/>
                    <w:rPr>
                      <w:rFonts w:hint="eastAsia" w:eastAsia="宋体"/>
                      <w:bCs/>
                      <w:kern w:val="0"/>
                      <w:szCs w:val="21"/>
                      <w:lang w:val="en-US" w:eastAsia="zh-CN"/>
                    </w:rPr>
                  </w:pPr>
                  <w:r>
                    <w:rPr>
                      <w:rFonts w:hint="eastAsia"/>
                      <w:bCs/>
                      <w:kern w:val="0"/>
                      <w:szCs w:val="21"/>
                      <w:lang w:val="en-US" w:eastAsia="zh-CN"/>
                    </w:rPr>
                    <w:t>废气</w:t>
                  </w:r>
                </w:p>
              </w:tc>
              <w:tc>
                <w:tcPr>
                  <w:tcW w:w="1666" w:type="dxa"/>
                  <w:shd w:val="clear" w:color="auto" w:fill="auto"/>
                  <w:vAlign w:val="center"/>
                </w:tcPr>
                <w:p w14:paraId="44C93DD4">
                  <w:pPr>
                    <w:jc w:val="center"/>
                    <w:rPr>
                      <w:rFonts w:hint="default" w:ascii="Times New Roman" w:hAnsi="Times New Roman" w:eastAsia="宋体" w:cs="Times New Roman"/>
                      <w:bCs/>
                      <w:kern w:val="0"/>
                      <w:sz w:val="21"/>
                      <w:szCs w:val="21"/>
                      <w:lang w:val="en-US" w:eastAsia="zh-CN" w:bidi="ar-SA"/>
                    </w:rPr>
                  </w:pPr>
                  <w:r>
                    <w:rPr>
                      <w:rFonts w:hint="eastAsia"/>
                      <w:bCs/>
                      <w:kern w:val="0"/>
                      <w:szCs w:val="21"/>
                      <w:lang w:val="en-US" w:eastAsia="zh-CN"/>
                    </w:rPr>
                    <w:t>储罐呼吸废气</w:t>
                  </w:r>
                </w:p>
              </w:tc>
              <w:tc>
                <w:tcPr>
                  <w:tcW w:w="1681" w:type="dxa"/>
                  <w:shd w:val="clear" w:color="auto" w:fill="auto"/>
                  <w:vAlign w:val="center"/>
                </w:tcPr>
                <w:p w14:paraId="649E8F56">
                  <w:pPr>
                    <w:jc w:val="center"/>
                    <w:rPr>
                      <w:rFonts w:hint="default" w:ascii="Times New Roman" w:hAnsi="Times New Roman" w:eastAsia="宋体" w:cs="Times New Roman"/>
                      <w:bCs/>
                      <w:kern w:val="0"/>
                      <w:sz w:val="21"/>
                      <w:szCs w:val="21"/>
                      <w:lang w:val="en-US" w:eastAsia="zh-CN" w:bidi="ar-SA"/>
                    </w:rPr>
                  </w:pPr>
                  <w:r>
                    <w:rPr>
                      <w:rFonts w:hint="eastAsia"/>
                      <w:bCs/>
                      <w:kern w:val="0"/>
                      <w:szCs w:val="21"/>
                      <w:lang w:val="en-US" w:eastAsia="zh-CN"/>
                    </w:rPr>
                    <w:t>非甲烷总烃</w:t>
                  </w:r>
                </w:p>
              </w:tc>
              <w:tc>
                <w:tcPr>
                  <w:tcW w:w="1321" w:type="dxa"/>
                  <w:shd w:val="clear" w:color="auto" w:fill="auto"/>
                  <w:vAlign w:val="center"/>
                </w:tcPr>
                <w:p w14:paraId="466AD6EC">
                  <w:pPr>
                    <w:jc w:val="center"/>
                    <w:rPr>
                      <w:rFonts w:hint="default" w:ascii="Times New Roman" w:hAnsi="Times New Roman" w:eastAsia="宋体" w:cs="Times New Roman"/>
                      <w:bCs/>
                      <w:kern w:val="0"/>
                      <w:sz w:val="21"/>
                      <w:szCs w:val="21"/>
                      <w:lang w:val="en-US" w:eastAsia="zh-CN" w:bidi="ar-SA"/>
                    </w:rPr>
                  </w:pPr>
                  <w:r>
                    <w:rPr>
                      <w:rFonts w:hint="eastAsia"/>
                      <w:bCs/>
                      <w:kern w:val="0"/>
                      <w:szCs w:val="21"/>
                      <w:lang w:val="en-US" w:eastAsia="zh-CN"/>
                    </w:rPr>
                    <w:t>贮存</w:t>
                  </w:r>
                </w:p>
              </w:tc>
              <w:tc>
                <w:tcPr>
                  <w:tcW w:w="2609" w:type="dxa"/>
                  <w:shd w:val="clear" w:color="auto" w:fill="auto"/>
                  <w:vAlign w:val="center"/>
                </w:tcPr>
                <w:p w14:paraId="761B2653">
                  <w:pPr>
                    <w:jc w:val="center"/>
                    <w:rPr>
                      <w:rFonts w:hint="default" w:ascii="Times New Roman" w:hAnsi="Times New Roman" w:eastAsia="宋体" w:cs="Times New Roman"/>
                      <w:bCs/>
                      <w:kern w:val="0"/>
                      <w:sz w:val="21"/>
                      <w:szCs w:val="21"/>
                      <w:lang w:val="en-US" w:eastAsia="zh-CN" w:bidi="ar-SA"/>
                    </w:rPr>
                  </w:pPr>
                  <w:r>
                    <w:rPr>
                      <w:rFonts w:hint="eastAsia"/>
                      <w:bCs/>
                      <w:kern w:val="0"/>
                      <w:szCs w:val="21"/>
                      <w:lang w:val="en-US" w:eastAsia="zh-CN"/>
                    </w:rPr>
                    <w:t>无组织排放</w:t>
                  </w:r>
                </w:p>
              </w:tc>
            </w:tr>
            <w:tr w14:paraId="5BB0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49018070">
                  <w:pPr>
                    <w:jc w:val="center"/>
                    <w:rPr>
                      <w:rFonts w:hint="default" w:eastAsia="宋体"/>
                      <w:bCs/>
                      <w:kern w:val="0"/>
                      <w:szCs w:val="21"/>
                      <w:lang w:val="en-US" w:eastAsia="zh-CN"/>
                    </w:rPr>
                  </w:pPr>
                  <w:r>
                    <w:rPr>
                      <w:rFonts w:hint="eastAsia"/>
                      <w:bCs/>
                      <w:kern w:val="0"/>
                      <w:szCs w:val="21"/>
                      <w:lang w:val="en-US" w:eastAsia="zh-CN"/>
                    </w:rPr>
                    <w:t>废水</w:t>
                  </w:r>
                </w:p>
              </w:tc>
              <w:tc>
                <w:tcPr>
                  <w:tcW w:w="7277" w:type="dxa"/>
                  <w:gridSpan w:val="4"/>
                  <w:vAlign w:val="center"/>
                </w:tcPr>
                <w:p w14:paraId="2792B4E1">
                  <w:pPr>
                    <w:jc w:val="center"/>
                    <w:rPr>
                      <w:rFonts w:hint="default"/>
                      <w:bCs/>
                      <w:kern w:val="0"/>
                      <w:szCs w:val="21"/>
                      <w:lang w:val="en-US" w:eastAsia="zh-CN"/>
                    </w:rPr>
                  </w:pPr>
                  <w:r>
                    <w:rPr>
                      <w:rFonts w:hint="eastAsia"/>
                      <w:bCs/>
                      <w:kern w:val="0"/>
                      <w:szCs w:val="21"/>
                      <w:lang w:val="en-US" w:eastAsia="zh-CN"/>
                    </w:rPr>
                    <w:t>无</w:t>
                  </w:r>
                </w:p>
              </w:tc>
            </w:tr>
            <w:tr w14:paraId="63CF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0934A013">
                  <w:pPr>
                    <w:jc w:val="center"/>
                    <w:rPr>
                      <w:kern w:val="0"/>
                      <w:szCs w:val="21"/>
                    </w:rPr>
                  </w:pPr>
                  <w:r>
                    <w:rPr>
                      <w:rFonts w:hint="eastAsia"/>
                      <w:kern w:val="0"/>
                      <w:szCs w:val="21"/>
                    </w:rPr>
                    <w:t>噪声</w:t>
                  </w:r>
                </w:p>
              </w:tc>
              <w:tc>
                <w:tcPr>
                  <w:tcW w:w="1666" w:type="dxa"/>
                  <w:vAlign w:val="center"/>
                </w:tcPr>
                <w:p w14:paraId="059C7B8E">
                  <w:pPr>
                    <w:jc w:val="center"/>
                    <w:rPr>
                      <w:rFonts w:hint="eastAsia" w:eastAsia="宋体"/>
                      <w:kern w:val="0"/>
                      <w:szCs w:val="21"/>
                      <w:lang w:val="en-US" w:eastAsia="zh-CN"/>
                    </w:rPr>
                  </w:pPr>
                  <w:r>
                    <w:rPr>
                      <w:rFonts w:hint="eastAsia"/>
                      <w:kern w:val="0"/>
                      <w:szCs w:val="21"/>
                    </w:rPr>
                    <w:t>设备</w:t>
                  </w:r>
                  <w:r>
                    <w:rPr>
                      <w:rFonts w:hint="eastAsia"/>
                      <w:kern w:val="0"/>
                      <w:szCs w:val="21"/>
                      <w:lang w:val="en-US" w:eastAsia="zh-CN"/>
                    </w:rPr>
                    <w:t>噪声</w:t>
                  </w:r>
                </w:p>
              </w:tc>
              <w:tc>
                <w:tcPr>
                  <w:tcW w:w="1681" w:type="dxa"/>
                  <w:vAlign w:val="center"/>
                </w:tcPr>
                <w:p w14:paraId="3B9AB435">
                  <w:pPr>
                    <w:jc w:val="center"/>
                    <w:rPr>
                      <w:rFonts w:hint="eastAsia"/>
                      <w:kern w:val="0"/>
                      <w:szCs w:val="21"/>
                    </w:rPr>
                  </w:pPr>
                  <w:r>
                    <w:rPr>
                      <w:rFonts w:hint="eastAsia"/>
                      <w:kern w:val="0"/>
                      <w:szCs w:val="21"/>
                    </w:rPr>
                    <w:t>噪声（</w:t>
                  </w:r>
                  <w:r>
                    <w:rPr>
                      <w:bCs/>
                    </w:rPr>
                    <w:t>Leq（A）</w:t>
                  </w:r>
                  <w:r>
                    <w:rPr>
                      <w:rFonts w:hint="eastAsia"/>
                      <w:kern w:val="0"/>
                      <w:szCs w:val="21"/>
                    </w:rPr>
                    <w:t>）</w:t>
                  </w:r>
                </w:p>
              </w:tc>
              <w:tc>
                <w:tcPr>
                  <w:tcW w:w="1321" w:type="dxa"/>
                  <w:vAlign w:val="center"/>
                </w:tcPr>
                <w:p w14:paraId="03B8762A">
                  <w:pPr>
                    <w:jc w:val="center"/>
                    <w:rPr>
                      <w:kern w:val="0"/>
                      <w:szCs w:val="21"/>
                    </w:rPr>
                  </w:pPr>
                  <w:r>
                    <w:rPr>
                      <w:rFonts w:hint="eastAsia"/>
                      <w:kern w:val="0"/>
                      <w:szCs w:val="21"/>
                    </w:rPr>
                    <w:t>设备运行</w:t>
                  </w:r>
                </w:p>
              </w:tc>
              <w:tc>
                <w:tcPr>
                  <w:tcW w:w="2609" w:type="dxa"/>
                  <w:vAlign w:val="center"/>
                </w:tcPr>
                <w:p w14:paraId="7160BCB2">
                  <w:pPr>
                    <w:jc w:val="center"/>
                    <w:rPr>
                      <w:kern w:val="0"/>
                      <w:szCs w:val="21"/>
                    </w:rPr>
                  </w:pPr>
                  <w:r>
                    <w:rPr>
                      <w:rFonts w:hint="eastAsia" w:cs="宋体"/>
                      <w:szCs w:val="21"/>
                    </w:rPr>
                    <w:t>减震、隔声</w:t>
                  </w:r>
                </w:p>
              </w:tc>
            </w:tr>
            <w:tr w14:paraId="42F0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Align w:val="center"/>
                </w:tcPr>
                <w:p w14:paraId="4BB17745">
                  <w:pPr>
                    <w:jc w:val="center"/>
                    <w:rPr>
                      <w:kern w:val="0"/>
                      <w:szCs w:val="21"/>
                    </w:rPr>
                  </w:pPr>
                  <w:r>
                    <w:rPr>
                      <w:rFonts w:hint="eastAsia"/>
                      <w:kern w:val="0"/>
                      <w:szCs w:val="21"/>
                    </w:rPr>
                    <w:t>固体废物</w:t>
                  </w:r>
                </w:p>
              </w:tc>
              <w:tc>
                <w:tcPr>
                  <w:tcW w:w="1666" w:type="dxa"/>
                  <w:vAlign w:val="center"/>
                </w:tcPr>
                <w:p w14:paraId="73E66ED9">
                  <w:pPr>
                    <w:jc w:val="center"/>
                    <w:rPr>
                      <w:rFonts w:hint="eastAsia" w:eastAsia="宋体"/>
                      <w:kern w:val="0"/>
                      <w:szCs w:val="21"/>
                      <w:lang w:eastAsia="zh-CN"/>
                    </w:rPr>
                  </w:pPr>
                  <w:r>
                    <w:rPr>
                      <w:rFonts w:hint="eastAsia"/>
                      <w:kern w:val="0"/>
                      <w:szCs w:val="21"/>
                      <w:lang w:val="en-US" w:eastAsia="zh-CN"/>
                    </w:rPr>
                    <w:t>废液</w:t>
                  </w:r>
                </w:p>
              </w:tc>
              <w:tc>
                <w:tcPr>
                  <w:tcW w:w="1681" w:type="dxa"/>
                  <w:vAlign w:val="center"/>
                </w:tcPr>
                <w:p w14:paraId="26667DAB">
                  <w:pPr>
                    <w:jc w:val="center"/>
                    <w:rPr>
                      <w:rFonts w:hint="default"/>
                      <w:kern w:val="0"/>
                      <w:szCs w:val="21"/>
                      <w:lang w:val="en-US" w:eastAsia="zh-CN"/>
                    </w:rPr>
                  </w:pPr>
                  <w:r>
                    <w:rPr>
                      <w:rFonts w:hint="eastAsia"/>
                      <w:kern w:val="0"/>
                      <w:szCs w:val="21"/>
                      <w:lang w:val="en-US" w:eastAsia="zh-CN"/>
                    </w:rPr>
                    <w:t>废液</w:t>
                  </w:r>
                </w:p>
              </w:tc>
              <w:tc>
                <w:tcPr>
                  <w:tcW w:w="1321" w:type="dxa"/>
                  <w:vAlign w:val="center"/>
                </w:tcPr>
                <w:p w14:paraId="1815112F">
                  <w:pPr>
                    <w:jc w:val="center"/>
                    <w:rPr>
                      <w:rFonts w:hint="eastAsia" w:eastAsia="宋体"/>
                      <w:kern w:val="0"/>
                      <w:szCs w:val="21"/>
                      <w:lang w:eastAsia="zh-CN"/>
                    </w:rPr>
                  </w:pPr>
                  <w:r>
                    <w:rPr>
                      <w:rFonts w:hint="eastAsia"/>
                      <w:kern w:val="0"/>
                      <w:szCs w:val="21"/>
                      <w:lang w:val="en-US" w:eastAsia="zh-CN"/>
                    </w:rPr>
                    <w:t>蒸馏</w:t>
                  </w:r>
                </w:p>
              </w:tc>
              <w:tc>
                <w:tcPr>
                  <w:tcW w:w="2609" w:type="dxa"/>
                  <w:vAlign w:val="center"/>
                </w:tcPr>
                <w:p w14:paraId="07C69B96">
                  <w:pPr>
                    <w:jc w:val="center"/>
                    <w:rPr>
                      <w:kern w:val="0"/>
                      <w:szCs w:val="21"/>
                    </w:rPr>
                  </w:pPr>
                  <w:r>
                    <w:rPr>
                      <w:rFonts w:hint="eastAsia"/>
                      <w:kern w:val="0"/>
                      <w:szCs w:val="21"/>
                    </w:rPr>
                    <w:t>交由有危险废物处置资质的单位处置</w:t>
                  </w:r>
                </w:p>
              </w:tc>
            </w:tr>
          </w:tbl>
          <w:p w14:paraId="484F1DC7">
            <w:pPr>
              <w:spacing w:line="500" w:lineRule="atLeast"/>
              <w:ind w:firstLine="482" w:firstLineChars="200"/>
              <w:jc w:val="left"/>
              <w:rPr>
                <w:b/>
                <w:sz w:val="24"/>
              </w:rPr>
            </w:pPr>
          </w:p>
        </w:tc>
      </w:tr>
      <w:tr w14:paraId="288E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827DEE2">
            <w:pPr>
              <w:pStyle w:val="22"/>
              <w:adjustRightInd w:val="0"/>
              <w:snapToGrid w:val="0"/>
              <w:spacing w:before="0" w:beforeAutospacing="0" w:after="0" w:afterAutospacing="0"/>
              <w:jc w:val="center"/>
              <w:rPr>
                <w:rFonts w:cs="宋体"/>
                <w:sz w:val="21"/>
                <w:szCs w:val="21"/>
              </w:rPr>
            </w:pPr>
            <w:r>
              <w:rPr>
                <w:rFonts w:hint="eastAsia" w:cs="宋体"/>
                <w:sz w:val="21"/>
                <w:szCs w:val="21"/>
              </w:rPr>
              <w:t>与项目有关的原有环境污染问题</w:t>
            </w:r>
          </w:p>
        </w:tc>
        <w:tc>
          <w:tcPr>
            <w:tcW w:w="8639" w:type="dxa"/>
          </w:tcPr>
          <w:p w14:paraId="1BE4E1B7">
            <w:pPr>
              <w:spacing w:line="500" w:lineRule="atLeast"/>
              <w:ind w:firstLine="480" w:firstLineChars="200"/>
              <w:jc w:val="left"/>
              <w:rPr>
                <w:rFonts w:hint="eastAsia"/>
                <w:sz w:val="24"/>
              </w:rPr>
            </w:pPr>
            <w:r>
              <w:rPr>
                <w:rFonts w:hint="eastAsia"/>
                <w:sz w:val="24"/>
              </w:rPr>
              <w:t>原有污染源主要为现有工程生产过程产生的废气、废水、噪声和固体废物。</w:t>
            </w:r>
          </w:p>
          <w:p w14:paraId="50D380AB">
            <w:pPr>
              <w:spacing w:line="500" w:lineRule="atLeast"/>
              <w:ind w:firstLine="482" w:firstLineChars="200"/>
              <w:jc w:val="left"/>
              <w:rPr>
                <w:rFonts w:hint="default" w:eastAsia="宋体"/>
                <w:sz w:val="24"/>
                <w:lang w:val="en-US" w:eastAsia="zh-CN"/>
              </w:rPr>
            </w:pPr>
            <w:r>
              <w:rPr>
                <w:rFonts w:hint="eastAsia"/>
                <w:b/>
                <w:bCs/>
                <w:sz w:val="24"/>
                <w:lang w:val="en-US" w:eastAsia="zh-CN"/>
              </w:rPr>
              <w:t>一、广西华谊能源化工有限公司</w:t>
            </w:r>
          </w:p>
          <w:p w14:paraId="13F1C08E">
            <w:pPr>
              <w:spacing w:line="500" w:lineRule="atLeast"/>
              <w:ind w:firstLine="480" w:firstLineChars="200"/>
              <w:jc w:val="left"/>
              <w:rPr>
                <w:rFonts w:hint="eastAsia"/>
                <w:sz w:val="24"/>
              </w:rPr>
            </w:pPr>
            <w:r>
              <w:rPr>
                <w:rFonts w:hint="eastAsia"/>
                <w:sz w:val="24"/>
              </w:rPr>
              <w:t>广西华谊能源化工有限公司成立于2016年4月，于2022年11月升为集团二级公司，为上海华谊控股集团有限公司全资子公司，注册资本77.65亿元。</w:t>
            </w:r>
          </w:p>
          <w:p w14:paraId="38883451">
            <w:pPr>
              <w:spacing w:line="500" w:lineRule="atLeast"/>
              <w:ind w:firstLine="480" w:firstLineChars="200"/>
              <w:jc w:val="left"/>
              <w:rPr>
                <w:rFonts w:hint="default"/>
                <w:sz w:val="24"/>
                <w:lang w:val="en-US"/>
              </w:rPr>
            </w:pPr>
            <w:r>
              <w:rPr>
                <w:rFonts w:hint="eastAsia"/>
                <w:sz w:val="24"/>
              </w:rPr>
              <w:t>公司一期项目为C1</w:t>
            </w:r>
            <w:r>
              <w:rPr>
                <w:rFonts w:hint="eastAsia"/>
                <w:sz w:val="24"/>
                <w:lang w:eastAsia="zh-CN"/>
              </w:rPr>
              <w:t>（</w:t>
            </w:r>
            <w:r>
              <w:rPr>
                <w:rFonts w:hint="eastAsia"/>
                <w:sz w:val="24"/>
                <w:lang w:val="en-US" w:eastAsia="zh-CN"/>
              </w:rPr>
              <w:t>甲醇</w:t>
            </w:r>
            <w:r>
              <w:rPr>
                <w:rFonts w:hint="eastAsia"/>
                <w:sz w:val="24"/>
                <w:lang w:eastAsia="zh-CN"/>
              </w:rPr>
              <w:t>）、</w:t>
            </w:r>
            <w:r>
              <w:rPr>
                <w:rFonts w:hint="eastAsia"/>
                <w:sz w:val="24"/>
              </w:rPr>
              <w:t>C2</w:t>
            </w:r>
            <w:r>
              <w:rPr>
                <w:rFonts w:hint="eastAsia"/>
                <w:sz w:val="24"/>
                <w:lang w:eastAsia="zh-CN"/>
              </w:rPr>
              <w:t>（</w:t>
            </w:r>
            <w:r>
              <w:rPr>
                <w:rFonts w:hint="eastAsia"/>
                <w:sz w:val="24"/>
                <w:lang w:val="en-US" w:eastAsia="zh-CN"/>
              </w:rPr>
              <w:t>醋酸</w:t>
            </w:r>
            <w:r>
              <w:rPr>
                <w:rFonts w:hint="eastAsia"/>
                <w:sz w:val="24"/>
                <w:lang w:eastAsia="zh-CN"/>
              </w:rPr>
              <w:t>）</w:t>
            </w:r>
            <w:r>
              <w:rPr>
                <w:rFonts w:hint="eastAsia"/>
                <w:sz w:val="24"/>
              </w:rPr>
              <w:t>能源化工产业链，已于2021年6月投产。主要产品为200万吨/年甲醇、120万吨/年醋酸</w:t>
            </w:r>
            <w:r>
              <w:rPr>
                <w:rFonts w:hint="eastAsia"/>
                <w:sz w:val="24"/>
                <w:lang w:eastAsia="zh-CN"/>
              </w:rPr>
              <w:t>（</w:t>
            </w:r>
            <w:r>
              <w:rPr>
                <w:rFonts w:hint="eastAsia"/>
                <w:sz w:val="24"/>
                <w:lang w:val="en-US" w:eastAsia="zh-CN"/>
              </w:rPr>
              <w:t>已于2025年经</w:t>
            </w:r>
            <w:r>
              <w:rPr>
                <w:rFonts w:hint="eastAsia"/>
                <w:sz w:val="24"/>
                <w:lang w:eastAsia="zh-CN"/>
              </w:rPr>
              <w:t>醋酸</w:t>
            </w:r>
            <w:r>
              <w:rPr>
                <w:rFonts w:hint="eastAsia"/>
                <w:sz w:val="24"/>
                <w:lang w:val="en-US" w:eastAsia="zh-CN"/>
              </w:rPr>
              <w:t>提产项目提产至168万吨/年醋酸</w:t>
            </w:r>
            <w:r>
              <w:rPr>
                <w:rFonts w:hint="eastAsia"/>
                <w:sz w:val="24"/>
                <w:lang w:eastAsia="zh-CN"/>
              </w:rPr>
              <w:t>）</w:t>
            </w:r>
            <w:r>
              <w:rPr>
                <w:rFonts w:hint="eastAsia"/>
                <w:sz w:val="24"/>
              </w:rPr>
              <w:t>和20万吨/年乙二醇。实现当年建成、当年投产、当年盈利。</w:t>
            </w:r>
          </w:p>
          <w:p w14:paraId="0573FA04">
            <w:pPr>
              <w:spacing w:line="500" w:lineRule="atLeast"/>
              <w:ind w:firstLine="480" w:firstLineChars="200"/>
              <w:jc w:val="left"/>
              <w:rPr>
                <w:rFonts w:hint="eastAsia"/>
                <w:sz w:val="24"/>
              </w:rPr>
            </w:pPr>
            <w:r>
              <w:rPr>
                <w:rFonts w:hint="eastAsia"/>
                <w:sz w:val="24"/>
              </w:rPr>
              <w:t>一期项目被中国化工施工企业协会评为“化学工业优质精品工程”“5A级化工建设工程”。2022年建成数字化工厂，获评国家“智能制造标杆企业”及工信部“智能制造示范工厂”称号，成为国内化工行业首家通过智能制造能力成熟度四级评估的企业。2022年12月，荣获广西壮族自治区“2022 年度智能工厂示范企业”。2023年公司位列广西壮族自治区高新技术企业百强，2023年广西壮族自治区第一批链主型龙头企业，广西壮族自治区工业龙头企业，国家级、广西壮族自治区“绿色工厂”。企业目前主要项目如下：</w:t>
            </w:r>
          </w:p>
          <w:p w14:paraId="0F766FB2">
            <w:pPr>
              <w:spacing w:line="500" w:lineRule="atLeast"/>
              <w:ind w:firstLine="480" w:firstLineChars="200"/>
              <w:jc w:val="left"/>
              <w:rPr>
                <w:rFonts w:hint="eastAsia"/>
                <w:sz w:val="24"/>
              </w:rPr>
            </w:pPr>
            <w:r>
              <w:rPr>
                <w:rFonts w:hint="eastAsia"/>
                <w:sz w:val="24"/>
              </w:rPr>
              <w:t>1、工业气体岛项目</w:t>
            </w:r>
          </w:p>
          <w:p w14:paraId="1757832A">
            <w:pPr>
              <w:spacing w:line="500" w:lineRule="atLeast"/>
              <w:ind w:firstLine="480" w:firstLineChars="200"/>
              <w:jc w:val="left"/>
              <w:rPr>
                <w:rFonts w:hint="eastAsia"/>
                <w:sz w:val="24"/>
              </w:rPr>
            </w:pPr>
            <w:r>
              <w:rPr>
                <w:rFonts w:hint="eastAsia"/>
                <w:sz w:val="24"/>
              </w:rPr>
              <w:t>工业气体岛项目主要建设内容为10万Nm</w:t>
            </w:r>
            <w:r>
              <w:rPr>
                <w:rFonts w:hint="eastAsia"/>
                <w:sz w:val="24"/>
                <w:vertAlign w:val="superscript"/>
              </w:rPr>
              <w:t>3</w:t>
            </w:r>
            <w:r>
              <w:rPr>
                <w:rFonts w:hint="eastAsia"/>
                <w:sz w:val="24"/>
              </w:rPr>
              <w:t>/h氢气联产100万吨/年甲醇，20万吨/年乙二醇、50万吨/年醋酸。项目于 2016年11月10日取得环评批复（钦港环管字〔2016〕29号）。项目于2020年建设过程中进行了变更调整，主要变更内容包括：空分项目外建、调整污水下游接收端单位、调整罐区、新增灰渣干燥系统、改良硫回收处理工艺、调整总平面布置图等，变更于2020年10月15日取得了钦州市生态环境局关于项目变更的意见。项目于2021年6月竣工试产，并于2022年6月完成自主验收，目前正常生产。</w:t>
            </w:r>
          </w:p>
          <w:p w14:paraId="526642DB">
            <w:pPr>
              <w:spacing w:line="500" w:lineRule="atLeast"/>
              <w:ind w:firstLine="480" w:firstLineChars="200"/>
              <w:jc w:val="left"/>
              <w:rPr>
                <w:rFonts w:hint="eastAsia"/>
                <w:sz w:val="24"/>
              </w:rPr>
            </w:pPr>
            <w:r>
              <w:rPr>
                <w:rFonts w:hint="eastAsia"/>
                <w:sz w:val="24"/>
              </w:rPr>
              <w:t>2、合成气综合利用项目</w:t>
            </w:r>
          </w:p>
          <w:p w14:paraId="00225402">
            <w:pPr>
              <w:spacing w:line="500" w:lineRule="atLeast"/>
              <w:ind w:firstLine="480" w:firstLineChars="200"/>
              <w:jc w:val="left"/>
              <w:rPr>
                <w:rFonts w:hint="eastAsia"/>
                <w:sz w:val="24"/>
              </w:rPr>
            </w:pPr>
            <w:r>
              <w:rPr>
                <w:rFonts w:hint="eastAsia"/>
                <w:sz w:val="24"/>
              </w:rPr>
              <w:t>合成气综合利用项目主要建设内容为1套70万吨/年醋酸装置、100万吨/年合成气制甲醇装置、CO分离装置、循环水站、余热发电等配套设施。项目于2020年1月9日取得环评批复（钦港环管字〔2020〕1号），其中100万吨/年甲醇装置于2021年6月竣工试产、70万吨/年醋酸装置2022年1月竣工试产，项目于2022年6月完成自主验收，目前正常生产。</w:t>
            </w:r>
          </w:p>
          <w:p w14:paraId="41B84757">
            <w:pPr>
              <w:spacing w:line="500" w:lineRule="atLeast"/>
              <w:ind w:firstLine="480" w:firstLineChars="200"/>
              <w:jc w:val="left"/>
              <w:rPr>
                <w:rFonts w:hint="eastAsia"/>
                <w:sz w:val="24"/>
              </w:rPr>
            </w:pPr>
            <w:r>
              <w:rPr>
                <w:rFonts w:hint="eastAsia"/>
                <w:sz w:val="24"/>
              </w:rPr>
              <w:t>3、氨回收项目</w:t>
            </w:r>
          </w:p>
          <w:p w14:paraId="01AECE0C">
            <w:pPr>
              <w:spacing w:line="500" w:lineRule="atLeast"/>
              <w:ind w:firstLine="480" w:firstLineChars="200"/>
              <w:jc w:val="left"/>
              <w:rPr>
                <w:rFonts w:hint="eastAsia"/>
                <w:sz w:val="24"/>
              </w:rPr>
            </w:pPr>
            <w:r>
              <w:rPr>
                <w:rFonts w:hint="eastAsia"/>
                <w:sz w:val="24"/>
              </w:rPr>
              <w:t>氨回收项目主要建设内容为利用工业气体岛项目变换工段产生的约10万t/a含氨废水，建设氨回收生产线，生产20%氨水12208t/a。项目于2022年取得环评批复（自贸钦审批环〔2022〕43号），并于2023年10月完成自主验收，目前正常生产。</w:t>
            </w:r>
          </w:p>
          <w:p w14:paraId="3C8C8424">
            <w:pPr>
              <w:spacing w:line="500" w:lineRule="atLeast"/>
              <w:ind w:firstLine="480" w:firstLineChars="200"/>
              <w:jc w:val="left"/>
              <w:rPr>
                <w:rFonts w:hint="eastAsia"/>
                <w:sz w:val="24"/>
              </w:rPr>
            </w:pPr>
            <w:r>
              <w:rPr>
                <w:rFonts w:hint="eastAsia"/>
                <w:sz w:val="24"/>
              </w:rPr>
              <w:t>4、DMC回收项目</w:t>
            </w:r>
          </w:p>
          <w:p w14:paraId="44F8EE4E">
            <w:pPr>
              <w:spacing w:line="500" w:lineRule="atLeast"/>
              <w:ind w:firstLine="480" w:firstLineChars="200"/>
              <w:jc w:val="left"/>
              <w:rPr>
                <w:rFonts w:hint="eastAsia"/>
                <w:sz w:val="24"/>
              </w:rPr>
            </w:pPr>
            <w:r>
              <w:rPr>
                <w:rFonts w:hint="eastAsia"/>
                <w:sz w:val="24"/>
              </w:rPr>
              <w:t>DMC回收项目主要建设内容为新增DMC回收装置，对50DMC和混合一元醇进行精馏提纯，得到优级品DMC、高纯甲醇。项目于2023年11月取得环评批复（自贸钦审批环〔2023〕50号），于2025年2月完成自主验收。</w:t>
            </w:r>
          </w:p>
          <w:p w14:paraId="3B21FFB9">
            <w:pPr>
              <w:spacing w:line="500" w:lineRule="atLeast"/>
              <w:ind w:firstLine="480" w:firstLineChars="200"/>
              <w:jc w:val="left"/>
              <w:rPr>
                <w:rFonts w:hint="eastAsia"/>
                <w:sz w:val="24"/>
              </w:rPr>
            </w:pPr>
            <w:r>
              <w:rPr>
                <w:rFonts w:hint="eastAsia"/>
                <w:sz w:val="24"/>
              </w:rPr>
              <w:t>5、甲醇制烯烃及下游深加工一体化项目</w:t>
            </w:r>
          </w:p>
          <w:p w14:paraId="6F5C9C3B">
            <w:pPr>
              <w:spacing w:line="500" w:lineRule="atLeast"/>
              <w:ind w:firstLine="480" w:firstLineChars="200"/>
              <w:jc w:val="left"/>
              <w:rPr>
                <w:rFonts w:hint="eastAsia"/>
                <w:sz w:val="24"/>
              </w:rPr>
            </w:pPr>
            <w:r>
              <w:rPr>
                <w:rFonts w:hint="eastAsia"/>
                <w:sz w:val="24"/>
              </w:rPr>
              <w:t>甲醇制烯烃及下游深加工一体化项目位于基地三期用地，与工业气体岛项目、合成气综合利用项目厂区隔着海豚路。项目主要建设内容为100万吨/年甲醇制烯烃装置、30万吨/年醋酸乙烯装置、2×20万吨/年釜+管式尾法EVA装置以及配套的公辅设施等。项目于2023年3月取得环评批复（自贸钦审批环〔2023〕17号），目前正在建设中。</w:t>
            </w:r>
          </w:p>
          <w:p w14:paraId="15275179">
            <w:pPr>
              <w:spacing w:line="500" w:lineRule="atLeast"/>
              <w:ind w:firstLine="480" w:firstLineChars="200"/>
              <w:jc w:val="left"/>
              <w:rPr>
                <w:rFonts w:hint="eastAsia"/>
                <w:sz w:val="24"/>
              </w:rPr>
            </w:pPr>
            <w:r>
              <w:rPr>
                <w:rFonts w:hint="eastAsia"/>
                <w:sz w:val="24"/>
              </w:rPr>
              <w:t>6、HOPENE项目</w:t>
            </w:r>
          </w:p>
          <w:p w14:paraId="27222E3F">
            <w:pPr>
              <w:spacing w:line="500" w:lineRule="atLeast"/>
              <w:ind w:firstLine="480" w:firstLineChars="200"/>
              <w:jc w:val="left"/>
              <w:rPr>
                <w:rFonts w:hint="eastAsia"/>
                <w:sz w:val="24"/>
              </w:rPr>
            </w:pPr>
            <w:r>
              <w:rPr>
                <w:rFonts w:hint="eastAsia"/>
                <w:sz w:val="24"/>
              </w:rPr>
              <w:t>HOPENE项目建设一套1000吨/年的高端聚烯烃中试装置，是溶液法聚烯烃成套工艺技术开发的中试装置建设项目，主要为验证工艺可行性。项目于2023年3月取得环评批复（自贸钦审批环〔2024〕15号），目前正在组织竣工验收。</w:t>
            </w:r>
          </w:p>
          <w:p w14:paraId="444DC847">
            <w:pPr>
              <w:spacing w:line="500" w:lineRule="atLeast"/>
              <w:ind w:firstLine="480" w:firstLineChars="200"/>
              <w:jc w:val="left"/>
              <w:rPr>
                <w:rFonts w:hint="default" w:eastAsia="宋体"/>
                <w:sz w:val="24"/>
                <w:lang w:val="en-US" w:eastAsia="zh-CN"/>
              </w:rPr>
            </w:pPr>
            <w:r>
              <w:rPr>
                <w:rFonts w:hint="eastAsia"/>
                <w:sz w:val="24"/>
                <w:lang w:val="en-US" w:eastAsia="zh-CN"/>
              </w:rPr>
              <w:t>7、华谊钦州创新中心科技研发楼项目</w:t>
            </w:r>
          </w:p>
          <w:p w14:paraId="2F31CC6A">
            <w:pPr>
              <w:spacing w:line="500" w:lineRule="atLeast"/>
              <w:ind w:firstLine="480" w:firstLineChars="200"/>
              <w:jc w:val="left"/>
              <w:rPr>
                <w:rFonts w:hint="eastAsia" w:eastAsia="宋体"/>
                <w:sz w:val="24"/>
                <w:lang w:val="en-US" w:eastAsia="zh-CN"/>
              </w:rPr>
            </w:pPr>
            <w:r>
              <w:rPr>
                <w:rFonts w:hint="eastAsia"/>
                <w:sz w:val="24"/>
              </w:rPr>
              <w:t>项目位于广西华谊能源化工有限公司厂区南区25#地块预留用地内。主要建设内容及规模</w:t>
            </w:r>
            <w:r>
              <w:rPr>
                <w:rFonts w:hint="eastAsia"/>
                <w:sz w:val="24"/>
                <w:lang w:eastAsia="zh-CN"/>
              </w:rPr>
              <w:t>：</w:t>
            </w:r>
            <w:r>
              <w:rPr>
                <w:rFonts w:hint="eastAsia"/>
                <w:sz w:val="24"/>
              </w:rPr>
              <w:t>项目占地面积8169.6m</w:t>
            </w:r>
            <w:r>
              <w:rPr>
                <w:rFonts w:hint="eastAsia"/>
                <w:sz w:val="24"/>
                <w:vertAlign w:val="superscript"/>
              </w:rPr>
              <w:t>2</w:t>
            </w:r>
            <w:r>
              <w:rPr>
                <w:rFonts w:hint="eastAsia"/>
                <w:sz w:val="24"/>
              </w:rPr>
              <w:t>，新建3栋建筑单体，分别为1幢三层科技楼、1幢三层研发楼、1幢一层门卫室以及辅助设施</w:t>
            </w:r>
            <w:r>
              <w:rPr>
                <w:rFonts w:hint="eastAsia"/>
                <w:sz w:val="24"/>
                <w:lang w:eastAsia="zh-CN"/>
              </w:rPr>
              <w:t>（</w:t>
            </w:r>
            <w:r>
              <w:rPr>
                <w:rFonts w:hint="eastAsia"/>
                <w:sz w:val="24"/>
              </w:rPr>
              <w:t>管廊、边界围栏等</w:t>
            </w:r>
            <w:r>
              <w:rPr>
                <w:rFonts w:hint="eastAsia"/>
                <w:sz w:val="24"/>
                <w:lang w:eastAsia="zh-CN"/>
              </w:rPr>
              <w:t>），</w:t>
            </w:r>
            <w:r>
              <w:rPr>
                <w:rFonts w:hint="eastAsia"/>
                <w:sz w:val="24"/>
              </w:rPr>
              <w:t>项目建成后主要进行材料成型加工实验、模拟实验、小试合成实验，不进行生产、中试及以上规模的研发，不涉及P3、P4生物安全实验和转基因实验。</w:t>
            </w:r>
            <w:r>
              <w:rPr>
                <w:rFonts w:hint="eastAsia"/>
                <w:sz w:val="24"/>
                <w:lang w:val="en-US" w:eastAsia="zh-CN"/>
              </w:rPr>
              <w:t>项目于2024年9月取得了环评批复</w:t>
            </w:r>
            <w:r>
              <w:rPr>
                <w:rFonts w:hint="eastAsia"/>
                <w:sz w:val="24"/>
              </w:rPr>
              <w:t>（自贸钦审批环〔2024〕</w:t>
            </w:r>
            <w:r>
              <w:rPr>
                <w:rFonts w:hint="eastAsia"/>
                <w:sz w:val="24"/>
                <w:lang w:val="en-US" w:eastAsia="zh-CN"/>
              </w:rPr>
              <w:t>46</w:t>
            </w:r>
            <w:r>
              <w:rPr>
                <w:rFonts w:hint="eastAsia"/>
                <w:sz w:val="24"/>
              </w:rPr>
              <w:t>号）</w:t>
            </w:r>
            <w:r>
              <w:rPr>
                <w:rFonts w:hint="eastAsia"/>
                <w:sz w:val="24"/>
                <w:lang w:eastAsia="zh-CN"/>
              </w:rPr>
              <w:t>，目前正在</w:t>
            </w:r>
            <w:r>
              <w:rPr>
                <w:rFonts w:hint="eastAsia"/>
                <w:sz w:val="24"/>
                <w:lang w:val="en-US" w:eastAsia="zh-CN"/>
              </w:rPr>
              <w:t>建设中</w:t>
            </w:r>
            <w:r>
              <w:rPr>
                <w:rFonts w:hint="eastAsia"/>
                <w:sz w:val="24"/>
                <w:lang w:eastAsia="zh-CN"/>
              </w:rPr>
              <w:t>。</w:t>
            </w:r>
          </w:p>
          <w:p w14:paraId="3D36B902">
            <w:pPr>
              <w:spacing w:line="500" w:lineRule="atLeast"/>
              <w:ind w:firstLine="480" w:firstLineChars="200"/>
              <w:jc w:val="left"/>
              <w:rPr>
                <w:rFonts w:hint="eastAsia"/>
                <w:sz w:val="24"/>
              </w:rPr>
            </w:pPr>
            <w:r>
              <w:rPr>
                <w:rFonts w:hint="eastAsia"/>
                <w:sz w:val="24"/>
                <w:lang w:val="en-US" w:eastAsia="zh-CN"/>
              </w:rPr>
              <w:t>8</w:t>
            </w:r>
            <w:r>
              <w:rPr>
                <w:rFonts w:hint="eastAsia"/>
                <w:sz w:val="24"/>
              </w:rPr>
              <w:t>、气化细渣脱水干化扩产项目。项目建设四台单台处理细渣能力为4.05t/h(干基）的全自动隔膜压滤机，包括进料系统、压滤系统和装车系统，同时配套相应的公辅工程。项目于2024年6月取得环评批复（自贸钦审批环〔2024〕22号），于2024年10月完成自主验收。</w:t>
            </w:r>
          </w:p>
          <w:p w14:paraId="4D1F75CE">
            <w:pPr>
              <w:spacing w:line="500" w:lineRule="atLeast"/>
              <w:ind w:firstLine="480" w:firstLineChars="200"/>
              <w:jc w:val="left"/>
              <w:rPr>
                <w:rFonts w:hint="eastAsia"/>
                <w:sz w:val="24"/>
              </w:rPr>
            </w:pPr>
            <w:r>
              <w:rPr>
                <w:rFonts w:hint="eastAsia"/>
                <w:sz w:val="24"/>
                <w:lang w:val="en-US" w:eastAsia="zh-CN"/>
              </w:rPr>
              <w:t>9</w:t>
            </w:r>
            <w:r>
              <w:rPr>
                <w:rFonts w:hint="eastAsia"/>
                <w:sz w:val="24"/>
              </w:rPr>
              <w:t>、醋酸提产项目。项目通过在醋酸装置改造反应器顶部冷量返回管道调节阀、新增余热回收设备、新增醋酸低沸点物塔塔中出料泵、更换2台醋酸水分离塔塔釜出料泵、改变反应器中参数和提高反应系统催化剂浓度等，将50万t/a醋酸装置（4#醋酸装置）产能提升至70万t/a、70万t/a醋酸装置（5#醋酸装置）产能提升至98万t/a。项目于2024年11月取得环评批复（自贸钦审批环〔2024〕51号），于2025年7月完成自主验收。</w:t>
            </w:r>
          </w:p>
          <w:p w14:paraId="41D5FB00">
            <w:pPr>
              <w:spacing w:line="500" w:lineRule="atLeast"/>
              <w:ind w:firstLine="480" w:firstLineChars="200"/>
              <w:jc w:val="left"/>
              <w:rPr>
                <w:rFonts w:hint="default" w:eastAsia="宋体"/>
                <w:sz w:val="24"/>
                <w:lang w:val="en-US" w:eastAsia="zh-CN"/>
              </w:rPr>
            </w:pPr>
            <w:r>
              <w:rPr>
                <w:rFonts w:hint="eastAsia"/>
                <w:sz w:val="24"/>
                <w:lang w:val="en-US" w:eastAsia="zh-CN"/>
              </w:rPr>
              <w:t>10</w:t>
            </w:r>
            <w:r>
              <w:rPr>
                <w:rFonts w:hint="eastAsia"/>
                <w:sz w:val="24"/>
              </w:rPr>
              <w:t>、气化细渣脱水干化扩产二期项目。项目在原四台单台处理细渣能力为4.05t/h(干基）的全自动隔膜压滤机基础上，新增2台板框压滤机增加灰渣处理能力，使细渣的含水率得到保证≤35%，含水率的降低，细渣的利用进一步得到充分的资源利用。项目于2025年5月取得环评批复（中马园审批环〔2025〕4号）</w:t>
            </w:r>
            <w:r>
              <w:rPr>
                <w:rFonts w:hint="eastAsia"/>
                <w:sz w:val="24"/>
                <w:lang w:eastAsia="zh-CN"/>
              </w:rPr>
              <w:t>，</w:t>
            </w:r>
            <w:r>
              <w:rPr>
                <w:rFonts w:hint="eastAsia"/>
                <w:sz w:val="24"/>
                <w:lang w:val="en-US" w:eastAsia="zh-CN"/>
              </w:rPr>
              <w:t>目前在建设中。</w:t>
            </w:r>
          </w:p>
          <w:p w14:paraId="15F46E7A">
            <w:pPr>
              <w:spacing w:line="500" w:lineRule="atLeast"/>
              <w:ind w:firstLine="480" w:firstLineChars="200"/>
              <w:jc w:val="left"/>
              <w:rPr>
                <w:rFonts w:hint="eastAsia"/>
                <w:sz w:val="24"/>
                <w:lang w:val="en-US" w:eastAsia="zh-CN"/>
              </w:rPr>
            </w:pPr>
            <w:r>
              <w:rPr>
                <w:rFonts w:hint="eastAsia"/>
                <w:sz w:val="24"/>
                <w:lang w:val="en-US" w:eastAsia="zh-CN"/>
              </w:rPr>
              <w:t>11、22万吨/年草酸项目。新建22万吨/年草酸生产装置（含2个结晶水计）和变电所，其余公用工程及辅助设施依托现有厂区设施。项目于2025年7月</w:t>
            </w:r>
            <w:r>
              <w:rPr>
                <w:rFonts w:hint="eastAsia"/>
                <w:sz w:val="24"/>
              </w:rPr>
              <w:t>取得环评批复（中马园审批环〔2025〕</w:t>
            </w:r>
            <w:r>
              <w:rPr>
                <w:rFonts w:hint="eastAsia"/>
                <w:sz w:val="24"/>
                <w:lang w:val="en-US" w:eastAsia="zh-CN"/>
              </w:rPr>
              <w:t>14</w:t>
            </w:r>
            <w:r>
              <w:rPr>
                <w:rFonts w:hint="eastAsia"/>
                <w:sz w:val="24"/>
              </w:rPr>
              <w:t>号）</w:t>
            </w:r>
            <w:r>
              <w:rPr>
                <w:rFonts w:hint="eastAsia"/>
                <w:sz w:val="24"/>
                <w:lang w:eastAsia="zh-CN"/>
              </w:rPr>
              <w:t>，</w:t>
            </w:r>
            <w:r>
              <w:rPr>
                <w:rFonts w:hint="eastAsia"/>
                <w:sz w:val="24"/>
                <w:lang w:val="en-US" w:eastAsia="zh-CN"/>
              </w:rPr>
              <w:t>目前在建设中。</w:t>
            </w:r>
          </w:p>
          <w:p w14:paraId="053E3F62">
            <w:pPr>
              <w:spacing w:line="500" w:lineRule="atLeast"/>
              <w:ind w:firstLine="482" w:firstLineChars="200"/>
              <w:jc w:val="left"/>
              <w:rPr>
                <w:b/>
                <w:sz w:val="24"/>
              </w:rPr>
            </w:pPr>
            <w:r>
              <w:rPr>
                <w:rFonts w:hint="eastAsia"/>
                <w:b/>
                <w:sz w:val="24"/>
                <w:lang w:val="en-US" w:eastAsia="zh-CN"/>
              </w:rPr>
              <w:t>二</w:t>
            </w:r>
            <w:r>
              <w:rPr>
                <w:rFonts w:hint="eastAsia"/>
                <w:b/>
                <w:sz w:val="24"/>
              </w:rPr>
              <w:t>、现有项目环保手续情况</w:t>
            </w:r>
          </w:p>
          <w:p w14:paraId="4321117E">
            <w:pPr>
              <w:spacing w:line="500" w:lineRule="atLeast"/>
              <w:ind w:firstLine="480" w:firstLineChars="200"/>
              <w:jc w:val="left"/>
              <w:rPr>
                <w:rFonts w:hint="eastAsia"/>
                <w:sz w:val="24"/>
              </w:rPr>
            </w:pPr>
            <w:r>
              <w:rPr>
                <w:rFonts w:hint="eastAsia"/>
                <w:sz w:val="24"/>
                <w:lang w:val="en-US" w:eastAsia="zh-CN"/>
              </w:rPr>
              <w:t>根据建设单位提供资料，与本项目有关的</w:t>
            </w:r>
            <w:r>
              <w:rPr>
                <w:rFonts w:hint="eastAsia"/>
                <w:sz w:val="24"/>
              </w:rPr>
              <w:t>现有项目的环保手续情况详见下表。</w:t>
            </w:r>
          </w:p>
          <w:p w14:paraId="42B2809A">
            <w:pPr>
              <w:pStyle w:val="51"/>
              <w:numPr>
                <w:ilvl w:val="2"/>
                <w:numId w:val="3"/>
              </w:numPr>
              <w:spacing w:line="500" w:lineRule="atLeast"/>
              <w:ind w:firstLineChars="0"/>
              <w:jc w:val="center"/>
              <w:rPr>
                <w:b/>
                <w:sz w:val="24"/>
              </w:rPr>
            </w:pPr>
            <w:r>
              <w:rPr>
                <w:rFonts w:hint="eastAsia"/>
                <w:b/>
                <w:sz w:val="24"/>
              </w:rPr>
              <w:t>现有工程环保手续情况一览表</w:t>
            </w:r>
          </w:p>
          <w:tbl>
            <w:tblPr>
              <w:tblStyle w:val="26"/>
              <w:tblW w:w="5000" w:type="pct"/>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1282"/>
              <w:gridCol w:w="1966"/>
              <w:gridCol w:w="938"/>
              <w:gridCol w:w="1851"/>
              <w:gridCol w:w="1079"/>
            </w:tblGrid>
            <w:tr w14:paraId="060FD6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65" w:type="pct"/>
                  <w:vMerge w:val="restart"/>
                  <w:noWrap w:val="0"/>
                  <w:vAlign w:val="center"/>
                </w:tcPr>
                <w:p w14:paraId="3BAD3DF1">
                  <w:pPr>
                    <w:jc w:val="center"/>
                    <w:rPr>
                      <w:rFonts w:eastAsia="宋体"/>
                      <w:sz w:val="21"/>
                      <w:szCs w:val="21"/>
                    </w:rPr>
                  </w:pPr>
                  <w:r>
                    <w:rPr>
                      <w:rFonts w:eastAsia="宋体"/>
                      <w:sz w:val="21"/>
                      <w:szCs w:val="21"/>
                    </w:rPr>
                    <w:t>建设项目名称</w:t>
                  </w:r>
                </w:p>
              </w:tc>
              <w:tc>
                <w:tcPr>
                  <w:tcW w:w="1932" w:type="pct"/>
                  <w:gridSpan w:val="2"/>
                  <w:noWrap w:val="0"/>
                  <w:vAlign w:val="center"/>
                </w:tcPr>
                <w:p w14:paraId="7985DC26">
                  <w:pPr>
                    <w:jc w:val="center"/>
                    <w:rPr>
                      <w:rFonts w:eastAsia="宋体"/>
                      <w:sz w:val="21"/>
                      <w:szCs w:val="21"/>
                    </w:rPr>
                  </w:pPr>
                  <w:r>
                    <w:rPr>
                      <w:rFonts w:eastAsia="宋体"/>
                      <w:sz w:val="21"/>
                      <w:szCs w:val="21"/>
                    </w:rPr>
                    <w:t>环境影响评价</w:t>
                  </w:r>
                </w:p>
              </w:tc>
              <w:tc>
                <w:tcPr>
                  <w:tcW w:w="1659" w:type="pct"/>
                  <w:gridSpan w:val="2"/>
                  <w:noWrap w:val="0"/>
                  <w:vAlign w:val="center"/>
                </w:tcPr>
                <w:p w14:paraId="71BEFFF2">
                  <w:pPr>
                    <w:jc w:val="center"/>
                    <w:rPr>
                      <w:rFonts w:eastAsia="宋体"/>
                      <w:sz w:val="21"/>
                      <w:szCs w:val="21"/>
                    </w:rPr>
                  </w:pPr>
                  <w:r>
                    <w:rPr>
                      <w:rFonts w:eastAsia="宋体"/>
                      <w:sz w:val="21"/>
                      <w:szCs w:val="21"/>
                    </w:rPr>
                    <w:t>竣工环境保护验收</w:t>
                  </w:r>
                </w:p>
              </w:tc>
              <w:tc>
                <w:tcPr>
                  <w:tcW w:w="642" w:type="pct"/>
                  <w:vMerge w:val="restart"/>
                  <w:noWrap w:val="0"/>
                  <w:vAlign w:val="center"/>
                </w:tcPr>
                <w:p w14:paraId="10C978BA">
                  <w:pPr>
                    <w:jc w:val="center"/>
                    <w:rPr>
                      <w:rFonts w:eastAsia="宋体"/>
                      <w:sz w:val="21"/>
                      <w:szCs w:val="21"/>
                    </w:rPr>
                  </w:pPr>
                  <w:r>
                    <w:rPr>
                      <w:rFonts w:hint="eastAsia" w:eastAsia="宋体"/>
                      <w:sz w:val="21"/>
                      <w:szCs w:val="21"/>
                    </w:rPr>
                    <w:t>备注</w:t>
                  </w:r>
                </w:p>
              </w:tc>
            </w:tr>
            <w:tr w14:paraId="608BC8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765" w:type="pct"/>
                  <w:vMerge w:val="continue"/>
                  <w:noWrap w:val="0"/>
                  <w:vAlign w:val="center"/>
                </w:tcPr>
                <w:p w14:paraId="678C4129">
                  <w:pPr>
                    <w:jc w:val="center"/>
                    <w:rPr>
                      <w:rFonts w:eastAsia="宋体"/>
                      <w:sz w:val="21"/>
                      <w:szCs w:val="21"/>
                    </w:rPr>
                  </w:pPr>
                </w:p>
              </w:tc>
              <w:tc>
                <w:tcPr>
                  <w:tcW w:w="762" w:type="pct"/>
                  <w:noWrap w:val="0"/>
                  <w:vAlign w:val="center"/>
                </w:tcPr>
                <w:p w14:paraId="75A56CB7">
                  <w:pPr>
                    <w:jc w:val="center"/>
                    <w:rPr>
                      <w:rFonts w:eastAsia="宋体"/>
                      <w:sz w:val="21"/>
                      <w:szCs w:val="21"/>
                    </w:rPr>
                  </w:pPr>
                  <w:r>
                    <w:rPr>
                      <w:rFonts w:hint="eastAsia" w:eastAsia="宋体"/>
                      <w:sz w:val="21"/>
                      <w:szCs w:val="21"/>
                    </w:rPr>
                    <w:t>环评批复（复函）</w:t>
                  </w:r>
                </w:p>
              </w:tc>
              <w:tc>
                <w:tcPr>
                  <w:tcW w:w="1169" w:type="pct"/>
                  <w:noWrap w:val="0"/>
                  <w:vAlign w:val="center"/>
                </w:tcPr>
                <w:p w14:paraId="351D6FF0">
                  <w:pPr>
                    <w:jc w:val="center"/>
                    <w:rPr>
                      <w:rFonts w:eastAsia="宋体"/>
                      <w:sz w:val="21"/>
                      <w:szCs w:val="21"/>
                    </w:rPr>
                  </w:pPr>
                  <w:r>
                    <w:rPr>
                      <w:rFonts w:eastAsia="宋体"/>
                      <w:sz w:val="21"/>
                      <w:szCs w:val="21"/>
                    </w:rPr>
                    <w:t>生产规模</w:t>
                  </w:r>
                  <w:r>
                    <w:rPr>
                      <w:rFonts w:hint="eastAsia" w:eastAsia="宋体"/>
                      <w:sz w:val="21"/>
                      <w:szCs w:val="21"/>
                    </w:rPr>
                    <w:t>（变更内容）</w:t>
                  </w:r>
                </w:p>
              </w:tc>
              <w:tc>
                <w:tcPr>
                  <w:tcW w:w="558" w:type="pct"/>
                  <w:noWrap w:val="0"/>
                  <w:vAlign w:val="center"/>
                </w:tcPr>
                <w:p w14:paraId="734EDEF9">
                  <w:pPr>
                    <w:jc w:val="center"/>
                    <w:rPr>
                      <w:rFonts w:eastAsia="宋体"/>
                      <w:sz w:val="21"/>
                      <w:szCs w:val="21"/>
                    </w:rPr>
                  </w:pPr>
                  <w:r>
                    <w:rPr>
                      <w:rFonts w:hint="eastAsia" w:eastAsia="宋体"/>
                      <w:sz w:val="21"/>
                      <w:szCs w:val="21"/>
                    </w:rPr>
                    <w:t>环保竣工验收</w:t>
                  </w:r>
                </w:p>
              </w:tc>
              <w:tc>
                <w:tcPr>
                  <w:tcW w:w="1101" w:type="pct"/>
                  <w:noWrap w:val="0"/>
                  <w:vAlign w:val="center"/>
                </w:tcPr>
                <w:p w14:paraId="6CFB9AE3">
                  <w:pPr>
                    <w:jc w:val="center"/>
                    <w:rPr>
                      <w:rFonts w:eastAsia="宋体"/>
                      <w:sz w:val="21"/>
                      <w:szCs w:val="21"/>
                    </w:rPr>
                  </w:pPr>
                  <w:r>
                    <w:rPr>
                      <w:rFonts w:eastAsia="宋体"/>
                      <w:sz w:val="21"/>
                      <w:szCs w:val="21"/>
                    </w:rPr>
                    <w:t>验收内容</w:t>
                  </w:r>
                </w:p>
              </w:tc>
              <w:tc>
                <w:tcPr>
                  <w:tcW w:w="642" w:type="pct"/>
                  <w:vMerge w:val="continue"/>
                  <w:noWrap w:val="0"/>
                  <w:vAlign w:val="center"/>
                </w:tcPr>
                <w:p w14:paraId="55E2779B">
                  <w:pPr>
                    <w:jc w:val="center"/>
                    <w:rPr>
                      <w:rFonts w:eastAsia="宋体"/>
                      <w:sz w:val="21"/>
                      <w:szCs w:val="21"/>
                    </w:rPr>
                  </w:pPr>
                </w:p>
              </w:tc>
            </w:tr>
            <w:tr w14:paraId="38AE3F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65" w:type="pct"/>
                  <w:tcBorders>
                    <w:bottom w:val="single" w:color="auto" w:sz="4" w:space="0"/>
                  </w:tcBorders>
                  <w:noWrap w:val="0"/>
                  <w:vAlign w:val="center"/>
                </w:tcPr>
                <w:p w14:paraId="7E71FCD8">
                  <w:pPr>
                    <w:jc w:val="center"/>
                    <w:rPr>
                      <w:rFonts w:hint="eastAsia" w:eastAsia="宋体"/>
                      <w:sz w:val="21"/>
                      <w:szCs w:val="21"/>
                    </w:rPr>
                  </w:pPr>
                  <w:r>
                    <w:rPr>
                      <w:rFonts w:eastAsia="宋体"/>
                      <w:sz w:val="21"/>
                      <w:szCs w:val="21"/>
                    </w:rPr>
                    <w:t>广西华谊能源化工有限公司工业气体岛项目</w:t>
                  </w:r>
                </w:p>
              </w:tc>
              <w:tc>
                <w:tcPr>
                  <w:tcW w:w="762" w:type="pct"/>
                  <w:tcBorders>
                    <w:bottom w:val="single" w:color="auto" w:sz="4" w:space="0"/>
                  </w:tcBorders>
                  <w:noWrap w:val="0"/>
                  <w:vAlign w:val="center"/>
                </w:tcPr>
                <w:p w14:paraId="58CB4056">
                  <w:pPr>
                    <w:jc w:val="center"/>
                    <w:rPr>
                      <w:rFonts w:eastAsia="宋体"/>
                      <w:sz w:val="21"/>
                      <w:szCs w:val="21"/>
                    </w:rPr>
                  </w:pPr>
                  <w:r>
                    <w:rPr>
                      <w:rFonts w:eastAsia="宋体"/>
                      <w:sz w:val="21"/>
                      <w:szCs w:val="21"/>
                    </w:rPr>
                    <w:t>钦港环管字</w:t>
                  </w:r>
                </w:p>
                <w:p w14:paraId="3498BCA2">
                  <w:pPr>
                    <w:jc w:val="center"/>
                    <w:rPr>
                      <w:rFonts w:eastAsia="宋体"/>
                      <w:sz w:val="21"/>
                      <w:szCs w:val="21"/>
                    </w:rPr>
                  </w:pPr>
                  <w:r>
                    <w:rPr>
                      <w:rFonts w:eastAsia="宋体"/>
                      <w:sz w:val="21"/>
                      <w:szCs w:val="21"/>
                    </w:rPr>
                    <w:t>〔2016〕29号）</w:t>
                  </w:r>
                </w:p>
              </w:tc>
              <w:tc>
                <w:tcPr>
                  <w:tcW w:w="1169" w:type="pct"/>
                  <w:tcBorders>
                    <w:bottom w:val="single" w:color="auto" w:sz="4" w:space="0"/>
                  </w:tcBorders>
                  <w:noWrap w:val="0"/>
                  <w:vAlign w:val="center"/>
                </w:tcPr>
                <w:p w14:paraId="3C2A75C1">
                  <w:pPr>
                    <w:jc w:val="center"/>
                    <w:rPr>
                      <w:rFonts w:hint="eastAsia" w:eastAsia="宋体"/>
                      <w:sz w:val="21"/>
                      <w:szCs w:val="21"/>
                    </w:rPr>
                  </w:pPr>
                  <w:r>
                    <w:rPr>
                      <w:rFonts w:eastAsia="宋体"/>
                      <w:sz w:val="21"/>
                      <w:szCs w:val="21"/>
                    </w:rPr>
                    <w:t>建设24万Nm</w:t>
                  </w:r>
                  <w:r>
                    <w:rPr>
                      <w:rFonts w:eastAsia="宋体"/>
                      <w:sz w:val="21"/>
                      <w:szCs w:val="21"/>
                      <w:vertAlign w:val="superscript"/>
                    </w:rPr>
                    <w:t>3</w:t>
                  </w:r>
                  <w:r>
                    <w:rPr>
                      <w:rFonts w:eastAsia="宋体"/>
                      <w:sz w:val="21"/>
                      <w:szCs w:val="21"/>
                    </w:rPr>
                    <w:t xml:space="preserve">/h </w:t>
                  </w:r>
                  <w:r>
                    <w:rPr>
                      <w:rFonts w:hint="eastAsia" w:eastAsia="宋体"/>
                      <w:sz w:val="21"/>
                      <w:szCs w:val="21"/>
                    </w:rPr>
                    <w:t>O</w:t>
                  </w:r>
                  <w:r>
                    <w:rPr>
                      <w:rFonts w:eastAsia="宋体"/>
                      <w:sz w:val="21"/>
                      <w:szCs w:val="21"/>
                      <w:vertAlign w:val="subscript"/>
                    </w:rPr>
                    <w:t>2</w:t>
                  </w:r>
                  <w:r>
                    <w:rPr>
                      <w:rFonts w:eastAsia="宋体"/>
                      <w:sz w:val="21"/>
                      <w:szCs w:val="21"/>
                    </w:rPr>
                    <w:t>空分、64.4万Nm</w:t>
                  </w:r>
                  <w:r>
                    <w:rPr>
                      <w:rFonts w:eastAsia="宋体"/>
                      <w:sz w:val="21"/>
                      <w:szCs w:val="21"/>
                      <w:vertAlign w:val="superscript"/>
                    </w:rPr>
                    <w:t>3</w:t>
                  </w:r>
                  <w:r>
                    <w:rPr>
                      <w:rFonts w:eastAsia="宋体"/>
                      <w:sz w:val="21"/>
                      <w:szCs w:val="21"/>
                    </w:rPr>
                    <w:t>/h</w:t>
                  </w:r>
                  <w:r>
                    <w:rPr>
                      <w:rFonts w:hint="eastAsia" w:eastAsia="宋体"/>
                      <w:sz w:val="21"/>
                      <w:szCs w:val="21"/>
                    </w:rPr>
                    <w:t>（</w:t>
                  </w:r>
                  <w:r>
                    <w:rPr>
                      <w:rFonts w:eastAsia="宋体"/>
                      <w:sz w:val="21"/>
                      <w:szCs w:val="21"/>
                    </w:rPr>
                    <w:t>CO+H</w:t>
                  </w:r>
                  <w:r>
                    <w:rPr>
                      <w:rFonts w:hint="eastAsia" w:eastAsia="宋体"/>
                      <w:sz w:val="21"/>
                      <w:szCs w:val="21"/>
                      <w:vertAlign w:val="subscript"/>
                    </w:rPr>
                    <w:t>2</w:t>
                  </w:r>
                  <w:r>
                    <w:rPr>
                      <w:rFonts w:eastAsia="宋体"/>
                      <w:sz w:val="21"/>
                      <w:szCs w:val="21"/>
                    </w:rPr>
                    <w:t>）煤气化、净化及CO分离、30万Nm</w:t>
                  </w:r>
                  <w:r>
                    <w:rPr>
                      <w:rFonts w:eastAsia="宋体"/>
                      <w:sz w:val="21"/>
                      <w:szCs w:val="21"/>
                      <w:vertAlign w:val="superscript"/>
                    </w:rPr>
                    <w:t>3</w:t>
                  </w:r>
                  <w:r>
                    <w:rPr>
                      <w:rFonts w:eastAsia="宋体"/>
                      <w:sz w:val="21"/>
                      <w:szCs w:val="21"/>
                    </w:rPr>
                    <w:t>/h制氢、100万吨/年甲醇、20万吨/年乙二醇、50万吨/年醋酸、2.25万吨/年硫回收等生产装置</w:t>
                  </w:r>
                </w:p>
              </w:tc>
              <w:tc>
                <w:tcPr>
                  <w:tcW w:w="558" w:type="pct"/>
                  <w:vMerge w:val="restart"/>
                  <w:noWrap w:val="0"/>
                  <w:vAlign w:val="center"/>
                </w:tcPr>
                <w:p w14:paraId="40F94078">
                  <w:pPr>
                    <w:jc w:val="center"/>
                    <w:rPr>
                      <w:rFonts w:eastAsia="宋体"/>
                      <w:sz w:val="21"/>
                      <w:szCs w:val="21"/>
                    </w:rPr>
                  </w:pPr>
                  <w:r>
                    <w:rPr>
                      <w:rFonts w:hint="eastAsia" w:eastAsia="宋体"/>
                      <w:sz w:val="21"/>
                      <w:szCs w:val="21"/>
                    </w:rPr>
                    <w:t>2</w:t>
                  </w:r>
                  <w:r>
                    <w:rPr>
                      <w:rFonts w:eastAsia="宋体"/>
                      <w:sz w:val="21"/>
                      <w:szCs w:val="21"/>
                    </w:rPr>
                    <w:t>022</w:t>
                  </w:r>
                  <w:r>
                    <w:rPr>
                      <w:rFonts w:hint="eastAsia" w:eastAsia="宋体"/>
                      <w:sz w:val="21"/>
                      <w:szCs w:val="21"/>
                    </w:rPr>
                    <w:t>年6月自主验收</w:t>
                  </w:r>
                </w:p>
              </w:tc>
              <w:tc>
                <w:tcPr>
                  <w:tcW w:w="1101" w:type="pct"/>
                  <w:vMerge w:val="restart"/>
                  <w:noWrap w:val="0"/>
                  <w:vAlign w:val="center"/>
                </w:tcPr>
                <w:p w14:paraId="14DDCF16">
                  <w:pPr>
                    <w:jc w:val="center"/>
                    <w:rPr>
                      <w:rFonts w:eastAsia="宋体"/>
                      <w:sz w:val="21"/>
                      <w:szCs w:val="21"/>
                    </w:rPr>
                  </w:pPr>
                  <w:r>
                    <w:rPr>
                      <w:rFonts w:hint="eastAsia" w:eastAsia="宋体"/>
                      <w:sz w:val="21"/>
                      <w:szCs w:val="21"/>
                    </w:rPr>
                    <w:t>10</w:t>
                  </w:r>
                  <w:r>
                    <w:rPr>
                      <w:rFonts w:eastAsia="宋体"/>
                      <w:sz w:val="21"/>
                      <w:szCs w:val="21"/>
                    </w:rPr>
                    <w:t>万Nm</w:t>
                  </w:r>
                  <w:r>
                    <w:rPr>
                      <w:rFonts w:eastAsia="宋体"/>
                      <w:sz w:val="21"/>
                      <w:szCs w:val="21"/>
                      <w:vertAlign w:val="superscript"/>
                    </w:rPr>
                    <w:t>3</w:t>
                  </w:r>
                  <w:r>
                    <w:rPr>
                      <w:rFonts w:eastAsia="宋体"/>
                      <w:sz w:val="21"/>
                      <w:szCs w:val="21"/>
                    </w:rPr>
                    <w:t>/h制氢</w:t>
                  </w:r>
                  <w:r>
                    <w:rPr>
                      <w:rFonts w:hint="eastAsia" w:eastAsia="宋体"/>
                      <w:sz w:val="21"/>
                      <w:szCs w:val="21"/>
                    </w:rPr>
                    <w:t>（根据市场需求实际建设规模）</w:t>
                  </w:r>
                  <w:r>
                    <w:rPr>
                      <w:rFonts w:eastAsia="宋体"/>
                      <w:sz w:val="21"/>
                      <w:szCs w:val="21"/>
                    </w:rPr>
                    <w:t>、100万吨/年甲醇、20万吨/年乙二醇、50万吨/年醋酸、2.</w:t>
                  </w:r>
                  <w:r>
                    <w:rPr>
                      <w:rFonts w:hint="eastAsia" w:eastAsia="宋体"/>
                      <w:sz w:val="21"/>
                      <w:szCs w:val="21"/>
                    </w:rPr>
                    <w:t>7</w:t>
                  </w:r>
                  <w:r>
                    <w:rPr>
                      <w:rFonts w:eastAsia="宋体"/>
                      <w:sz w:val="21"/>
                      <w:szCs w:val="21"/>
                    </w:rPr>
                    <w:t>万吨/年硫回收等生产装置</w:t>
                  </w:r>
                </w:p>
              </w:tc>
              <w:tc>
                <w:tcPr>
                  <w:tcW w:w="642" w:type="pct"/>
                  <w:vMerge w:val="restart"/>
                  <w:noWrap w:val="0"/>
                  <w:vAlign w:val="center"/>
                </w:tcPr>
                <w:p w14:paraId="1AB6A1BE">
                  <w:pPr>
                    <w:jc w:val="center"/>
                    <w:rPr>
                      <w:rFonts w:hint="eastAsia" w:eastAsia="宋体"/>
                      <w:sz w:val="21"/>
                      <w:szCs w:val="21"/>
                    </w:rPr>
                  </w:pPr>
                  <w:r>
                    <w:rPr>
                      <w:rFonts w:hint="eastAsia" w:eastAsia="宋体"/>
                      <w:sz w:val="21"/>
                      <w:szCs w:val="21"/>
                    </w:rPr>
                    <w:t>空分项目由</w:t>
                  </w:r>
                  <w:r>
                    <w:rPr>
                      <w:rFonts w:eastAsia="宋体"/>
                      <w:sz w:val="21"/>
                      <w:szCs w:val="21"/>
                    </w:rPr>
                    <w:t>普莱克斯（广西）气体有限公司</w:t>
                  </w:r>
                  <w:r>
                    <w:rPr>
                      <w:rFonts w:hint="eastAsia" w:eastAsia="宋体"/>
                      <w:sz w:val="21"/>
                      <w:szCs w:val="21"/>
                    </w:rPr>
                    <w:t>配套</w:t>
                  </w:r>
                  <w:r>
                    <w:rPr>
                      <w:rFonts w:eastAsia="宋体"/>
                      <w:sz w:val="21"/>
                      <w:szCs w:val="21"/>
                    </w:rPr>
                    <w:t>建设</w:t>
                  </w:r>
                  <w:r>
                    <w:rPr>
                      <w:rFonts w:hint="eastAsia" w:eastAsia="宋体"/>
                      <w:sz w:val="21"/>
                      <w:szCs w:val="21"/>
                    </w:rPr>
                    <w:t>、成品罐区工程建设主体变更为孚宝（钦州）码头有限公司</w:t>
                  </w:r>
                </w:p>
              </w:tc>
            </w:tr>
            <w:tr w14:paraId="351B14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76" w:hRule="atLeast"/>
              </w:trPr>
              <w:tc>
                <w:tcPr>
                  <w:tcW w:w="765" w:type="pct"/>
                  <w:tcBorders>
                    <w:top w:val="single" w:color="auto" w:sz="4" w:space="0"/>
                    <w:bottom w:val="single" w:color="auto" w:sz="4" w:space="0"/>
                  </w:tcBorders>
                  <w:noWrap w:val="0"/>
                  <w:vAlign w:val="center"/>
                </w:tcPr>
                <w:p w14:paraId="2074EB21">
                  <w:pPr>
                    <w:jc w:val="center"/>
                    <w:rPr>
                      <w:rFonts w:eastAsia="宋体"/>
                      <w:sz w:val="21"/>
                      <w:szCs w:val="21"/>
                    </w:rPr>
                  </w:pPr>
                  <w:r>
                    <w:rPr>
                      <w:rFonts w:eastAsia="宋体"/>
                      <w:sz w:val="21"/>
                      <w:szCs w:val="21"/>
                    </w:rPr>
                    <w:t>工业气体岛项目</w:t>
                  </w:r>
                  <w:r>
                    <w:rPr>
                      <w:rFonts w:hint="eastAsia" w:eastAsia="宋体"/>
                      <w:sz w:val="21"/>
                      <w:szCs w:val="21"/>
                    </w:rPr>
                    <w:t>变更分析报告</w:t>
                  </w:r>
                </w:p>
              </w:tc>
              <w:tc>
                <w:tcPr>
                  <w:tcW w:w="762" w:type="pct"/>
                  <w:tcBorders>
                    <w:top w:val="single" w:color="auto" w:sz="4" w:space="0"/>
                    <w:bottom w:val="single" w:color="auto" w:sz="4" w:space="0"/>
                  </w:tcBorders>
                  <w:noWrap w:val="0"/>
                  <w:vAlign w:val="center"/>
                </w:tcPr>
                <w:p w14:paraId="15B543D5">
                  <w:pPr>
                    <w:jc w:val="center"/>
                    <w:rPr>
                      <w:rFonts w:eastAsia="宋体"/>
                      <w:sz w:val="21"/>
                      <w:szCs w:val="21"/>
                    </w:rPr>
                  </w:pPr>
                  <w:r>
                    <w:rPr>
                      <w:rFonts w:hint="eastAsia" w:eastAsia="宋体"/>
                      <w:sz w:val="21"/>
                      <w:szCs w:val="21"/>
                    </w:rPr>
                    <w:t>《钦州市生态环境局关于广西华谊能源化工有限公司工业气体岛项目变更的意见》（2</w:t>
                  </w:r>
                  <w:r>
                    <w:rPr>
                      <w:rFonts w:eastAsia="宋体"/>
                      <w:sz w:val="21"/>
                      <w:szCs w:val="21"/>
                    </w:rPr>
                    <w:t>020.10.15</w:t>
                  </w:r>
                  <w:r>
                    <w:rPr>
                      <w:rFonts w:hint="eastAsia" w:eastAsia="宋体"/>
                      <w:sz w:val="21"/>
                      <w:szCs w:val="21"/>
                    </w:rPr>
                    <w:t>）</w:t>
                  </w:r>
                </w:p>
              </w:tc>
              <w:tc>
                <w:tcPr>
                  <w:tcW w:w="1169" w:type="pct"/>
                  <w:tcBorders>
                    <w:top w:val="single" w:color="auto" w:sz="4" w:space="0"/>
                    <w:bottom w:val="single" w:color="auto" w:sz="4" w:space="0"/>
                  </w:tcBorders>
                  <w:noWrap w:val="0"/>
                  <w:vAlign w:val="center"/>
                </w:tcPr>
                <w:p w14:paraId="5AD10129">
                  <w:pPr>
                    <w:jc w:val="center"/>
                    <w:rPr>
                      <w:rFonts w:eastAsia="宋体"/>
                      <w:sz w:val="21"/>
                      <w:szCs w:val="21"/>
                    </w:rPr>
                  </w:pPr>
                  <w:r>
                    <w:rPr>
                      <w:rFonts w:hint="eastAsia" w:eastAsia="宋体"/>
                      <w:sz w:val="21"/>
                      <w:szCs w:val="21"/>
                    </w:rPr>
                    <w:t>空分项目外建、调整污水下游接收端单位、调整罐区、新增灰渣干燥系统、改良硫回收处理工艺、调整总平面布置图</w:t>
                  </w:r>
                </w:p>
              </w:tc>
              <w:tc>
                <w:tcPr>
                  <w:tcW w:w="558" w:type="pct"/>
                  <w:vMerge w:val="continue"/>
                  <w:noWrap w:val="0"/>
                  <w:vAlign w:val="center"/>
                </w:tcPr>
                <w:p w14:paraId="726EA81A">
                  <w:pPr>
                    <w:jc w:val="center"/>
                    <w:rPr>
                      <w:rFonts w:eastAsia="宋体"/>
                      <w:sz w:val="21"/>
                      <w:szCs w:val="21"/>
                    </w:rPr>
                  </w:pPr>
                </w:p>
              </w:tc>
              <w:tc>
                <w:tcPr>
                  <w:tcW w:w="1101" w:type="pct"/>
                  <w:vMerge w:val="continue"/>
                  <w:noWrap w:val="0"/>
                  <w:vAlign w:val="center"/>
                </w:tcPr>
                <w:p w14:paraId="36E2C14B">
                  <w:pPr>
                    <w:jc w:val="center"/>
                    <w:rPr>
                      <w:rFonts w:eastAsia="宋体"/>
                      <w:sz w:val="21"/>
                      <w:szCs w:val="21"/>
                    </w:rPr>
                  </w:pPr>
                </w:p>
              </w:tc>
              <w:tc>
                <w:tcPr>
                  <w:tcW w:w="642" w:type="pct"/>
                  <w:vMerge w:val="continue"/>
                  <w:noWrap w:val="0"/>
                  <w:vAlign w:val="center"/>
                </w:tcPr>
                <w:p w14:paraId="13EEDB83">
                  <w:pPr>
                    <w:jc w:val="center"/>
                    <w:rPr>
                      <w:rFonts w:hint="eastAsia" w:eastAsia="宋体"/>
                      <w:sz w:val="21"/>
                      <w:szCs w:val="21"/>
                    </w:rPr>
                  </w:pPr>
                </w:p>
              </w:tc>
            </w:tr>
            <w:tr w14:paraId="7CBE5F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765" w:type="pct"/>
                  <w:tcBorders>
                    <w:top w:val="single" w:color="auto" w:sz="4" w:space="0"/>
                    <w:bottom w:val="single" w:color="auto" w:sz="4" w:space="0"/>
                  </w:tcBorders>
                  <w:noWrap w:val="0"/>
                  <w:vAlign w:val="center"/>
                </w:tcPr>
                <w:p w14:paraId="21A66288">
                  <w:pPr>
                    <w:jc w:val="center"/>
                    <w:rPr>
                      <w:rFonts w:eastAsia="宋体"/>
                      <w:sz w:val="21"/>
                      <w:szCs w:val="21"/>
                    </w:rPr>
                  </w:pPr>
                  <w:r>
                    <w:rPr>
                      <w:rFonts w:hint="eastAsia" w:eastAsia="宋体"/>
                      <w:sz w:val="21"/>
                      <w:szCs w:val="21"/>
                    </w:rPr>
                    <w:t>变更工业气体岛项目成品罐区工程建设主体的请示</w:t>
                  </w:r>
                </w:p>
              </w:tc>
              <w:tc>
                <w:tcPr>
                  <w:tcW w:w="762" w:type="pct"/>
                  <w:tcBorders>
                    <w:top w:val="single" w:color="auto" w:sz="4" w:space="0"/>
                    <w:bottom w:val="single" w:color="auto" w:sz="4" w:space="0"/>
                  </w:tcBorders>
                  <w:noWrap w:val="0"/>
                  <w:vAlign w:val="center"/>
                </w:tcPr>
                <w:p w14:paraId="3E6A2B35">
                  <w:pPr>
                    <w:jc w:val="center"/>
                    <w:rPr>
                      <w:rFonts w:eastAsia="宋体"/>
                      <w:sz w:val="21"/>
                      <w:szCs w:val="21"/>
                    </w:rPr>
                  </w:pPr>
                  <w:r>
                    <w:rPr>
                      <w:rFonts w:hint="eastAsia" w:eastAsia="宋体"/>
                      <w:sz w:val="21"/>
                      <w:szCs w:val="21"/>
                    </w:rPr>
                    <w:t>钦环函</w:t>
                  </w:r>
                </w:p>
                <w:p w14:paraId="4A26CAF0">
                  <w:pPr>
                    <w:jc w:val="center"/>
                    <w:rPr>
                      <w:rFonts w:eastAsia="宋体"/>
                      <w:sz w:val="21"/>
                      <w:szCs w:val="21"/>
                    </w:rPr>
                  </w:pPr>
                  <w:r>
                    <w:rPr>
                      <w:rFonts w:eastAsia="宋体"/>
                      <w:sz w:val="21"/>
                      <w:szCs w:val="21"/>
                    </w:rPr>
                    <w:t>〔</w:t>
                  </w:r>
                  <w:r>
                    <w:rPr>
                      <w:rFonts w:hint="eastAsia" w:eastAsia="宋体"/>
                      <w:sz w:val="21"/>
                      <w:szCs w:val="21"/>
                    </w:rPr>
                    <w:t>2019〕446号</w:t>
                  </w:r>
                </w:p>
              </w:tc>
              <w:tc>
                <w:tcPr>
                  <w:tcW w:w="1169" w:type="pct"/>
                  <w:tcBorders>
                    <w:top w:val="single" w:color="auto" w:sz="4" w:space="0"/>
                    <w:bottom w:val="single" w:color="auto" w:sz="4" w:space="0"/>
                  </w:tcBorders>
                  <w:noWrap w:val="0"/>
                  <w:vAlign w:val="center"/>
                </w:tcPr>
                <w:p w14:paraId="09BB1726">
                  <w:pPr>
                    <w:jc w:val="center"/>
                    <w:rPr>
                      <w:rFonts w:eastAsia="宋体"/>
                      <w:sz w:val="21"/>
                      <w:szCs w:val="21"/>
                    </w:rPr>
                  </w:pPr>
                  <w:r>
                    <w:rPr>
                      <w:rFonts w:hint="eastAsia" w:eastAsia="宋体"/>
                      <w:sz w:val="21"/>
                      <w:szCs w:val="21"/>
                    </w:rPr>
                    <w:t>建设主体变更为孚宝（钦州）码头有限公司</w:t>
                  </w:r>
                </w:p>
              </w:tc>
              <w:tc>
                <w:tcPr>
                  <w:tcW w:w="558" w:type="pct"/>
                  <w:vMerge w:val="continue"/>
                  <w:tcBorders>
                    <w:bottom w:val="single" w:color="auto" w:sz="4" w:space="0"/>
                  </w:tcBorders>
                  <w:noWrap w:val="0"/>
                  <w:vAlign w:val="center"/>
                </w:tcPr>
                <w:p w14:paraId="65FC86DE">
                  <w:pPr>
                    <w:jc w:val="center"/>
                    <w:rPr>
                      <w:rFonts w:eastAsia="宋体"/>
                      <w:sz w:val="21"/>
                      <w:szCs w:val="21"/>
                    </w:rPr>
                  </w:pPr>
                </w:p>
              </w:tc>
              <w:tc>
                <w:tcPr>
                  <w:tcW w:w="1101" w:type="pct"/>
                  <w:vMerge w:val="continue"/>
                  <w:tcBorders>
                    <w:bottom w:val="single" w:color="auto" w:sz="4" w:space="0"/>
                  </w:tcBorders>
                  <w:noWrap w:val="0"/>
                  <w:vAlign w:val="center"/>
                </w:tcPr>
                <w:p w14:paraId="6265844E">
                  <w:pPr>
                    <w:jc w:val="center"/>
                    <w:rPr>
                      <w:rFonts w:eastAsia="宋体"/>
                      <w:sz w:val="21"/>
                      <w:szCs w:val="21"/>
                    </w:rPr>
                  </w:pPr>
                </w:p>
              </w:tc>
              <w:tc>
                <w:tcPr>
                  <w:tcW w:w="642" w:type="pct"/>
                  <w:vMerge w:val="continue"/>
                  <w:tcBorders>
                    <w:bottom w:val="single" w:color="auto" w:sz="4" w:space="0"/>
                  </w:tcBorders>
                  <w:noWrap w:val="0"/>
                  <w:vAlign w:val="center"/>
                </w:tcPr>
                <w:p w14:paraId="31576F34">
                  <w:pPr>
                    <w:jc w:val="center"/>
                    <w:rPr>
                      <w:rFonts w:hint="eastAsia" w:eastAsia="宋体"/>
                      <w:sz w:val="21"/>
                      <w:szCs w:val="21"/>
                    </w:rPr>
                  </w:pPr>
                </w:p>
              </w:tc>
            </w:tr>
            <w:tr w14:paraId="35FB0F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765" w:type="pct"/>
                  <w:tcBorders>
                    <w:top w:val="single" w:color="auto" w:sz="4" w:space="0"/>
                    <w:bottom w:val="single" w:color="auto" w:sz="4" w:space="0"/>
                  </w:tcBorders>
                  <w:noWrap w:val="0"/>
                  <w:vAlign w:val="center"/>
                </w:tcPr>
                <w:p w14:paraId="7F487A52">
                  <w:pPr>
                    <w:jc w:val="center"/>
                    <w:rPr>
                      <w:rFonts w:eastAsia="宋体"/>
                      <w:sz w:val="21"/>
                      <w:szCs w:val="21"/>
                    </w:rPr>
                  </w:pPr>
                  <w:r>
                    <w:rPr>
                      <w:rFonts w:eastAsia="宋体"/>
                      <w:sz w:val="21"/>
                      <w:szCs w:val="21"/>
                    </w:rPr>
                    <w:t>工业气体岛水系统项目</w:t>
                  </w:r>
                </w:p>
              </w:tc>
              <w:tc>
                <w:tcPr>
                  <w:tcW w:w="762" w:type="pct"/>
                  <w:tcBorders>
                    <w:top w:val="single" w:color="auto" w:sz="4" w:space="0"/>
                    <w:bottom w:val="single" w:color="auto" w:sz="4" w:space="0"/>
                  </w:tcBorders>
                  <w:noWrap w:val="0"/>
                  <w:vAlign w:val="center"/>
                </w:tcPr>
                <w:p w14:paraId="37415394">
                  <w:pPr>
                    <w:jc w:val="center"/>
                    <w:rPr>
                      <w:rFonts w:eastAsia="宋体"/>
                      <w:sz w:val="21"/>
                      <w:szCs w:val="21"/>
                    </w:rPr>
                  </w:pPr>
                  <w:r>
                    <w:rPr>
                      <w:rFonts w:eastAsia="宋体"/>
                      <w:sz w:val="21"/>
                      <w:szCs w:val="21"/>
                    </w:rPr>
                    <w:t>钦港环管字</w:t>
                  </w:r>
                </w:p>
                <w:p w14:paraId="6062C3DB">
                  <w:pPr>
                    <w:jc w:val="center"/>
                    <w:rPr>
                      <w:rFonts w:eastAsia="宋体"/>
                      <w:sz w:val="21"/>
                      <w:szCs w:val="21"/>
                    </w:rPr>
                  </w:pPr>
                  <w:r>
                    <w:rPr>
                      <w:rFonts w:eastAsia="宋体"/>
                      <w:sz w:val="21"/>
                      <w:szCs w:val="21"/>
                    </w:rPr>
                    <w:t>〔2019〕12号</w:t>
                  </w:r>
                </w:p>
              </w:tc>
              <w:tc>
                <w:tcPr>
                  <w:tcW w:w="1169" w:type="pct"/>
                  <w:tcBorders>
                    <w:top w:val="single" w:color="auto" w:sz="4" w:space="0"/>
                    <w:bottom w:val="single" w:color="auto" w:sz="4" w:space="0"/>
                  </w:tcBorders>
                  <w:noWrap w:val="0"/>
                  <w:vAlign w:val="center"/>
                </w:tcPr>
                <w:p w14:paraId="7C51BF30">
                  <w:pPr>
                    <w:jc w:val="center"/>
                    <w:rPr>
                      <w:rFonts w:eastAsia="宋体"/>
                      <w:sz w:val="21"/>
                      <w:szCs w:val="21"/>
                    </w:rPr>
                  </w:pPr>
                  <w:r>
                    <w:rPr>
                      <w:rFonts w:eastAsia="宋体"/>
                      <w:sz w:val="21"/>
                      <w:szCs w:val="21"/>
                    </w:rPr>
                    <w:t>1#循环水场13×5000m</w:t>
                  </w:r>
                  <w:r>
                    <w:rPr>
                      <w:rFonts w:eastAsia="宋体"/>
                      <w:sz w:val="21"/>
                      <w:szCs w:val="21"/>
                      <w:vertAlign w:val="superscript"/>
                    </w:rPr>
                    <w:t>3</w:t>
                  </w:r>
                  <w:r>
                    <w:rPr>
                      <w:rFonts w:eastAsia="宋体"/>
                      <w:sz w:val="21"/>
                      <w:szCs w:val="21"/>
                    </w:rPr>
                    <w:t>、2#循环水场13×5000m</w:t>
                  </w:r>
                  <w:r>
                    <w:rPr>
                      <w:rFonts w:eastAsia="宋体"/>
                      <w:sz w:val="21"/>
                      <w:szCs w:val="21"/>
                      <w:vertAlign w:val="superscript"/>
                    </w:rPr>
                    <w:t>3</w:t>
                  </w:r>
                  <w:r>
                    <w:rPr>
                      <w:rFonts w:eastAsia="宋体"/>
                      <w:sz w:val="21"/>
                      <w:szCs w:val="21"/>
                    </w:rPr>
                    <w:t>、除盐水站600m</w:t>
                  </w:r>
                  <w:r>
                    <w:rPr>
                      <w:rFonts w:eastAsia="宋体"/>
                      <w:sz w:val="21"/>
                      <w:szCs w:val="21"/>
                      <w:vertAlign w:val="superscript"/>
                    </w:rPr>
                    <w:t>3</w:t>
                  </w:r>
                  <w:r>
                    <w:rPr>
                      <w:rFonts w:eastAsia="宋体"/>
                      <w:sz w:val="21"/>
                      <w:szCs w:val="21"/>
                    </w:rPr>
                    <w:t>/h、集送工艺冷凝液700m</w:t>
                  </w:r>
                  <w:r>
                    <w:rPr>
                      <w:rFonts w:eastAsia="宋体"/>
                      <w:sz w:val="21"/>
                      <w:szCs w:val="21"/>
                      <w:vertAlign w:val="superscript"/>
                    </w:rPr>
                    <w:t>3</w:t>
                  </w:r>
                  <w:r>
                    <w:rPr>
                      <w:rFonts w:eastAsia="宋体"/>
                      <w:sz w:val="21"/>
                      <w:szCs w:val="21"/>
                    </w:rPr>
                    <w:t>/h以及给水站</w:t>
                  </w:r>
                </w:p>
              </w:tc>
              <w:tc>
                <w:tcPr>
                  <w:tcW w:w="558" w:type="pct"/>
                  <w:vMerge w:val="restart"/>
                  <w:tcBorders>
                    <w:top w:val="single" w:color="auto" w:sz="4" w:space="0"/>
                  </w:tcBorders>
                  <w:noWrap w:val="0"/>
                  <w:vAlign w:val="center"/>
                </w:tcPr>
                <w:p w14:paraId="00756FDD">
                  <w:pPr>
                    <w:jc w:val="center"/>
                    <w:rPr>
                      <w:rFonts w:eastAsia="宋体"/>
                      <w:sz w:val="21"/>
                      <w:szCs w:val="21"/>
                    </w:rPr>
                  </w:pPr>
                  <w:r>
                    <w:rPr>
                      <w:rFonts w:hint="eastAsia" w:eastAsia="宋体"/>
                      <w:sz w:val="21"/>
                      <w:szCs w:val="21"/>
                    </w:rPr>
                    <w:t>/</w:t>
                  </w:r>
                </w:p>
              </w:tc>
              <w:tc>
                <w:tcPr>
                  <w:tcW w:w="1101" w:type="pct"/>
                  <w:vMerge w:val="restart"/>
                  <w:tcBorders>
                    <w:top w:val="single" w:color="auto" w:sz="4" w:space="0"/>
                  </w:tcBorders>
                  <w:noWrap w:val="0"/>
                  <w:vAlign w:val="center"/>
                </w:tcPr>
                <w:p w14:paraId="07FCE127">
                  <w:pPr>
                    <w:jc w:val="center"/>
                    <w:rPr>
                      <w:rFonts w:eastAsia="宋体"/>
                      <w:sz w:val="21"/>
                      <w:szCs w:val="21"/>
                    </w:rPr>
                  </w:pPr>
                  <w:r>
                    <w:rPr>
                      <w:rFonts w:hint="eastAsia" w:eastAsia="宋体"/>
                      <w:sz w:val="21"/>
                      <w:szCs w:val="21"/>
                    </w:rPr>
                    <w:t>/</w:t>
                  </w:r>
                </w:p>
              </w:tc>
              <w:tc>
                <w:tcPr>
                  <w:tcW w:w="642" w:type="pct"/>
                  <w:vMerge w:val="restart"/>
                  <w:tcBorders>
                    <w:top w:val="single" w:color="auto" w:sz="4" w:space="0"/>
                  </w:tcBorders>
                  <w:noWrap w:val="0"/>
                  <w:vAlign w:val="center"/>
                </w:tcPr>
                <w:p w14:paraId="7711EAF5">
                  <w:pPr>
                    <w:jc w:val="center"/>
                    <w:rPr>
                      <w:rFonts w:hint="eastAsia" w:eastAsia="宋体"/>
                      <w:sz w:val="21"/>
                      <w:szCs w:val="21"/>
                    </w:rPr>
                  </w:pPr>
                  <w:r>
                    <w:rPr>
                      <w:rFonts w:hint="eastAsia" w:eastAsia="宋体"/>
                      <w:sz w:val="21"/>
                      <w:szCs w:val="21"/>
                    </w:rPr>
                    <w:t>建设主体变更</w:t>
                  </w:r>
                </w:p>
              </w:tc>
            </w:tr>
            <w:tr w14:paraId="30E39F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765" w:type="pct"/>
                  <w:tcBorders>
                    <w:top w:val="single" w:color="auto" w:sz="4" w:space="0"/>
                  </w:tcBorders>
                  <w:noWrap w:val="0"/>
                  <w:vAlign w:val="center"/>
                </w:tcPr>
                <w:p w14:paraId="2CC0AB9B">
                  <w:pPr>
                    <w:jc w:val="center"/>
                    <w:rPr>
                      <w:rFonts w:eastAsia="宋体"/>
                      <w:sz w:val="21"/>
                      <w:szCs w:val="21"/>
                    </w:rPr>
                  </w:pPr>
                  <w:r>
                    <w:rPr>
                      <w:rFonts w:hint="eastAsia" w:eastAsia="宋体"/>
                      <w:sz w:val="21"/>
                      <w:szCs w:val="21"/>
                    </w:rPr>
                    <w:t>工业气体岛水系统项目建设主体变更及其环保手续办理请示</w:t>
                  </w:r>
                </w:p>
              </w:tc>
              <w:tc>
                <w:tcPr>
                  <w:tcW w:w="762" w:type="pct"/>
                  <w:tcBorders>
                    <w:top w:val="single" w:color="auto" w:sz="4" w:space="0"/>
                  </w:tcBorders>
                  <w:noWrap w:val="0"/>
                  <w:vAlign w:val="center"/>
                </w:tcPr>
                <w:p w14:paraId="774F59A8">
                  <w:pPr>
                    <w:jc w:val="center"/>
                    <w:rPr>
                      <w:rFonts w:eastAsia="宋体"/>
                      <w:sz w:val="21"/>
                      <w:szCs w:val="21"/>
                    </w:rPr>
                  </w:pPr>
                  <w:r>
                    <w:rPr>
                      <w:rFonts w:hint="eastAsia" w:eastAsia="宋体"/>
                      <w:sz w:val="21"/>
                      <w:szCs w:val="21"/>
                    </w:rPr>
                    <w:t>《钦州市生态环境局关于广西华谊能源化工有限公司工业气体岛水系统项目建设主体变更及其环保手续办理请示的复函》（2</w:t>
                  </w:r>
                  <w:r>
                    <w:rPr>
                      <w:rFonts w:eastAsia="宋体"/>
                      <w:sz w:val="21"/>
                      <w:szCs w:val="21"/>
                    </w:rPr>
                    <w:t>021.7.6</w:t>
                  </w:r>
                  <w:r>
                    <w:rPr>
                      <w:rFonts w:hint="eastAsia" w:eastAsia="宋体"/>
                      <w:sz w:val="21"/>
                      <w:szCs w:val="21"/>
                    </w:rPr>
                    <w:t>）</w:t>
                  </w:r>
                </w:p>
              </w:tc>
              <w:tc>
                <w:tcPr>
                  <w:tcW w:w="1169" w:type="pct"/>
                  <w:tcBorders>
                    <w:top w:val="single" w:color="auto" w:sz="4" w:space="0"/>
                    <w:bottom w:val="single" w:color="auto" w:sz="4" w:space="0"/>
                  </w:tcBorders>
                  <w:noWrap w:val="0"/>
                  <w:vAlign w:val="center"/>
                </w:tcPr>
                <w:p w14:paraId="5D606CF0">
                  <w:pPr>
                    <w:jc w:val="center"/>
                    <w:rPr>
                      <w:rFonts w:eastAsia="宋体"/>
                      <w:sz w:val="21"/>
                      <w:szCs w:val="21"/>
                    </w:rPr>
                  </w:pPr>
                  <w:r>
                    <w:rPr>
                      <w:rFonts w:hint="eastAsia" w:eastAsia="宋体"/>
                      <w:sz w:val="21"/>
                      <w:szCs w:val="21"/>
                    </w:rPr>
                    <w:t>建设主体变更为广西天宜环境科技有限公司</w:t>
                  </w:r>
                </w:p>
              </w:tc>
              <w:tc>
                <w:tcPr>
                  <w:tcW w:w="558" w:type="pct"/>
                  <w:vMerge w:val="continue"/>
                  <w:tcBorders>
                    <w:bottom w:val="single" w:color="auto" w:sz="4" w:space="0"/>
                  </w:tcBorders>
                  <w:noWrap w:val="0"/>
                  <w:vAlign w:val="center"/>
                </w:tcPr>
                <w:p w14:paraId="00D6EAF8">
                  <w:pPr>
                    <w:jc w:val="center"/>
                    <w:rPr>
                      <w:rFonts w:eastAsia="宋体"/>
                      <w:sz w:val="21"/>
                      <w:szCs w:val="21"/>
                    </w:rPr>
                  </w:pPr>
                </w:p>
              </w:tc>
              <w:tc>
                <w:tcPr>
                  <w:tcW w:w="1101" w:type="pct"/>
                  <w:vMerge w:val="continue"/>
                  <w:noWrap w:val="0"/>
                  <w:vAlign w:val="center"/>
                </w:tcPr>
                <w:p w14:paraId="7DAE3BBC">
                  <w:pPr>
                    <w:jc w:val="center"/>
                    <w:rPr>
                      <w:rFonts w:eastAsia="宋体"/>
                      <w:sz w:val="21"/>
                      <w:szCs w:val="21"/>
                    </w:rPr>
                  </w:pPr>
                </w:p>
              </w:tc>
              <w:tc>
                <w:tcPr>
                  <w:tcW w:w="642" w:type="pct"/>
                  <w:vMerge w:val="continue"/>
                  <w:noWrap w:val="0"/>
                  <w:vAlign w:val="center"/>
                </w:tcPr>
                <w:p w14:paraId="2329B936">
                  <w:pPr>
                    <w:jc w:val="center"/>
                    <w:rPr>
                      <w:rFonts w:hint="eastAsia" w:eastAsia="宋体"/>
                      <w:sz w:val="21"/>
                      <w:szCs w:val="21"/>
                    </w:rPr>
                  </w:pPr>
                </w:p>
              </w:tc>
            </w:tr>
            <w:tr w14:paraId="00373D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765" w:type="pct"/>
                  <w:noWrap w:val="0"/>
                  <w:vAlign w:val="center"/>
                </w:tcPr>
                <w:p w14:paraId="574122B2">
                  <w:pPr>
                    <w:jc w:val="center"/>
                    <w:rPr>
                      <w:rFonts w:eastAsia="宋体"/>
                      <w:sz w:val="21"/>
                      <w:szCs w:val="21"/>
                    </w:rPr>
                  </w:pPr>
                  <w:r>
                    <w:rPr>
                      <w:rFonts w:eastAsia="宋体"/>
                      <w:sz w:val="21"/>
                      <w:szCs w:val="21"/>
                    </w:rPr>
                    <w:t>广西华谊能源化工有限公司工业气体岛项目（配套厂外管道工程）</w:t>
                  </w:r>
                </w:p>
              </w:tc>
              <w:tc>
                <w:tcPr>
                  <w:tcW w:w="762" w:type="pct"/>
                  <w:noWrap w:val="0"/>
                  <w:vAlign w:val="center"/>
                </w:tcPr>
                <w:p w14:paraId="27C47FB9">
                  <w:pPr>
                    <w:jc w:val="center"/>
                    <w:rPr>
                      <w:rFonts w:eastAsia="宋体"/>
                      <w:sz w:val="21"/>
                      <w:szCs w:val="21"/>
                    </w:rPr>
                  </w:pPr>
                  <w:r>
                    <w:rPr>
                      <w:rFonts w:eastAsia="宋体"/>
                      <w:sz w:val="21"/>
                      <w:szCs w:val="21"/>
                    </w:rPr>
                    <w:t>钦港环管字</w:t>
                  </w:r>
                </w:p>
                <w:p w14:paraId="268D8981">
                  <w:pPr>
                    <w:jc w:val="center"/>
                    <w:rPr>
                      <w:rFonts w:hint="eastAsia" w:eastAsia="宋体"/>
                      <w:sz w:val="21"/>
                      <w:szCs w:val="21"/>
                    </w:rPr>
                  </w:pPr>
                  <w:r>
                    <w:rPr>
                      <w:rFonts w:eastAsia="宋体"/>
                      <w:sz w:val="21"/>
                      <w:szCs w:val="21"/>
                    </w:rPr>
                    <w:t>〔2020〕19号</w:t>
                  </w:r>
                </w:p>
              </w:tc>
              <w:tc>
                <w:tcPr>
                  <w:tcW w:w="1169" w:type="pct"/>
                  <w:tcBorders>
                    <w:top w:val="single" w:color="auto" w:sz="4" w:space="0"/>
                    <w:bottom w:val="single" w:color="auto" w:sz="4" w:space="0"/>
                  </w:tcBorders>
                  <w:noWrap w:val="0"/>
                  <w:vAlign w:val="center"/>
                </w:tcPr>
                <w:p w14:paraId="0D74CE82">
                  <w:pPr>
                    <w:jc w:val="center"/>
                    <w:rPr>
                      <w:rFonts w:eastAsia="宋体"/>
                      <w:sz w:val="21"/>
                      <w:szCs w:val="21"/>
                    </w:rPr>
                  </w:pPr>
                  <w:r>
                    <w:rPr>
                      <w:rFonts w:hint="eastAsia" w:eastAsia="宋体"/>
                      <w:sz w:val="21"/>
                      <w:szCs w:val="21"/>
                    </w:rPr>
                    <w:t>新建三段管廊及敷设五段广西华谊能源化工有限公司公用工程物料与化学品的输送管道</w:t>
                  </w:r>
                </w:p>
              </w:tc>
              <w:tc>
                <w:tcPr>
                  <w:tcW w:w="558" w:type="pct"/>
                  <w:tcBorders>
                    <w:top w:val="single" w:color="auto" w:sz="4" w:space="0"/>
                  </w:tcBorders>
                  <w:noWrap w:val="0"/>
                  <w:vAlign w:val="center"/>
                </w:tcPr>
                <w:p w14:paraId="0C0F0D85">
                  <w:pPr>
                    <w:jc w:val="center"/>
                    <w:rPr>
                      <w:rFonts w:eastAsia="宋体"/>
                      <w:sz w:val="21"/>
                      <w:szCs w:val="21"/>
                    </w:rPr>
                  </w:pPr>
                  <w:r>
                    <w:rPr>
                      <w:rFonts w:hint="eastAsia" w:eastAsia="宋体"/>
                      <w:sz w:val="21"/>
                      <w:szCs w:val="21"/>
                    </w:rPr>
                    <w:t>2</w:t>
                  </w:r>
                  <w:r>
                    <w:rPr>
                      <w:rFonts w:eastAsia="宋体"/>
                      <w:sz w:val="21"/>
                      <w:szCs w:val="21"/>
                    </w:rPr>
                    <w:t>022</w:t>
                  </w:r>
                  <w:r>
                    <w:rPr>
                      <w:rFonts w:hint="eastAsia" w:eastAsia="宋体"/>
                      <w:sz w:val="21"/>
                      <w:szCs w:val="21"/>
                    </w:rPr>
                    <w:t>年6月自主验收</w:t>
                  </w:r>
                </w:p>
              </w:tc>
              <w:tc>
                <w:tcPr>
                  <w:tcW w:w="1101" w:type="pct"/>
                  <w:noWrap w:val="0"/>
                  <w:vAlign w:val="center"/>
                </w:tcPr>
                <w:p w14:paraId="1E7A867C">
                  <w:pPr>
                    <w:jc w:val="center"/>
                    <w:rPr>
                      <w:rFonts w:eastAsia="宋体"/>
                      <w:sz w:val="21"/>
                      <w:szCs w:val="21"/>
                    </w:rPr>
                  </w:pPr>
                  <w:r>
                    <w:rPr>
                      <w:rFonts w:hint="eastAsia" w:eastAsia="宋体"/>
                      <w:sz w:val="21"/>
                      <w:szCs w:val="21"/>
                    </w:rPr>
                    <w:t>新建三段管廊及敷设五段广西华谊能源化工有限公司公用工程物料与化学品的输送管道</w:t>
                  </w:r>
                </w:p>
              </w:tc>
              <w:tc>
                <w:tcPr>
                  <w:tcW w:w="642" w:type="pct"/>
                  <w:noWrap w:val="0"/>
                  <w:vAlign w:val="center"/>
                </w:tcPr>
                <w:p w14:paraId="22988938">
                  <w:pPr>
                    <w:jc w:val="center"/>
                    <w:rPr>
                      <w:rFonts w:eastAsia="宋体"/>
                      <w:sz w:val="21"/>
                      <w:szCs w:val="21"/>
                    </w:rPr>
                  </w:pPr>
                </w:p>
              </w:tc>
            </w:tr>
            <w:tr w14:paraId="050CE0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765" w:type="pct"/>
                  <w:tcBorders>
                    <w:bottom w:val="single" w:color="auto" w:sz="4" w:space="0"/>
                  </w:tcBorders>
                  <w:noWrap w:val="0"/>
                  <w:vAlign w:val="center"/>
                </w:tcPr>
                <w:p w14:paraId="6D6DB188">
                  <w:pPr>
                    <w:jc w:val="center"/>
                    <w:rPr>
                      <w:rFonts w:eastAsia="宋体"/>
                      <w:sz w:val="21"/>
                      <w:szCs w:val="21"/>
                    </w:rPr>
                  </w:pPr>
                  <w:r>
                    <w:rPr>
                      <w:rFonts w:eastAsia="宋体"/>
                      <w:sz w:val="21"/>
                      <w:szCs w:val="21"/>
                    </w:rPr>
                    <w:t>广西华谊能源化工有限公司合成气综合利用项目</w:t>
                  </w:r>
                </w:p>
              </w:tc>
              <w:tc>
                <w:tcPr>
                  <w:tcW w:w="762" w:type="pct"/>
                  <w:tcBorders>
                    <w:bottom w:val="single" w:color="auto" w:sz="4" w:space="0"/>
                  </w:tcBorders>
                  <w:noWrap w:val="0"/>
                  <w:vAlign w:val="center"/>
                </w:tcPr>
                <w:p w14:paraId="13EC1678">
                  <w:pPr>
                    <w:jc w:val="center"/>
                    <w:rPr>
                      <w:rFonts w:eastAsia="宋体"/>
                      <w:sz w:val="21"/>
                      <w:szCs w:val="21"/>
                    </w:rPr>
                  </w:pPr>
                  <w:r>
                    <w:rPr>
                      <w:rFonts w:eastAsia="宋体"/>
                      <w:sz w:val="21"/>
                      <w:szCs w:val="21"/>
                    </w:rPr>
                    <w:t>钦港环管字</w:t>
                  </w:r>
                </w:p>
                <w:p w14:paraId="3546F9A3">
                  <w:pPr>
                    <w:jc w:val="center"/>
                    <w:rPr>
                      <w:rFonts w:eastAsia="宋体"/>
                      <w:sz w:val="21"/>
                      <w:szCs w:val="21"/>
                    </w:rPr>
                  </w:pPr>
                  <w:r>
                    <w:rPr>
                      <w:rFonts w:eastAsia="宋体"/>
                      <w:sz w:val="21"/>
                      <w:szCs w:val="21"/>
                    </w:rPr>
                    <w:t>〔2020〕1号</w:t>
                  </w:r>
                </w:p>
              </w:tc>
              <w:tc>
                <w:tcPr>
                  <w:tcW w:w="1169" w:type="pct"/>
                  <w:tcBorders>
                    <w:bottom w:val="single" w:color="auto" w:sz="4" w:space="0"/>
                  </w:tcBorders>
                  <w:noWrap w:val="0"/>
                  <w:vAlign w:val="center"/>
                </w:tcPr>
                <w:p w14:paraId="0565AAD1">
                  <w:pPr>
                    <w:jc w:val="center"/>
                    <w:rPr>
                      <w:rFonts w:eastAsia="宋体"/>
                      <w:sz w:val="21"/>
                      <w:szCs w:val="21"/>
                    </w:rPr>
                  </w:pPr>
                  <w:r>
                    <w:rPr>
                      <w:rFonts w:hint="eastAsia" w:eastAsia="宋体"/>
                      <w:sz w:val="21"/>
                      <w:szCs w:val="21"/>
                    </w:rPr>
                    <w:t>100万吨/年甲醇装置、</w:t>
                  </w:r>
                  <w:r>
                    <w:rPr>
                      <w:rFonts w:eastAsia="宋体"/>
                      <w:sz w:val="21"/>
                      <w:szCs w:val="21"/>
                    </w:rPr>
                    <w:t>7</w:t>
                  </w:r>
                  <w:r>
                    <w:rPr>
                      <w:rFonts w:hint="eastAsia" w:eastAsia="宋体"/>
                      <w:sz w:val="21"/>
                      <w:szCs w:val="21"/>
                    </w:rPr>
                    <w:t>0万吨/年醋酸以及一套一氧化碳分离装置、余热发电系统等</w:t>
                  </w:r>
                </w:p>
              </w:tc>
              <w:tc>
                <w:tcPr>
                  <w:tcW w:w="558" w:type="pct"/>
                  <w:vMerge w:val="restart"/>
                  <w:noWrap w:val="0"/>
                  <w:vAlign w:val="center"/>
                </w:tcPr>
                <w:p w14:paraId="6441C4A8">
                  <w:pPr>
                    <w:jc w:val="center"/>
                    <w:rPr>
                      <w:rFonts w:eastAsia="宋体"/>
                      <w:sz w:val="21"/>
                      <w:szCs w:val="21"/>
                    </w:rPr>
                  </w:pPr>
                  <w:r>
                    <w:rPr>
                      <w:rFonts w:hint="eastAsia" w:eastAsia="宋体"/>
                      <w:sz w:val="21"/>
                      <w:szCs w:val="21"/>
                    </w:rPr>
                    <w:t>2</w:t>
                  </w:r>
                  <w:r>
                    <w:rPr>
                      <w:rFonts w:eastAsia="宋体"/>
                      <w:sz w:val="21"/>
                      <w:szCs w:val="21"/>
                    </w:rPr>
                    <w:t>022</w:t>
                  </w:r>
                  <w:r>
                    <w:rPr>
                      <w:rFonts w:hint="eastAsia" w:eastAsia="宋体"/>
                      <w:sz w:val="21"/>
                      <w:szCs w:val="21"/>
                    </w:rPr>
                    <w:t>年6月自主验收</w:t>
                  </w:r>
                </w:p>
              </w:tc>
              <w:tc>
                <w:tcPr>
                  <w:tcW w:w="1101" w:type="pct"/>
                  <w:vMerge w:val="restart"/>
                  <w:noWrap w:val="0"/>
                  <w:vAlign w:val="center"/>
                </w:tcPr>
                <w:p w14:paraId="61E7405D">
                  <w:pPr>
                    <w:jc w:val="center"/>
                    <w:rPr>
                      <w:rFonts w:eastAsia="宋体"/>
                      <w:sz w:val="21"/>
                      <w:szCs w:val="21"/>
                    </w:rPr>
                  </w:pPr>
                  <w:r>
                    <w:rPr>
                      <w:rFonts w:hint="eastAsia" w:eastAsia="宋体"/>
                      <w:sz w:val="21"/>
                      <w:szCs w:val="21"/>
                    </w:rPr>
                    <w:t>100万吨/年甲醇装置、</w:t>
                  </w:r>
                  <w:r>
                    <w:rPr>
                      <w:rFonts w:eastAsia="宋体"/>
                      <w:sz w:val="21"/>
                      <w:szCs w:val="21"/>
                    </w:rPr>
                    <w:t>7</w:t>
                  </w:r>
                  <w:r>
                    <w:rPr>
                      <w:rFonts w:hint="eastAsia" w:eastAsia="宋体"/>
                      <w:sz w:val="21"/>
                      <w:szCs w:val="21"/>
                    </w:rPr>
                    <w:t>0万吨/年醋酸以及一套一氧化碳分离装置、余热发电系统等</w:t>
                  </w:r>
                </w:p>
              </w:tc>
              <w:tc>
                <w:tcPr>
                  <w:tcW w:w="642" w:type="pct"/>
                  <w:vMerge w:val="restart"/>
                  <w:noWrap w:val="0"/>
                  <w:vAlign w:val="center"/>
                </w:tcPr>
                <w:p w14:paraId="28E63B2F">
                  <w:pPr>
                    <w:jc w:val="center"/>
                    <w:rPr>
                      <w:rFonts w:eastAsia="宋体"/>
                      <w:sz w:val="21"/>
                      <w:szCs w:val="21"/>
                    </w:rPr>
                  </w:pPr>
                  <w:r>
                    <w:rPr>
                      <w:rFonts w:hint="eastAsia" w:eastAsia="宋体"/>
                      <w:sz w:val="21"/>
                      <w:szCs w:val="21"/>
                    </w:rPr>
                    <w:t>3座醋酸成品储罐建设主体变更为孚宝（钦州）码头有限公司</w:t>
                  </w:r>
                </w:p>
              </w:tc>
            </w:tr>
            <w:tr w14:paraId="38D69F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1D5C5FCB">
                  <w:pPr>
                    <w:jc w:val="center"/>
                    <w:rPr>
                      <w:rFonts w:eastAsia="宋体"/>
                      <w:sz w:val="21"/>
                      <w:szCs w:val="21"/>
                    </w:rPr>
                  </w:pPr>
                  <w:r>
                    <w:rPr>
                      <w:rFonts w:eastAsia="宋体"/>
                      <w:sz w:val="21"/>
                      <w:szCs w:val="21"/>
                    </w:rPr>
                    <w:t>合成气综合利用项目</w:t>
                  </w:r>
                  <w:r>
                    <w:rPr>
                      <w:rFonts w:hint="eastAsia" w:eastAsia="宋体"/>
                      <w:sz w:val="21"/>
                      <w:szCs w:val="21"/>
                    </w:rPr>
                    <w:t>醋酸储罐建设主体变更请示</w:t>
                  </w:r>
                </w:p>
              </w:tc>
              <w:tc>
                <w:tcPr>
                  <w:tcW w:w="762" w:type="pct"/>
                  <w:tcBorders>
                    <w:top w:val="single" w:color="auto" w:sz="4" w:space="0"/>
                    <w:bottom w:val="single" w:color="auto" w:sz="4" w:space="0"/>
                  </w:tcBorders>
                  <w:noWrap w:val="0"/>
                  <w:vAlign w:val="center"/>
                </w:tcPr>
                <w:p w14:paraId="642DEDB3">
                  <w:pPr>
                    <w:jc w:val="center"/>
                    <w:rPr>
                      <w:rFonts w:eastAsia="宋体"/>
                      <w:sz w:val="21"/>
                      <w:szCs w:val="21"/>
                    </w:rPr>
                  </w:pPr>
                  <w:r>
                    <w:rPr>
                      <w:rFonts w:hint="eastAsia" w:eastAsia="宋体"/>
                      <w:sz w:val="21"/>
                      <w:szCs w:val="21"/>
                    </w:rPr>
                    <w:t>《钦州市生态环境局关于广西华谊能源化工有限公司</w:t>
                  </w:r>
                  <w:r>
                    <w:rPr>
                      <w:rFonts w:eastAsia="宋体"/>
                      <w:sz w:val="21"/>
                      <w:szCs w:val="21"/>
                    </w:rPr>
                    <w:t>合成气综合利用项目</w:t>
                  </w:r>
                  <w:r>
                    <w:rPr>
                      <w:rFonts w:hint="eastAsia" w:eastAsia="宋体"/>
                      <w:sz w:val="21"/>
                      <w:szCs w:val="21"/>
                    </w:rPr>
                    <w:t>醋酸储罐建设主体变更请示的复函》（2</w:t>
                  </w:r>
                  <w:r>
                    <w:rPr>
                      <w:rFonts w:eastAsia="宋体"/>
                      <w:sz w:val="21"/>
                      <w:szCs w:val="21"/>
                    </w:rPr>
                    <w:t>02</w:t>
                  </w:r>
                  <w:r>
                    <w:rPr>
                      <w:rFonts w:hint="eastAsia" w:eastAsia="宋体"/>
                      <w:sz w:val="21"/>
                      <w:szCs w:val="21"/>
                    </w:rPr>
                    <w:t>0</w:t>
                  </w:r>
                  <w:r>
                    <w:rPr>
                      <w:rFonts w:eastAsia="宋体"/>
                      <w:sz w:val="21"/>
                      <w:szCs w:val="21"/>
                    </w:rPr>
                    <w:t>.</w:t>
                  </w:r>
                  <w:r>
                    <w:rPr>
                      <w:rFonts w:hint="eastAsia" w:eastAsia="宋体"/>
                      <w:sz w:val="21"/>
                      <w:szCs w:val="21"/>
                    </w:rPr>
                    <w:t>5</w:t>
                  </w:r>
                  <w:r>
                    <w:rPr>
                      <w:rFonts w:eastAsia="宋体"/>
                      <w:sz w:val="21"/>
                      <w:szCs w:val="21"/>
                    </w:rPr>
                    <w:t>.</w:t>
                  </w:r>
                  <w:r>
                    <w:rPr>
                      <w:rFonts w:hint="eastAsia" w:eastAsia="宋体"/>
                      <w:sz w:val="21"/>
                      <w:szCs w:val="21"/>
                    </w:rPr>
                    <w:t>19）</w:t>
                  </w:r>
                </w:p>
              </w:tc>
              <w:tc>
                <w:tcPr>
                  <w:tcW w:w="1169" w:type="pct"/>
                  <w:tcBorders>
                    <w:top w:val="single" w:color="auto" w:sz="4" w:space="0"/>
                    <w:bottom w:val="single" w:color="auto" w:sz="4" w:space="0"/>
                  </w:tcBorders>
                  <w:noWrap w:val="0"/>
                  <w:vAlign w:val="center"/>
                </w:tcPr>
                <w:p w14:paraId="0431F7DA">
                  <w:pPr>
                    <w:jc w:val="center"/>
                    <w:rPr>
                      <w:rFonts w:eastAsia="宋体"/>
                      <w:sz w:val="21"/>
                      <w:szCs w:val="21"/>
                    </w:rPr>
                  </w:pPr>
                  <w:r>
                    <w:rPr>
                      <w:rFonts w:hint="eastAsia" w:eastAsia="宋体"/>
                      <w:sz w:val="21"/>
                      <w:szCs w:val="21"/>
                    </w:rPr>
                    <w:t>3座醋酸成品储罐建设主体变更为孚宝（钦州）码头有限公司</w:t>
                  </w:r>
                </w:p>
              </w:tc>
              <w:tc>
                <w:tcPr>
                  <w:tcW w:w="558" w:type="pct"/>
                  <w:vMerge w:val="continue"/>
                  <w:noWrap w:val="0"/>
                  <w:vAlign w:val="center"/>
                </w:tcPr>
                <w:p w14:paraId="2B7CCCA0">
                  <w:pPr>
                    <w:jc w:val="center"/>
                    <w:rPr>
                      <w:rFonts w:eastAsia="宋体"/>
                      <w:sz w:val="21"/>
                      <w:szCs w:val="21"/>
                    </w:rPr>
                  </w:pPr>
                </w:p>
              </w:tc>
              <w:tc>
                <w:tcPr>
                  <w:tcW w:w="1101" w:type="pct"/>
                  <w:vMerge w:val="continue"/>
                  <w:noWrap w:val="0"/>
                  <w:vAlign w:val="center"/>
                </w:tcPr>
                <w:p w14:paraId="65CAB794">
                  <w:pPr>
                    <w:jc w:val="center"/>
                    <w:rPr>
                      <w:rFonts w:eastAsia="宋体"/>
                      <w:sz w:val="21"/>
                      <w:szCs w:val="21"/>
                    </w:rPr>
                  </w:pPr>
                </w:p>
              </w:tc>
              <w:tc>
                <w:tcPr>
                  <w:tcW w:w="642" w:type="pct"/>
                  <w:vMerge w:val="continue"/>
                  <w:noWrap w:val="0"/>
                  <w:vAlign w:val="center"/>
                </w:tcPr>
                <w:p w14:paraId="27AF80B0">
                  <w:pPr>
                    <w:jc w:val="center"/>
                    <w:rPr>
                      <w:rFonts w:eastAsia="宋体"/>
                      <w:sz w:val="21"/>
                      <w:szCs w:val="21"/>
                    </w:rPr>
                  </w:pPr>
                </w:p>
              </w:tc>
            </w:tr>
            <w:tr w14:paraId="091000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0FEAFDB1">
                  <w:pPr>
                    <w:jc w:val="center"/>
                    <w:rPr>
                      <w:rFonts w:eastAsia="宋体"/>
                      <w:sz w:val="21"/>
                      <w:szCs w:val="21"/>
                    </w:rPr>
                  </w:pPr>
                  <w:r>
                    <w:rPr>
                      <w:rFonts w:hint="eastAsia" w:eastAsia="宋体"/>
                      <w:sz w:val="21"/>
                      <w:szCs w:val="21"/>
                    </w:rPr>
                    <w:t>广西华谊能源化工有限公司氨回收项目</w:t>
                  </w:r>
                </w:p>
              </w:tc>
              <w:tc>
                <w:tcPr>
                  <w:tcW w:w="762" w:type="pct"/>
                  <w:tcBorders>
                    <w:top w:val="single" w:color="auto" w:sz="4" w:space="0"/>
                    <w:bottom w:val="single" w:color="auto" w:sz="4" w:space="0"/>
                  </w:tcBorders>
                  <w:noWrap w:val="0"/>
                  <w:vAlign w:val="center"/>
                </w:tcPr>
                <w:p w14:paraId="62A96499">
                  <w:pPr>
                    <w:jc w:val="center"/>
                    <w:rPr>
                      <w:rFonts w:eastAsia="宋体"/>
                      <w:sz w:val="21"/>
                      <w:szCs w:val="21"/>
                    </w:rPr>
                  </w:pPr>
                  <w:r>
                    <w:rPr>
                      <w:rFonts w:hint="eastAsia" w:eastAsia="宋体"/>
                      <w:sz w:val="21"/>
                      <w:szCs w:val="21"/>
                    </w:rPr>
                    <w:t>自贸钦审批</w:t>
                  </w:r>
                </w:p>
                <w:p w14:paraId="3CFD51CF">
                  <w:pPr>
                    <w:jc w:val="center"/>
                    <w:rPr>
                      <w:rFonts w:hint="eastAsia" w:eastAsia="宋体"/>
                      <w:sz w:val="21"/>
                      <w:szCs w:val="21"/>
                    </w:rPr>
                  </w:pPr>
                  <w:r>
                    <w:rPr>
                      <w:rFonts w:hint="eastAsia" w:eastAsia="宋体"/>
                      <w:sz w:val="21"/>
                      <w:szCs w:val="21"/>
                    </w:rPr>
                    <w:t>环〔2022〕43号</w:t>
                  </w:r>
                </w:p>
              </w:tc>
              <w:tc>
                <w:tcPr>
                  <w:tcW w:w="1169" w:type="pct"/>
                  <w:tcBorders>
                    <w:top w:val="single" w:color="auto" w:sz="4" w:space="0"/>
                    <w:bottom w:val="single" w:color="auto" w:sz="4" w:space="0"/>
                  </w:tcBorders>
                  <w:noWrap w:val="0"/>
                  <w:vAlign w:val="center"/>
                </w:tcPr>
                <w:p w14:paraId="6FEE8C4F">
                  <w:pPr>
                    <w:jc w:val="center"/>
                    <w:rPr>
                      <w:rFonts w:hint="eastAsia" w:eastAsia="宋体"/>
                      <w:sz w:val="21"/>
                      <w:szCs w:val="21"/>
                    </w:rPr>
                  </w:pPr>
                  <w:r>
                    <w:rPr>
                      <w:rFonts w:hint="eastAsia" w:eastAsia="宋体"/>
                      <w:sz w:val="21"/>
                      <w:szCs w:val="21"/>
                    </w:rPr>
                    <w:t>利用气体岛项目变换工段产生的约1</w:t>
                  </w:r>
                  <w:r>
                    <w:rPr>
                      <w:rFonts w:eastAsia="宋体"/>
                      <w:sz w:val="21"/>
                      <w:szCs w:val="21"/>
                    </w:rPr>
                    <w:t>0</w:t>
                  </w:r>
                  <w:r>
                    <w:rPr>
                      <w:rFonts w:hint="eastAsia" w:eastAsia="宋体"/>
                      <w:sz w:val="21"/>
                      <w:szCs w:val="21"/>
                    </w:rPr>
                    <w:t>万t</w:t>
                  </w:r>
                  <w:r>
                    <w:rPr>
                      <w:rFonts w:eastAsia="宋体"/>
                      <w:sz w:val="21"/>
                      <w:szCs w:val="21"/>
                    </w:rPr>
                    <w:t>/a</w:t>
                  </w:r>
                  <w:r>
                    <w:rPr>
                      <w:rFonts w:hint="eastAsia" w:eastAsia="宋体"/>
                      <w:sz w:val="21"/>
                      <w:szCs w:val="21"/>
                    </w:rPr>
                    <w:t>含氨废水，建设氨回收生产线、生产2</w:t>
                  </w:r>
                  <w:r>
                    <w:rPr>
                      <w:rFonts w:eastAsia="宋体"/>
                      <w:sz w:val="21"/>
                      <w:szCs w:val="21"/>
                    </w:rPr>
                    <w:t>0%</w:t>
                  </w:r>
                  <w:r>
                    <w:rPr>
                      <w:rFonts w:hint="eastAsia" w:eastAsia="宋体"/>
                      <w:sz w:val="21"/>
                      <w:szCs w:val="21"/>
                    </w:rPr>
                    <w:t>氨水1</w:t>
                  </w:r>
                  <w:r>
                    <w:rPr>
                      <w:rFonts w:eastAsia="宋体"/>
                      <w:sz w:val="21"/>
                      <w:szCs w:val="21"/>
                    </w:rPr>
                    <w:t>2208t/a</w:t>
                  </w:r>
                </w:p>
              </w:tc>
              <w:tc>
                <w:tcPr>
                  <w:tcW w:w="558" w:type="pct"/>
                  <w:noWrap w:val="0"/>
                  <w:vAlign w:val="center"/>
                </w:tcPr>
                <w:p w14:paraId="68D2CB3E">
                  <w:pPr>
                    <w:jc w:val="center"/>
                    <w:rPr>
                      <w:rFonts w:eastAsia="宋体"/>
                      <w:sz w:val="21"/>
                      <w:szCs w:val="21"/>
                    </w:rPr>
                  </w:pPr>
                  <w:r>
                    <w:rPr>
                      <w:rFonts w:hint="eastAsia" w:eastAsia="宋体"/>
                      <w:sz w:val="21"/>
                      <w:szCs w:val="21"/>
                    </w:rPr>
                    <w:t>2</w:t>
                  </w:r>
                  <w:r>
                    <w:rPr>
                      <w:rFonts w:eastAsia="宋体"/>
                      <w:sz w:val="21"/>
                      <w:szCs w:val="21"/>
                    </w:rPr>
                    <w:t>0</w:t>
                  </w:r>
                  <w:r>
                    <w:rPr>
                      <w:rFonts w:hint="eastAsia" w:eastAsia="宋体"/>
                      <w:sz w:val="21"/>
                      <w:szCs w:val="21"/>
                    </w:rPr>
                    <w:t>23年10月自主验收</w:t>
                  </w:r>
                </w:p>
              </w:tc>
              <w:tc>
                <w:tcPr>
                  <w:tcW w:w="1101" w:type="pct"/>
                  <w:noWrap w:val="0"/>
                  <w:vAlign w:val="center"/>
                </w:tcPr>
                <w:p w14:paraId="2C0F429C">
                  <w:pPr>
                    <w:jc w:val="center"/>
                    <w:rPr>
                      <w:rFonts w:eastAsia="宋体"/>
                      <w:sz w:val="21"/>
                      <w:szCs w:val="21"/>
                    </w:rPr>
                  </w:pPr>
                  <w:r>
                    <w:rPr>
                      <w:rFonts w:hint="eastAsia" w:eastAsia="宋体"/>
                      <w:sz w:val="21"/>
                      <w:szCs w:val="21"/>
                    </w:rPr>
                    <w:t>建设氨回收生产线、生产2</w:t>
                  </w:r>
                  <w:r>
                    <w:rPr>
                      <w:rFonts w:eastAsia="宋体"/>
                      <w:sz w:val="21"/>
                      <w:szCs w:val="21"/>
                    </w:rPr>
                    <w:t>0%</w:t>
                  </w:r>
                  <w:r>
                    <w:rPr>
                      <w:rFonts w:hint="eastAsia" w:eastAsia="宋体"/>
                      <w:sz w:val="21"/>
                      <w:szCs w:val="21"/>
                    </w:rPr>
                    <w:t>氨水1</w:t>
                  </w:r>
                  <w:r>
                    <w:rPr>
                      <w:rFonts w:eastAsia="宋体"/>
                      <w:sz w:val="21"/>
                      <w:szCs w:val="21"/>
                    </w:rPr>
                    <w:t>2208t/a</w:t>
                  </w:r>
                </w:p>
              </w:tc>
              <w:tc>
                <w:tcPr>
                  <w:tcW w:w="642" w:type="pct"/>
                  <w:noWrap w:val="0"/>
                  <w:vAlign w:val="center"/>
                </w:tcPr>
                <w:p w14:paraId="42F17E1D">
                  <w:pPr>
                    <w:jc w:val="center"/>
                    <w:rPr>
                      <w:rFonts w:eastAsia="宋体"/>
                      <w:sz w:val="21"/>
                      <w:szCs w:val="21"/>
                    </w:rPr>
                  </w:pPr>
                  <w:r>
                    <w:rPr>
                      <w:rFonts w:hint="eastAsia" w:eastAsia="宋体"/>
                      <w:sz w:val="21"/>
                      <w:szCs w:val="21"/>
                    </w:rPr>
                    <w:t>/</w:t>
                  </w:r>
                </w:p>
              </w:tc>
            </w:tr>
            <w:tr w14:paraId="3D1F3E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23DF6C5D">
                  <w:pPr>
                    <w:jc w:val="center"/>
                    <w:rPr>
                      <w:rFonts w:hint="eastAsia" w:eastAsia="宋体"/>
                      <w:sz w:val="21"/>
                      <w:szCs w:val="21"/>
                    </w:rPr>
                  </w:pPr>
                  <w:bookmarkStart w:id="12" w:name="_Hlk155352645"/>
                  <w:r>
                    <w:rPr>
                      <w:rFonts w:hint="eastAsia" w:eastAsia="宋体"/>
                      <w:sz w:val="21"/>
                      <w:szCs w:val="21"/>
                    </w:rPr>
                    <w:t>广西华谊能源化工有限公司甲醇制烯烃及下游深加工一体化项目</w:t>
                  </w:r>
                  <w:bookmarkEnd w:id="12"/>
                </w:p>
              </w:tc>
              <w:tc>
                <w:tcPr>
                  <w:tcW w:w="762" w:type="pct"/>
                  <w:tcBorders>
                    <w:top w:val="single" w:color="auto" w:sz="4" w:space="0"/>
                    <w:bottom w:val="single" w:color="auto" w:sz="4" w:space="0"/>
                  </w:tcBorders>
                  <w:noWrap w:val="0"/>
                  <w:vAlign w:val="center"/>
                </w:tcPr>
                <w:p w14:paraId="182033C4">
                  <w:pPr>
                    <w:jc w:val="center"/>
                    <w:rPr>
                      <w:rFonts w:eastAsia="宋体"/>
                      <w:sz w:val="21"/>
                      <w:szCs w:val="21"/>
                    </w:rPr>
                  </w:pPr>
                  <w:r>
                    <w:rPr>
                      <w:rFonts w:hint="eastAsia" w:eastAsia="宋体"/>
                      <w:sz w:val="21"/>
                      <w:szCs w:val="21"/>
                    </w:rPr>
                    <w:t>自贸钦审批</w:t>
                  </w:r>
                </w:p>
                <w:p w14:paraId="3B03CB55">
                  <w:pPr>
                    <w:jc w:val="center"/>
                    <w:rPr>
                      <w:rFonts w:hint="eastAsia" w:eastAsia="宋体"/>
                      <w:sz w:val="21"/>
                      <w:szCs w:val="21"/>
                    </w:rPr>
                  </w:pPr>
                  <w:r>
                    <w:rPr>
                      <w:rFonts w:hint="eastAsia" w:eastAsia="宋体"/>
                      <w:sz w:val="21"/>
                      <w:szCs w:val="21"/>
                    </w:rPr>
                    <w:t>环〔202</w:t>
                  </w:r>
                  <w:r>
                    <w:rPr>
                      <w:rFonts w:eastAsia="宋体"/>
                      <w:sz w:val="21"/>
                      <w:szCs w:val="21"/>
                    </w:rPr>
                    <w:t>3</w:t>
                  </w:r>
                  <w:r>
                    <w:rPr>
                      <w:rFonts w:hint="eastAsia" w:eastAsia="宋体"/>
                      <w:sz w:val="21"/>
                      <w:szCs w:val="21"/>
                    </w:rPr>
                    <w:t>〕</w:t>
                  </w:r>
                  <w:r>
                    <w:rPr>
                      <w:rFonts w:eastAsia="宋体"/>
                      <w:sz w:val="21"/>
                      <w:szCs w:val="21"/>
                    </w:rPr>
                    <w:t>17</w:t>
                  </w:r>
                  <w:r>
                    <w:rPr>
                      <w:rFonts w:hint="eastAsia" w:eastAsia="宋体"/>
                      <w:sz w:val="21"/>
                      <w:szCs w:val="21"/>
                    </w:rPr>
                    <w:t>号</w:t>
                  </w:r>
                </w:p>
              </w:tc>
              <w:tc>
                <w:tcPr>
                  <w:tcW w:w="1169" w:type="pct"/>
                  <w:tcBorders>
                    <w:top w:val="single" w:color="auto" w:sz="4" w:space="0"/>
                    <w:bottom w:val="single" w:color="auto" w:sz="4" w:space="0"/>
                  </w:tcBorders>
                  <w:noWrap w:val="0"/>
                  <w:vAlign w:val="center"/>
                </w:tcPr>
                <w:p w14:paraId="2F7367EF">
                  <w:pPr>
                    <w:jc w:val="center"/>
                    <w:rPr>
                      <w:rFonts w:hint="eastAsia" w:eastAsia="宋体"/>
                      <w:sz w:val="21"/>
                      <w:szCs w:val="21"/>
                    </w:rPr>
                  </w:pPr>
                  <w:r>
                    <w:rPr>
                      <w:rFonts w:hint="eastAsia" w:eastAsia="宋体"/>
                      <w:sz w:val="21"/>
                      <w:szCs w:val="21"/>
                    </w:rPr>
                    <w:t>建设1</w:t>
                  </w:r>
                  <w:r>
                    <w:rPr>
                      <w:rFonts w:eastAsia="宋体"/>
                      <w:sz w:val="21"/>
                      <w:szCs w:val="21"/>
                    </w:rPr>
                    <w:t>00</w:t>
                  </w:r>
                  <w:r>
                    <w:rPr>
                      <w:rFonts w:hint="eastAsia" w:eastAsia="宋体"/>
                      <w:sz w:val="21"/>
                      <w:szCs w:val="21"/>
                    </w:rPr>
                    <w:t>万吨/年甲醇制烯烃装置、3</w:t>
                  </w:r>
                  <w:r>
                    <w:rPr>
                      <w:rFonts w:eastAsia="宋体"/>
                      <w:sz w:val="21"/>
                      <w:szCs w:val="21"/>
                    </w:rPr>
                    <w:t>0</w:t>
                  </w:r>
                  <w:r>
                    <w:rPr>
                      <w:rFonts w:hint="eastAsia" w:eastAsia="宋体"/>
                      <w:sz w:val="21"/>
                      <w:szCs w:val="21"/>
                    </w:rPr>
                    <w:t>万吨/年醋酸乙烯装置、2×</w:t>
                  </w:r>
                  <w:r>
                    <w:rPr>
                      <w:rFonts w:eastAsia="宋体"/>
                      <w:sz w:val="21"/>
                      <w:szCs w:val="21"/>
                    </w:rPr>
                    <w:t>20</w:t>
                  </w:r>
                  <w:r>
                    <w:rPr>
                      <w:rFonts w:hint="eastAsia" w:eastAsia="宋体"/>
                      <w:sz w:val="21"/>
                      <w:szCs w:val="21"/>
                    </w:rPr>
                    <w:t>万吨/年釜+管式尾法EVA装置</w:t>
                  </w:r>
                </w:p>
              </w:tc>
              <w:tc>
                <w:tcPr>
                  <w:tcW w:w="558" w:type="pct"/>
                  <w:noWrap w:val="0"/>
                  <w:vAlign w:val="center"/>
                </w:tcPr>
                <w:p w14:paraId="5CB644F4">
                  <w:pPr>
                    <w:jc w:val="center"/>
                    <w:rPr>
                      <w:rFonts w:hint="eastAsia" w:eastAsia="宋体"/>
                      <w:sz w:val="21"/>
                      <w:szCs w:val="21"/>
                    </w:rPr>
                  </w:pPr>
                  <w:r>
                    <w:rPr>
                      <w:rFonts w:hint="eastAsia" w:eastAsia="宋体"/>
                      <w:sz w:val="21"/>
                      <w:szCs w:val="21"/>
                    </w:rPr>
                    <w:t>/</w:t>
                  </w:r>
                </w:p>
              </w:tc>
              <w:tc>
                <w:tcPr>
                  <w:tcW w:w="1101" w:type="pct"/>
                  <w:noWrap w:val="0"/>
                  <w:vAlign w:val="center"/>
                </w:tcPr>
                <w:p w14:paraId="0D964F39">
                  <w:pPr>
                    <w:jc w:val="center"/>
                    <w:rPr>
                      <w:rFonts w:hint="eastAsia" w:eastAsia="宋体"/>
                      <w:sz w:val="21"/>
                      <w:szCs w:val="21"/>
                    </w:rPr>
                  </w:pPr>
                  <w:r>
                    <w:rPr>
                      <w:rFonts w:hint="eastAsia" w:eastAsia="宋体"/>
                      <w:sz w:val="21"/>
                      <w:szCs w:val="21"/>
                    </w:rPr>
                    <w:t>/</w:t>
                  </w:r>
                </w:p>
              </w:tc>
              <w:tc>
                <w:tcPr>
                  <w:tcW w:w="642" w:type="pct"/>
                  <w:noWrap w:val="0"/>
                  <w:vAlign w:val="center"/>
                </w:tcPr>
                <w:p w14:paraId="40A99A87">
                  <w:pPr>
                    <w:jc w:val="center"/>
                    <w:rPr>
                      <w:rFonts w:eastAsia="宋体"/>
                      <w:sz w:val="21"/>
                      <w:szCs w:val="21"/>
                    </w:rPr>
                  </w:pPr>
                  <w:r>
                    <w:rPr>
                      <w:rFonts w:hint="eastAsia" w:eastAsia="宋体"/>
                      <w:sz w:val="21"/>
                      <w:szCs w:val="21"/>
                    </w:rPr>
                    <w:t>在建</w:t>
                  </w:r>
                </w:p>
              </w:tc>
            </w:tr>
            <w:tr w14:paraId="10C3C9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26C8A99D">
                  <w:pPr>
                    <w:jc w:val="center"/>
                    <w:rPr>
                      <w:rFonts w:hint="eastAsia" w:eastAsia="宋体"/>
                      <w:sz w:val="21"/>
                      <w:szCs w:val="21"/>
                    </w:rPr>
                  </w:pPr>
                  <w:bookmarkStart w:id="13" w:name="_Hlk153460447"/>
                  <w:r>
                    <w:rPr>
                      <w:rFonts w:hint="eastAsia" w:eastAsia="宋体"/>
                      <w:sz w:val="21"/>
                      <w:szCs w:val="21"/>
                    </w:rPr>
                    <w:t>广西华谊能源化工有限公司DMC回收项目</w:t>
                  </w:r>
                  <w:bookmarkEnd w:id="13"/>
                </w:p>
              </w:tc>
              <w:tc>
                <w:tcPr>
                  <w:tcW w:w="762" w:type="pct"/>
                  <w:tcBorders>
                    <w:top w:val="single" w:color="auto" w:sz="4" w:space="0"/>
                    <w:bottom w:val="single" w:color="auto" w:sz="4" w:space="0"/>
                  </w:tcBorders>
                  <w:noWrap w:val="0"/>
                  <w:vAlign w:val="center"/>
                </w:tcPr>
                <w:p w14:paraId="05E8E051">
                  <w:pPr>
                    <w:jc w:val="center"/>
                    <w:rPr>
                      <w:rFonts w:eastAsia="宋体"/>
                      <w:sz w:val="21"/>
                      <w:szCs w:val="21"/>
                    </w:rPr>
                  </w:pPr>
                  <w:r>
                    <w:rPr>
                      <w:rFonts w:hint="eastAsia" w:eastAsia="宋体"/>
                      <w:sz w:val="21"/>
                      <w:szCs w:val="21"/>
                    </w:rPr>
                    <w:t>自贸钦审批</w:t>
                  </w:r>
                </w:p>
                <w:p w14:paraId="6F89B63A">
                  <w:pPr>
                    <w:jc w:val="center"/>
                    <w:rPr>
                      <w:rFonts w:hint="eastAsia" w:eastAsia="宋体"/>
                      <w:sz w:val="21"/>
                      <w:szCs w:val="21"/>
                    </w:rPr>
                  </w:pPr>
                  <w:r>
                    <w:rPr>
                      <w:rFonts w:hint="eastAsia" w:eastAsia="宋体"/>
                      <w:sz w:val="21"/>
                      <w:szCs w:val="21"/>
                    </w:rPr>
                    <w:t>环〔202</w:t>
                  </w:r>
                  <w:r>
                    <w:rPr>
                      <w:rFonts w:eastAsia="宋体"/>
                      <w:sz w:val="21"/>
                      <w:szCs w:val="21"/>
                    </w:rPr>
                    <w:t>3</w:t>
                  </w:r>
                  <w:r>
                    <w:rPr>
                      <w:rFonts w:hint="eastAsia" w:eastAsia="宋体"/>
                      <w:sz w:val="21"/>
                      <w:szCs w:val="21"/>
                    </w:rPr>
                    <w:t>〕</w:t>
                  </w:r>
                  <w:r>
                    <w:rPr>
                      <w:rFonts w:eastAsia="宋体"/>
                      <w:sz w:val="21"/>
                      <w:szCs w:val="21"/>
                    </w:rPr>
                    <w:t>50</w:t>
                  </w:r>
                  <w:r>
                    <w:rPr>
                      <w:rFonts w:hint="eastAsia" w:eastAsia="宋体"/>
                      <w:sz w:val="21"/>
                      <w:szCs w:val="21"/>
                    </w:rPr>
                    <w:t>号</w:t>
                  </w:r>
                </w:p>
              </w:tc>
              <w:tc>
                <w:tcPr>
                  <w:tcW w:w="1169" w:type="pct"/>
                  <w:tcBorders>
                    <w:top w:val="single" w:color="auto" w:sz="4" w:space="0"/>
                    <w:bottom w:val="single" w:color="auto" w:sz="4" w:space="0"/>
                  </w:tcBorders>
                  <w:noWrap w:val="0"/>
                  <w:vAlign w:val="center"/>
                </w:tcPr>
                <w:p w14:paraId="7D085B14">
                  <w:pPr>
                    <w:jc w:val="center"/>
                    <w:rPr>
                      <w:rFonts w:hint="eastAsia" w:eastAsia="宋体"/>
                      <w:sz w:val="21"/>
                      <w:szCs w:val="21"/>
                    </w:rPr>
                  </w:pPr>
                  <w:r>
                    <w:rPr>
                      <w:rFonts w:hint="eastAsia" w:eastAsia="宋体"/>
                      <w:sz w:val="21"/>
                      <w:szCs w:val="21"/>
                    </w:rPr>
                    <w:t>在乙二醇生产装置新增一套副产DMC回收精制单元，主要设备包括4个精馏塔、30台泵、13个设备缓冲罐、19台换热器</w:t>
                  </w:r>
                </w:p>
              </w:tc>
              <w:tc>
                <w:tcPr>
                  <w:tcW w:w="558" w:type="pct"/>
                  <w:noWrap w:val="0"/>
                  <w:vAlign w:val="center"/>
                </w:tcPr>
                <w:p w14:paraId="6CC24AE8">
                  <w:pPr>
                    <w:jc w:val="center"/>
                    <w:rPr>
                      <w:rFonts w:hint="eastAsia" w:eastAsia="宋体"/>
                      <w:sz w:val="21"/>
                      <w:szCs w:val="21"/>
                    </w:rPr>
                  </w:pPr>
                  <w:r>
                    <w:rPr>
                      <w:rFonts w:hint="eastAsia" w:eastAsia="宋体"/>
                      <w:sz w:val="21"/>
                      <w:szCs w:val="21"/>
                    </w:rPr>
                    <w:t>2025年1月自主验收</w:t>
                  </w:r>
                </w:p>
              </w:tc>
              <w:tc>
                <w:tcPr>
                  <w:tcW w:w="1101" w:type="pct"/>
                  <w:noWrap w:val="0"/>
                  <w:vAlign w:val="center"/>
                </w:tcPr>
                <w:p w14:paraId="297A5311">
                  <w:pPr>
                    <w:jc w:val="center"/>
                    <w:rPr>
                      <w:rFonts w:hint="eastAsia" w:eastAsia="宋体"/>
                      <w:sz w:val="21"/>
                      <w:szCs w:val="21"/>
                    </w:rPr>
                  </w:pPr>
                  <w:r>
                    <w:rPr>
                      <w:rFonts w:hint="eastAsia" w:eastAsia="宋体"/>
                      <w:sz w:val="21"/>
                      <w:szCs w:val="21"/>
                    </w:rPr>
                    <w:t>在乙二醇装置新增一套副产DMC 回收精制单元，主要设备包括4个精馏塔、30台泵，13个设备缓冲罐、19台换热器</w:t>
                  </w:r>
                </w:p>
              </w:tc>
              <w:tc>
                <w:tcPr>
                  <w:tcW w:w="642" w:type="pct"/>
                  <w:noWrap w:val="0"/>
                  <w:vAlign w:val="center"/>
                </w:tcPr>
                <w:p w14:paraId="3215C366">
                  <w:pPr>
                    <w:jc w:val="center"/>
                    <w:rPr>
                      <w:rFonts w:hint="eastAsia" w:eastAsia="宋体"/>
                      <w:sz w:val="21"/>
                      <w:szCs w:val="21"/>
                    </w:rPr>
                  </w:pPr>
                  <w:r>
                    <w:rPr>
                      <w:rFonts w:hint="eastAsia" w:eastAsia="宋体"/>
                      <w:sz w:val="21"/>
                      <w:szCs w:val="21"/>
                    </w:rPr>
                    <w:t>在建</w:t>
                  </w:r>
                </w:p>
              </w:tc>
            </w:tr>
            <w:tr w14:paraId="6B7813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50A1BB39">
                  <w:pPr>
                    <w:jc w:val="center"/>
                    <w:rPr>
                      <w:rFonts w:hint="eastAsia" w:eastAsia="宋体"/>
                      <w:sz w:val="21"/>
                      <w:szCs w:val="21"/>
                    </w:rPr>
                  </w:pPr>
                  <w:r>
                    <w:rPr>
                      <w:rFonts w:hint="eastAsia" w:eastAsia="宋体"/>
                      <w:sz w:val="21"/>
                      <w:szCs w:val="21"/>
                    </w:rPr>
                    <w:t>广西华谊能源化工有限公司HOPENE项目</w:t>
                  </w:r>
                </w:p>
              </w:tc>
              <w:tc>
                <w:tcPr>
                  <w:tcW w:w="762" w:type="pct"/>
                  <w:tcBorders>
                    <w:top w:val="single" w:color="auto" w:sz="4" w:space="0"/>
                    <w:bottom w:val="single" w:color="auto" w:sz="4" w:space="0"/>
                  </w:tcBorders>
                  <w:noWrap w:val="0"/>
                  <w:vAlign w:val="center"/>
                </w:tcPr>
                <w:p w14:paraId="26F38DAB">
                  <w:pPr>
                    <w:jc w:val="center"/>
                    <w:rPr>
                      <w:rFonts w:eastAsia="宋体"/>
                      <w:sz w:val="21"/>
                      <w:szCs w:val="21"/>
                    </w:rPr>
                  </w:pPr>
                  <w:r>
                    <w:rPr>
                      <w:rFonts w:hint="eastAsia" w:eastAsia="宋体"/>
                      <w:sz w:val="21"/>
                      <w:szCs w:val="21"/>
                    </w:rPr>
                    <w:t>自贸钦审批</w:t>
                  </w:r>
                </w:p>
                <w:p w14:paraId="72A308AD">
                  <w:pPr>
                    <w:jc w:val="center"/>
                    <w:rPr>
                      <w:rFonts w:hint="eastAsia" w:eastAsia="宋体"/>
                      <w:sz w:val="21"/>
                      <w:szCs w:val="21"/>
                    </w:rPr>
                  </w:pPr>
                  <w:r>
                    <w:rPr>
                      <w:rFonts w:hint="eastAsia" w:eastAsia="宋体"/>
                      <w:sz w:val="21"/>
                      <w:szCs w:val="21"/>
                    </w:rPr>
                    <w:t>环〔2024〕15号</w:t>
                  </w:r>
                </w:p>
              </w:tc>
              <w:tc>
                <w:tcPr>
                  <w:tcW w:w="1169" w:type="pct"/>
                  <w:tcBorders>
                    <w:top w:val="single" w:color="auto" w:sz="4" w:space="0"/>
                    <w:bottom w:val="single" w:color="auto" w:sz="4" w:space="0"/>
                  </w:tcBorders>
                  <w:noWrap w:val="0"/>
                  <w:vAlign w:val="center"/>
                </w:tcPr>
                <w:p w14:paraId="69FFA4B5">
                  <w:pPr>
                    <w:jc w:val="center"/>
                    <w:rPr>
                      <w:rFonts w:hint="eastAsia" w:eastAsia="宋体"/>
                      <w:sz w:val="21"/>
                      <w:szCs w:val="21"/>
                    </w:rPr>
                  </w:pPr>
                  <w:r>
                    <w:rPr>
                      <w:rFonts w:hint="eastAsia" w:eastAsia="宋体"/>
                      <w:sz w:val="21"/>
                      <w:szCs w:val="21"/>
                    </w:rPr>
                    <w:t>1套1000 吨/年聚烯烃中试装置，包括原料净精制单元、催化剂配置单元、反应单元、分离回收单元、挤出造粒单元、产品存储包装单元等</w:t>
                  </w:r>
                </w:p>
              </w:tc>
              <w:tc>
                <w:tcPr>
                  <w:tcW w:w="558" w:type="pct"/>
                  <w:noWrap w:val="0"/>
                  <w:vAlign w:val="center"/>
                </w:tcPr>
                <w:p w14:paraId="4F02B2AB">
                  <w:pPr>
                    <w:jc w:val="center"/>
                    <w:rPr>
                      <w:rFonts w:hint="eastAsia" w:eastAsia="宋体"/>
                      <w:sz w:val="21"/>
                      <w:szCs w:val="21"/>
                    </w:rPr>
                  </w:pPr>
                  <w:r>
                    <w:rPr>
                      <w:rFonts w:hint="eastAsia" w:eastAsia="宋体"/>
                      <w:sz w:val="21"/>
                      <w:szCs w:val="21"/>
                    </w:rPr>
                    <w:t>/</w:t>
                  </w:r>
                </w:p>
              </w:tc>
              <w:tc>
                <w:tcPr>
                  <w:tcW w:w="1101" w:type="pct"/>
                  <w:noWrap w:val="0"/>
                  <w:vAlign w:val="center"/>
                </w:tcPr>
                <w:p w14:paraId="36C8F14D">
                  <w:pPr>
                    <w:jc w:val="center"/>
                    <w:rPr>
                      <w:rFonts w:hint="eastAsia" w:eastAsia="宋体"/>
                      <w:sz w:val="21"/>
                      <w:szCs w:val="21"/>
                    </w:rPr>
                  </w:pPr>
                  <w:r>
                    <w:rPr>
                      <w:rFonts w:hint="eastAsia" w:eastAsia="宋体"/>
                      <w:sz w:val="21"/>
                      <w:szCs w:val="21"/>
                    </w:rPr>
                    <w:t>/</w:t>
                  </w:r>
                </w:p>
              </w:tc>
              <w:tc>
                <w:tcPr>
                  <w:tcW w:w="642" w:type="pct"/>
                  <w:noWrap w:val="0"/>
                  <w:vAlign w:val="center"/>
                </w:tcPr>
                <w:p w14:paraId="06CFAA21">
                  <w:pPr>
                    <w:jc w:val="center"/>
                    <w:rPr>
                      <w:rFonts w:hint="eastAsia" w:eastAsia="宋体"/>
                      <w:sz w:val="21"/>
                      <w:szCs w:val="21"/>
                    </w:rPr>
                  </w:pPr>
                  <w:r>
                    <w:rPr>
                      <w:rFonts w:hint="eastAsia" w:eastAsia="宋体"/>
                      <w:sz w:val="21"/>
                      <w:szCs w:val="21"/>
                    </w:rPr>
                    <w:t>在建</w:t>
                  </w:r>
                </w:p>
              </w:tc>
            </w:tr>
            <w:tr w14:paraId="2E7569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164CCA2E">
                  <w:pPr>
                    <w:jc w:val="center"/>
                    <w:rPr>
                      <w:rFonts w:hint="eastAsia" w:eastAsia="宋体"/>
                      <w:sz w:val="21"/>
                      <w:szCs w:val="21"/>
                    </w:rPr>
                  </w:pPr>
                  <w:r>
                    <w:rPr>
                      <w:rFonts w:hint="eastAsia" w:eastAsia="宋体"/>
                      <w:sz w:val="21"/>
                      <w:szCs w:val="21"/>
                    </w:rPr>
                    <w:t>华谊钦州创新中心科技研发楼项目</w:t>
                  </w:r>
                </w:p>
              </w:tc>
              <w:tc>
                <w:tcPr>
                  <w:tcW w:w="762" w:type="pct"/>
                  <w:tcBorders>
                    <w:top w:val="single" w:color="auto" w:sz="4" w:space="0"/>
                    <w:bottom w:val="single" w:color="auto" w:sz="4" w:space="0"/>
                  </w:tcBorders>
                  <w:noWrap w:val="0"/>
                  <w:vAlign w:val="center"/>
                </w:tcPr>
                <w:p w14:paraId="52F8FA6E">
                  <w:pPr>
                    <w:jc w:val="center"/>
                    <w:rPr>
                      <w:rFonts w:hint="eastAsia" w:eastAsia="宋体"/>
                      <w:sz w:val="21"/>
                      <w:szCs w:val="21"/>
                    </w:rPr>
                  </w:pPr>
                  <w:r>
                    <w:rPr>
                      <w:rFonts w:hint="eastAsia" w:eastAsia="宋体"/>
                      <w:sz w:val="21"/>
                      <w:szCs w:val="21"/>
                    </w:rPr>
                    <w:t>自贸钦审批环〔2024〕46号</w:t>
                  </w:r>
                </w:p>
              </w:tc>
              <w:tc>
                <w:tcPr>
                  <w:tcW w:w="1169" w:type="pct"/>
                  <w:tcBorders>
                    <w:top w:val="single" w:color="auto" w:sz="4" w:space="0"/>
                    <w:bottom w:val="single" w:color="auto" w:sz="4" w:space="0"/>
                  </w:tcBorders>
                  <w:noWrap w:val="0"/>
                  <w:vAlign w:val="center"/>
                </w:tcPr>
                <w:p w14:paraId="1ECE8DBF">
                  <w:pPr>
                    <w:jc w:val="center"/>
                    <w:rPr>
                      <w:rFonts w:hint="eastAsia" w:eastAsia="宋体"/>
                      <w:sz w:val="21"/>
                      <w:szCs w:val="21"/>
                    </w:rPr>
                  </w:pPr>
                  <w:r>
                    <w:rPr>
                      <w:rFonts w:hint="eastAsia" w:eastAsia="宋体"/>
                      <w:sz w:val="21"/>
                      <w:szCs w:val="21"/>
                    </w:rPr>
                    <w:t>新建3栋建筑单体，分别为1幢三层科技楼、1幢三层研发楼、1幢一层门卫室以及辅助设施（管廊、边界围栏等），项目建成后主要进行材料成型加工实验、模拟实验、小试合成实验，不进行生产、中试及以上规模的研发，不涉及P3、P4生物安全实验和转基因实验</w:t>
                  </w:r>
                </w:p>
              </w:tc>
              <w:tc>
                <w:tcPr>
                  <w:tcW w:w="558" w:type="pct"/>
                  <w:noWrap w:val="0"/>
                  <w:vAlign w:val="center"/>
                </w:tcPr>
                <w:p w14:paraId="6CEB5FBF">
                  <w:pPr>
                    <w:jc w:val="center"/>
                    <w:rPr>
                      <w:rFonts w:hint="eastAsia" w:eastAsia="宋体"/>
                      <w:sz w:val="21"/>
                      <w:szCs w:val="21"/>
                      <w:lang w:val="en-US" w:eastAsia="zh-CN"/>
                    </w:rPr>
                  </w:pPr>
                  <w:r>
                    <w:rPr>
                      <w:rFonts w:hint="eastAsia"/>
                      <w:sz w:val="21"/>
                      <w:szCs w:val="21"/>
                      <w:lang w:val="en-US" w:eastAsia="zh-CN"/>
                    </w:rPr>
                    <w:t>/</w:t>
                  </w:r>
                </w:p>
              </w:tc>
              <w:tc>
                <w:tcPr>
                  <w:tcW w:w="1101" w:type="pct"/>
                  <w:noWrap w:val="0"/>
                  <w:vAlign w:val="center"/>
                </w:tcPr>
                <w:p w14:paraId="38BE7CED">
                  <w:pPr>
                    <w:jc w:val="center"/>
                    <w:rPr>
                      <w:rFonts w:hint="eastAsia" w:eastAsia="宋体"/>
                      <w:sz w:val="21"/>
                      <w:szCs w:val="21"/>
                      <w:lang w:val="en-US" w:eastAsia="zh-CN"/>
                    </w:rPr>
                  </w:pPr>
                  <w:r>
                    <w:rPr>
                      <w:rFonts w:hint="eastAsia"/>
                      <w:sz w:val="21"/>
                      <w:szCs w:val="21"/>
                      <w:lang w:val="en-US" w:eastAsia="zh-CN"/>
                    </w:rPr>
                    <w:t>/</w:t>
                  </w:r>
                </w:p>
              </w:tc>
              <w:tc>
                <w:tcPr>
                  <w:tcW w:w="642" w:type="pct"/>
                  <w:noWrap w:val="0"/>
                  <w:vAlign w:val="center"/>
                </w:tcPr>
                <w:p w14:paraId="55DB6667">
                  <w:pPr>
                    <w:jc w:val="center"/>
                    <w:rPr>
                      <w:rFonts w:hint="default" w:eastAsia="宋体"/>
                      <w:sz w:val="21"/>
                      <w:szCs w:val="21"/>
                      <w:lang w:val="en-US" w:eastAsia="zh-CN"/>
                    </w:rPr>
                  </w:pPr>
                  <w:r>
                    <w:rPr>
                      <w:rFonts w:hint="eastAsia"/>
                      <w:sz w:val="21"/>
                      <w:szCs w:val="21"/>
                      <w:lang w:val="en-US" w:eastAsia="zh-CN"/>
                    </w:rPr>
                    <w:t>在建</w:t>
                  </w:r>
                </w:p>
              </w:tc>
            </w:tr>
            <w:tr w14:paraId="03CA80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77C5977C">
                  <w:pPr>
                    <w:jc w:val="center"/>
                    <w:rPr>
                      <w:rFonts w:hint="eastAsia" w:eastAsia="宋体"/>
                      <w:sz w:val="21"/>
                      <w:szCs w:val="21"/>
                    </w:rPr>
                  </w:pPr>
                  <w:r>
                    <w:rPr>
                      <w:rFonts w:hint="eastAsia" w:eastAsia="宋体"/>
                      <w:sz w:val="21"/>
                      <w:szCs w:val="21"/>
                    </w:rPr>
                    <w:t>广西华谊能源化工有限公司气化细渣脱水干化扩产项目</w:t>
                  </w:r>
                </w:p>
              </w:tc>
              <w:tc>
                <w:tcPr>
                  <w:tcW w:w="762" w:type="pct"/>
                  <w:tcBorders>
                    <w:top w:val="single" w:color="auto" w:sz="4" w:space="0"/>
                    <w:bottom w:val="single" w:color="auto" w:sz="4" w:space="0"/>
                  </w:tcBorders>
                  <w:noWrap w:val="0"/>
                  <w:vAlign w:val="center"/>
                </w:tcPr>
                <w:p w14:paraId="1B0B0FBA">
                  <w:pPr>
                    <w:jc w:val="center"/>
                    <w:rPr>
                      <w:rFonts w:eastAsia="宋体"/>
                      <w:sz w:val="21"/>
                      <w:szCs w:val="21"/>
                    </w:rPr>
                  </w:pPr>
                  <w:r>
                    <w:rPr>
                      <w:rFonts w:hint="eastAsia" w:eastAsia="宋体"/>
                      <w:sz w:val="21"/>
                      <w:szCs w:val="21"/>
                    </w:rPr>
                    <w:t>自贸钦审批</w:t>
                  </w:r>
                </w:p>
                <w:p w14:paraId="3FDE536C">
                  <w:pPr>
                    <w:jc w:val="center"/>
                    <w:rPr>
                      <w:rFonts w:hint="eastAsia" w:eastAsia="宋体"/>
                      <w:sz w:val="21"/>
                      <w:szCs w:val="21"/>
                    </w:rPr>
                  </w:pPr>
                  <w:r>
                    <w:rPr>
                      <w:rFonts w:hint="eastAsia" w:eastAsia="宋体"/>
                      <w:sz w:val="21"/>
                      <w:szCs w:val="21"/>
                    </w:rPr>
                    <w:t>环〔2024〕22号</w:t>
                  </w:r>
                </w:p>
              </w:tc>
              <w:tc>
                <w:tcPr>
                  <w:tcW w:w="1169" w:type="pct"/>
                  <w:tcBorders>
                    <w:top w:val="single" w:color="auto" w:sz="4" w:space="0"/>
                    <w:bottom w:val="single" w:color="auto" w:sz="4" w:space="0"/>
                  </w:tcBorders>
                  <w:noWrap w:val="0"/>
                  <w:vAlign w:val="center"/>
                </w:tcPr>
                <w:p w14:paraId="36C6053E">
                  <w:pPr>
                    <w:jc w:val="center"/>
                    <w:rPr>
                      <w:rFonts w:hint="eastAsia" w:eastAsia="宋体"/>
                      <w:sz w:val="21"/>
                      <w:szCs w:val="21"/>
                    </w:rPr>
                  </w:pPr>
                  <w:r>
                    <w:rPr>
                      <w:rFonts w:hint="eastAsia" w:eastAsia="宋体"/>
                      <w:sz w:val="21"/>
                      <w:szCs w:val="21"/>
                    </w:rPr>
                    <w:t>项目建设四台单台处理细渣能力为4.05t/h(干基）的全自动隔膜压滤机，包括进料系统、压滤系统和装车系统，同时配套相应的公辅工程</w:t>
                  </w:r>
                </w:p>
              </w:tc>
              <w:tc>
                <w:tcPr>
                  <w:tcW w:w="558" w:type="pct"/>
                  <w:noWrap w:val="0"/>
                  <w:vAlign w:val="center"/>
                </w:tcPr>
                <w:p w14:paraId="6622017C">
                  <w:pPr>
                    <w:jc w:val="center"/>
                    <w:rPr>
                      <w:rFonts w:hint="eastAsia" w:eastAsia="宋体"/>
                      <w:sz w:val="21"/>
                      <w:szCs w:val="21"/>
                    </w:rPr>
                  </w:pPr>
                  <w:r>
                    <w:rPr>
                      <w:rFonts w:hint="eastAsia" w:eastAsia="宋体"/>
                      <w:sz w:val="21"/>
                      <w:szCs w:val="21"/>
                    </w:rPr>
                    <w:t>2024年10月自主验收</w:t>
                  </w:r>
                </w:p>
              </w:tc>
              <w:tc>
                <w:tcPr>
                  <w:tcW w:w="1101" w:type="pct"/>
                  <w:noWrap w:val="0"/>
                  <w:vAlign w:val="center"/>
                </w:tcPr>
                <w:p w14:paraId="6058C966">
                  <w:pPr>
                    <w:jc w:val="center"/>
                    <w:rPr>
                      <w:rFonts w:hint="eastAsia" w:eastAsia="宋体"/>
                      <w:sz w:val="21"/>
                      <w:szCs w:val="21"/>
                    </w:rPr>
                  </w:pPr>
                  <w:r>
                    <w:rPr>
                      <w:rFonts w:hint="eastAsia" w:eastAsia="宋体"/>
                      <w:sz w:val="21"/>
                      <w:szCs w:val="21"/>
                    </w:rPr>
                    <w:t>依托原有</w:t>
                  </w:r>
                  <w:r>
                    <w:rPr>
                      <w:rFonts w:eastAsia="宋体"/>
                      <w:sz w:val="21"/>
                      <w:szCs w:val="21"/>
                    </w:rPr>
                    <w:t>15</w:t>
                  </w:r>
                  <w:r>
                    <w:rPr>
                      <w:rFonts w:hint="eastAsia" w:eastAsia="宋体"/>
                      <w:sz w:val="21"/>
                      <w:szCs w:val="21"/>
                    </w:rPr>
                    <w:t>台卧螺离心 机和</w:t>
                  </w:r>
                  <w:r>
                    <w:rPr>
                      <w:rFonts w:eastAsia="宋体"/>
                      <w:sz w:val="21"/>
                      <w:szCs w:val="21"/>
                    </w:rPr>
                    <w:t>8</w:t>
                  </w:r>
                  <w:r>
                    <w:rPr>
                      <w:rFonts w:hint="eastAsia" w:eastAsia="宋体"/>
                      <w:sz w:val="21"/>
                      <w:szCs w:val="21"/>
                    </w:rPr>
                    <w:t>台圆盘干燥机，新建</w:t>
                  </w:r>
                  <w:r>
                    <w:rPr>
                      <w:rFonts w:eastAsia="宋体"/>
                      <w:sz w:val="21"/>
                      <w:szCs w:val="21"/>
                    </w:rPr>
                    <w:t>4</w:t>
                  </w:r>
                  <w:r>
                    <w:rPr>
                      <w:rFonts w:hint="eastAsia" w:eastAsia="宋体"/>
                      <w:sz w:val="21"/>
                      <w:szCs w:val="21"/>
                    </w:rPr>
                    <w:t>台隔膜压滤机，同时配套相应的公辅工程</w:t>
                  </w:r>
                </w:p>
              </w:tc>
              <w:tc>
                <w:tcPr>
                  <w:tcW w:w="642" w:type="pct"/>
                  <w:noWrap w:val="0"/>
                  <w:vAlign w:val="center"/>
                </w:tcPr>
                <w:p w14:paraId="559F03D1">
                  <w:pPr>
                    <w:jc w:val="center"/>
                    <w:rPr>
                      <w:rFonts w:hint="eastAsia" w:eastAsia="宋体"/>
                      <w:sz w:val="21"/>
                      <w:szCs w:val="21"/>
                    </w:rPr>
                  </w:pPr>
                  <w:r>
                    <w:rPr>
                      <w:rFonts w:hint="eastAsia" w:eastAsia="宋体"/>
                      <w:sz w:val="21"/>
                      <w:szCs w:val="21"/>
                    </w:rPr>
                    <w:t>/</w:t>
                  </w:r>
                </w:p>
              </w:tc>
            </w:tr>
            <w:tr w14:paraId="1D23A8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39DCDB9E">
                  <w:pPr>
                    <w:jc w:val="center"/>
                    <w:rPr>
                      <w:rFonts w:hint="eastAsia" w:eastAsia="宋体"/>
                      <w:sz w:val="21"/>
                      <w:szCs w:val="21"/>
                    </w:rPr>
                  </w:pPr>
                  <w:r>
                    <w:rPr>
                      <w:rFonts w:hint="eastAsia" w:eastAsia="宋体"/>
                      <w:sz w:val="21"/>
                      <w:szCs w:val="21"/>
                    </w:rPr>
                    <w:t>广西华谊能源化工有限公司环境影响后评价</w:t>
                  </w:r>
                </w:p>
              </w:tc>
              <w:tc>
                <w:tcPr>
                  <w:tcW w:w="762" w:type="pct"/>
                  <w:tcBorders>
                    <w:top w:val="single" w:color="auto" w:sz="4" w:space="0"/>
                    <w:bottom w:val="single" w:color="auto" w:sz="4" w:space="0"/>
                  </w:tcBorders>
                  <w:noWrap w:val="0"/>
                  <w:vAlign w:val="center"/>
                </w:tcPr>
                <w:p w14:paraId="65AB89CD">
                  <w:pPr>
                    <w:jc w:val="center"/>
                    <w:rPr>
                      <w:rFonts w:hint="eastAsia" w:eastAsia="宋体"/>
                      <w:sz w:val="21"/>
                      <w:szCs w:val="21"/>
                    </w:rPr>
                  </w:pPr>
                  <w:r>
                    <w:rPr>
                      <w:rFonts w:hint="eastAsia" w:eastAsia="宋体"/>
                      <w:sz w:val="21"/>
                      <w:szCs w:val="21"/>
                    </w:rPr>
                    <w:t>/</w:t>
                  </w:r>
                </w:p>
              </w:tc>
              <w:tc>
                <w:tcPr>
                  <w:tcW w:w="1169" w:type="pct"/>
                  <w:tcBorders>
                    <w:top w:val="single" w:color="auto" w:sz="4" w:space="0"/>
                    <w:bottom w:val="single" w:color="auto" w:sz="4" w:space="0"/>
                  </w:tcBorders>
                  <w:noWrap w:val="0"/>
                  <w:vAlign w:val="center"/>
                </w:tcPr>
                <w:p w14:paraId="49DC5D75">
                  <w:pPr>
                    <w:jc w:val="center"/>
                    <w:rPr>
                      <w:rFonts w:hint="eastAsia" w:eastAsia="宋体"/>
                      <w:sz w:val="21"/>
                      <w:szCs w:val="21"/>
                    </w:rPr>
                  </w:pPr>
                  <w:r>
                    <w:rPr>
                      <w:rFonts w:hint="eastAsia" w:eastAsia="宋体"/>
                      <w:sz w:val="21"/>
                      <w:szCs w:val="21"/>
                    </w:rPr>
                    <w:t>项目在建设过程以及实际运行中发生过部分变化和调整，项目副产混合醇、副产60醋酸等与设计方案的副产甲醇、杂醇等有所区别</w:t>
                  </w:r>
                </w:p>
              </w:tc>
              <w:tc>
                <w:tcPr>
                  <w:tcW w:w="558" w:type="pct"/>
                  <w:noWrap w:val="0"/>
                  <w:vAlign w:val="center"/>
                </w:tcPr>
                <w:p w14:paraId="7D0D051F">
                  <w:pPr>
                    <w:jc w:val="center"/>
                    <w:rPr>
                      <w:rFonts w:hint="eastAsia" w:eastAsia="宋体"/>
                      <w:sz w:val="21"/>
                      <w:szCs w:val="21"/>
                    </w:rPr>
                  </w:pPr>
                  <w:r>
                    <w:rPr>
                      <w:rFonts w:hint="eastAsia" w:eastAsia="宋体"/>
                      <w:sz w:val="21"/>
                      <w:szCs w:val="21"/>
                    </w:rPr>
                    <w:t>/</w:t>
                  </w:r>
                </w:p>
              </w:tc>
              <w:tc>
                <w:tcPr>
                  <w:tcW w:w="1101" w:type="pct"/>
                  <w:noWrap w:val="0"/>
                  <w:vAlign w:val="center"/>
                </w:tcPr>
                <w:p w14:paraId="71B2FBC3">
                  <w:pPr>
                    <w:jc w:val="center"/>
                    <w:rPr>
                      <w:rFonts w:hint="eastAsia" w:eastAsia="宋体"/>
                      <w:sz w:val="21"/>
                      <w:szCs w:val="21"/>
                    </w:rPr>
                  </w:pPr>
                  <w:r>
                    <w:rPr>
                      <w:rFonts w:hint="eastAsia" w:eastAsia="宋体"/>
                      <w:sz w:val="21"/>
                      <w:szCs w:val="21"/>
                    </w:rPr>
                    <w:t>/</w:t>
                  </w:r>
                </w:p>
              </w:tc>
              <w:tc>
                <w:tcPr>
                  <w:tcW w:w="642" w:type="pct"/>
                  <w:noWrap w:val="0"/>
                  <w:vAlign w:val="center"/>
                </w:tcPr>
                <w:p w14:paraId="4CA9411A">
                  <w:pPr>
                    <w:jc w:val="center"/>
                    <w:rPr>
                      <w:rFonts w:hint="eastAsia" w:eastAsia="宋体"/>
                      <w:sz w:val="21"/>
                      <w:szCs w:val="21"/>
                    </w:rPr>
                  </w:pPr>
                  <w:r>
                    <w:rPr>
                      <w:rFonts w:hint="eastAsia" w:eastAsia="宋体"/>
                      <w:sz w:val="21"/>
                      <w:szCs w:val="21"/>
                    </w:rPr>
                    <w:t>后评价已备案</w:t>
                  </w:r>
                </w:p>
              </w:tc>
            </w:tr>
            <w:tr w14:paraId="4695D6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06A05559">
                  <w:pPr>
                    <w:jc w:val="center"/>
                    <w:rPr>
                      <w:rFonts w:hint="eastAsia" w:eastAsia="宋体"/>
                      <w:sz w:val="21"/>
                      <w:szCs w:val="21"/>
                    </w:rPr>
                  </w:pPr>
                  <w:r>
                    <w:rPr>
                      <w:rFonts w:hint="eastAsia" w:eastAsia="宋体"/>
                      <w:sz w:val="21"/>
                      <w:szCs w:val="21"/>
                    </w:rPr>
                    <w:t>广西华谊能源化工有限公司醋酸提产项目</w:t>
                  </w:r>
                </w:p>
              </w:tc>
              <w:tc>
                <w:tcPr>
                  <w:tcW w:w="762" w:type="pct"/>
                  <w:tcBorders>
                    <w:top w:val="single" w:color="auto" w:sz="4" w:space="0"/>
                    <w:bottom w:val="single" w:color="auto" w:sz="4" w:space="0"/>
                  </w:tcBorders>
                  <w:noWrap w:val="0"/>
                  <w:vAlign w:val="center"/>
                </w:tcPr>
                <w:p w14:paraId="76813D42">
                  <w:pPr>
                    <w:jc w:val="center"/>
                    <w:rPr>
                      <w:rFonts w:eastAsia="宋体"/>
                      <w:sz w:val="21"/>
                      <w:szCs w:val="21"/>
                    </w:rPr>
                  </w:pPr>
                  <w:r>
                    <w:rPr>
                      <w:rFonts w:eastAsia="宋体"/>
                      <w:sz w:val="21"/>
                      <w:szCs w:val="21"/>
                    </w:rPr>
                    <w:t>自贸钦审批</w:t>
                  </w:r>
                </w:p>
                <w:p w14:paraId="42372A4D">
                  <w:pPr>
                    <w:jc w:val="center"/>
                    <w:rPr>
                      <w:rFonts w:hint="eastAsia" w:eastAsia="宋体"/>
                      <w:sz w:val="21"/>
                      <w:szCs w:val="21"/>
                    </w:rPr>
                  </w:pPr>
                  <w:r>
                    <w:rPr>
                      <w:rFonts w:eastAsia="宋体"/>
                      <w:sz w:val="21"/>
                      <w:szCs w:val="21"/>
                    </w:rPr>
                    <w:t>环〔202</w:t>
                  </w:r>
                  <w:r>
                    <w:rPr>
                      <w:rFonts w:hint="eastAsia" w:eastAsia="宋体"/>
                      <w:sz w:val="21"/>
                      <w:szCs w:val="21"/>
                    </w:rPr>
                    <w:t>4</w:t>
                  </w:r>
                  <w:r>
                    <w:rPr>
                      <w:rFonts w:eastAsia="宋体"/>
                      <w:sz w:val="21"/>
                      <w:szCs w:val="21"/>
                    </w:rPr>
                    <w:t>〕</w:t>
                  </w:r>
                  <w:r>
                    <w:rPr>
                      <w:rFonts w:hint="eastAsia" w:eastAsia="宋体"/>
                      <w:sz w:val="21"/>
                      <w:szCs w:val="21"/>
                    </w:rPr>
                    <w:t>51</w:t>
                  </w:r>
                  <w:r>
                    <w:rPr>
                      <w:rFonts w:eastAsia="宋体"/>
                      <w:sz w:val="21"/>
                      <w:szCs w:val="21"/>
                    </w:rPr>
                    <w:t>号</w:t>
                  </w:r>
                </w:p>
              </w:tc>
              <w:tc>
                <w:tcPr>
                  <w:tcW w:w="1169" w:type="pct"/>
                  <w:tcBorders>
                    <w:top w:val="single" w:color="auto" w:sz="4" w:space="0"/>
                    <w:bottom w:val="single" w:color="auto" w:sz="4" w:space="0"/>
                  </w:tcBorders>
                  <w:noWrap w:val="0"/>
                  <w:vAlign w:val="center"/>
                </w:tcPr>
                <w:p w14:paraId="00B667EB">
                  <w:pPr>
                    <w:jc w:val="center"/>
                    <w:rPr>
                      <w:rFonts w:hint="eastAsia" w:eastAsia="宋体"/>
                      <w:sz w:val="21"/>
                      <w:szCs w:val="21"/>
                    </w:rPr>
                  </w:pPr>
                  <w:r>
                    <w:rPr>
                      <w:rFonts w:hint="eastAsia" w:eastAsia="宋体"/>
                      <w:sz w:val="21"/>
                      <w:szCs w:val="21"/>
                    </w:rPr>
                    <w:t>通过改造反应器顶部冷量返回管道调节阀、新增余热回收设备、新增</w:t>
                  </w:r>
                  <w:r>
                    <w:rPr>
                      <w:rFonts w:eastAsia="宋体"/>
                      <w:sz w:val="21"/>
                      <w:szCs w:val="21"/>
                    </w:rPr>
                    <w:t>醋酸低沸点物塔塔中出料泵</w:t>
                  </w:r>
                  <w:r>
                    <w:rPr>
                      <w:rFonts w:hint="eastAsia" w:eastAsia="宋体"/>
                      <w:sz w:val="21"/>
                      <w:szCs w:val="21"/>
                    </w:rPr>
                    <w:t>、更换2台醋酸水分离塔塔釜出料泵、改变反应器中参数和提高反应系统催化剂浓度等，将</w:t>
                  </w:r>
                  <w:r>
                    <w:rPr>
                      <w:rFonts w:eastAsia="宋体"/>
                      <w:sz w:val="21"/>
                      <w:szCs w:val="21"/>
                    </w:rPr>
                    <w:t>50万t/a</w:t>
                  </w:r>
                  <w:r>
                    <w:rPr>
                      <w:rFonts w:hint="eastAsia" w:eastAsia="宋体"/>
                      <w:sz w:val="21"/>
                      <w:szCs w:val="21"/>
                    </w:rPr>
                    <w:t>醋酸装置产能提升至7</w:t>
                  </w:r>
                  <w:r>
                    <w:rPr>
                      <w:rFonts w:eastAsia="宋体"/>
                      <w:sz w:val="21"/>
                      <w:szCs w:val="21"/>
                    </w:rPr>
                    <w:t>0万t/a</w:t>
                  </w:r>
                  <w:r>
                    <w:rPr>
                      <w:rFonts w:hint="eastAsia" w:eastAsia="宋体"/>
                      <w:sz w:val="21"/>
                      <w:szCs w:val="21"/>
                    </w:rPr>
                    <w:t>、70</w:t>
                  </w:r>
                  <w:r>
                    <w:rPr>
                      <w:rFonts w:eastAsia="宋体"/>
                      <w:sz w:val="21"/>
                      <w:szCs w:val="21"/>
                    </w:rPr>
                    <w:t>万t/a</w:t>
                  </w:r>
                  <w:r>
                    <w:rPr>
                      <w:rFonts w:hint="eastAsia" w:eastAsia="宋体"/>
                      <w:sz w:val="21"/>
                      <w:szCs w:val="21"/>
                    </w:rPr>
                    <w:t>醋酸装置产能提升至98</w:t>
                  </w:r>
                  <w:r>
                    <w:rPr>
                      <w:rFonts w:eastAsia="宋体"/>
                      <w:sz w:val="21"/>
                      <w:szCs w:val="21"/>
                    </w:rPr>
                    <w:t>万t/a</w:t>
                  </w:r>
                </w:p>
              </w:tc>
              <w:tc>
                <w:tcPr>
                  <w:tcW w:w="558" w:type="pct"/>
                  <w:noWrap w:val="0"/>
                  <w:vAlign w:val="center"/>
                </w:tcPr>
                <w:p w14:paraId="7F4B0BCF">
                  <w:pPr>
                    <w:jc w:val="center"/>
                    <w:rPr>
                      <w:rFonts w:hint="default" w:eastAsia="宋体"/>
                      <w:sz w:val="21"/>
                      <w:szCs w:val="21"/>
                      <w:lang w:val="en-US" w:eastAsia="zh-CN"/>
                    </w:rPr>
                  </w:pPr>
                  <w:r>
                    <w:rPr>
                      <w:rFonts w:hint="eastAsia"/>
                      <w:sz w:val="21"/>
                      <w:szCs w:val="21"/>
                      <w:lang w:val="en-US" w:eastAsia="zh-CN"/>
                    </w:rPr>
                    <w:t>2025年7月自主验收</w:t>
                  </w:r>
                </w:p>
              </w:tc>
              <w:tc>
                <w:tcPr>
                  <w:tcW w:w="1101" w:type="pct"/>
                  <w:noWrap w:val="0"/>
                  <w:vAlign w:val="center"/>
                </w:tcPr>
                <w:p w14:paraId="01391DB9">
                  <w:pPr>
                    <w:jc w:val="center"/>
                    <w:rPr>
                      <w:rFonts w:hint="eastAsia" w:eastAsia="宋体"/>
                      <w:sz w:val="21"/>
                      <w:szCs w:val="21"/>
                    </w:rPr>
                  </w:pPr>
                  <w:r>
                    <w:rPr>
                      <w:rFonts w:hint="eastAsia" w:eastAsia="宋体"/>
                      <w:sz w:val="21"/>
                      <w:szCs w:val="21"/>
                    </w:rPr>
                    <w:t>通过改造反应器顶部冷量返回管道调节阀、新增余热回收设备、新增</w:t>
                  </w:r>
                  <w:r>
                    <w:rPr>
                      <w:rFonts w:eastAsia="宋体"/>
                      <w:sz w:val="21"/>
                      <w:szCs w:val="21"/>
                    </w:rPr>
                    <w:t>醋酸低沸点物塔塔中出料泵</w:t>
                  </w:r>
                  <w:r>
                    <w:rPr>
                      <w:rFonts w:hint="eastAsia" w:eastAsia="宋体"/>
                      <w:sz w:val="21"/>
                      <w:szCs w:val="21"/>
                    </w:rPr>
                    <w:t>、更换2台醋酸水分离塔塔釜出料泵、改变反应器中参数和提高反应系统催化剂浓度等，将</w:t>
                  </w:r>
                  <w:r>
                    <w:rPr>
                      <w:rFonts w:eastAsia="宋体"/>
                      <w:sz w:val="21"/>
                      <w:szCs w:val="21"/>
                    </w:rPr>
                    <w:t>50万t/a</w:t>
                  </w:r>
                  <w:r>
                    <w:rPr>
                      <w:rFonts w:hint="eastAsia" w:eastAsia="宋体"/>
                      <w:sz w:val="21"/>
                      <w:szCs w:val="21"/>
                    </w:rPr>
                    <w:t>醋酸装置产能提升至7</w:t>
                  </w:r>
                  <w:r>
                    <w:rPr>
                      <w:rFonts w:eastAsia="宋体"/>
                      <w:sz w:val="21"/>
                      <w:szCs w:val="21"/>
                    </w:rPr>
                    <w:t>0万t/a</w:t>
                  </w:r>
                  <w:r>
                    <w:rPr>
                      <w:rFonts w:hint="eastAsia" w:eastAsia="宋体"/>
                      <w:sz w:val="21"/>
                      <w:szCs w:val="21"/>
                    </w:rPr>
                    <w:t>、70</w:t>
                  </w:r>
                  <w:r>
                    <w:rPr>
                      <w:rFonts w:eastAsia="宋体"/>
                      <w:sz w:val="21"/>
                      <w:szCs w:val="21"/>
                    </w:rPr>
                    <w:t>万t/a</w:t>
                  </w:r>
                  <w:r>
                    <w:rPr>
                      <w:rFonts w:hint="eastAsia" w:eastAsia="宋体"/>
                      <w:sz w:val="21"/>
                      <w:szCs w:val="21"/>
                    </w:rPr>
                    <w:t>醋酸装置产能提升至98</w:t>
                  </w:r>
                  <w:r>
                    <w:rPr>
                      <w:rFonts w:eastAsia="宋体"/>
                      <w:sz w:val="21"/>
                      <w:szCs w:val="21"/>
                    </w:rPr>
                    <w:t>万t/a</w:t>
                  </w:r>
                </w:p>
              </w:tc>
              <w:tc>
                <w:tcPr>
                  <w:tcW w:w="642" w:type="pct"/>
                  <w:noWrap w:val="0"/>
                  <w:vAlign w:val="center"/>
                </w:tcPr>
                <w:p w14:paraId="165E64C4">
                  <w:pPr>
                    <w:jc w:val="center"/>
                    <w:rPr>
                      <w:rFonts w:hint="eastAsia" w:eastAsia="宋体"/>
                      <w:sz w:val="21"/>
                      <w:szCs w:val="21"/>
                    </w:rPr>
                  </w:pPr>
                  <w:r>
                    <w:rPr>
                      <w:rFonts w:hint="eastAsia" w:eastAsia="宋体"/>
                      <w:sz w:val="21"/>
                      <w:szCs w:val="21"/>
                    </w:rPr>
                    <w:t>/</w:t>
                  </w:r>
                </w:p>
              </w:tc>
            </w:tr>
            <w:tr w14:paraId="399735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bottom w:val="single" w:color="auto" w:sz="4" w:space="0"/>
                  </w:tcBorders>
                  <w:noWrap w:val="0"/>
                  <w:vAlign w:val="center"/>
                </w:tcPr>
                <w:p w14:paraId="36BA28FB">
                  <w:pPr>
                    <w:jc w:val="center"/>
                    <w:rPr>
                      <w:rFonts w:hint="eastAsia" w:eastAsia="宋体"/>
                      <w:sz w:val="21"/>
                      <w:szCs w:val="21"/>
                    </w:rPr>
                  </w:pPr>
                  <w:r>
                    <w:rPr>
                      <w:rFonts w:hint="eastAsia" w:eastAsia="宋体"/>
                      <w:sz w:val="21"/>
                      <w:szCs w:val="21"/>
                    </w:rPr>
                    <w:t>广西华谊能源化工有限公司气化细渣脱水干化扩产二期项目</w:t>
                  </w:r>
                </w:p>
              </w:tc>
              <w:tc>
                <w:tcPr>
                  <w:tcW w:w="762" w:type="pct"/>
                  <w:tcBorders>
                    <w:top w:val="single" w:color="auto" w:sz="4" w:space="0"/>
                    <w:bottom w:val="single" w:color="auto" w:sz="4" w:space="0"/>
                  </w:tcBorders>
                  <w:noWrap w:val="0"/>
                  <w:vAlign w:val="center"/>
                </w:tcPr>
                <w:p w14:paraId="1D5F7FE6">
                  <w:pPr>
                    <w:jc w:val="center"/>
                    <w:rPr>
                      <w:rFonts w:eastAsia="宋体"/>
                      <w:sz w:val="21"/>
                      <w:szCs w:val="21"/>
                    </w:rPr>
                  </w:pPr>
                  <w:r>
                    <w:rPr>
                      <w:rFonts w:hint="eastAsia" w:eastAsia="宋体"/>
                      <w:sz w:val="21"/>
                      <w:szCs w:val="21"/>
                    </w:rPr>
                    <w:t>中马园</w:t>
                  </w:r>
                  <w:r>
                    <w:rPr>
                      <w:rFonts w:eastAsia="宋体"/>
                      <w:sz w:val="21"/>
                      <w:szCs w:val="21"/>
                    </w:rPr>
                    <w:t>审批环</w:t>
                  </w:r>
                </w:p>
                <w:p w14:paraId="5FE9604C">
                  <w:pPr>
                    <w:jc w:val="center"/>
                    <w:rPr>
                      <w:rFonts w:hint="eastAsia" w:eastAsia="宋体"/>
                      <w:sz w:val="21"/>
                      <w:szCs w:val="21"/>
                    </w:rPr>
                  </w:pPr>
                  <w:r>
                    <w:rPr>
                      <w:rFonts w:eastAsia="宋体"/>
                      <w:sz w:val="21"/>
                      <w:szCs w:val="21"/>
                    </w:rPr>
                    <w:t>〔202</w:t>
                  </w:r>
                  <w:r>
                    <w:rPr>
                      <w:rFonts w:hint="eastAsia" w:eastAsia="宋体"/>
                      <w:sz w:val="21"/>
                      <w:szCs w:val="21"/>
                    </w:rPr>
                    <w:t>5</w:t>
                  </w:r>
                  <w:r>
                    <w:rPr>
                      <w:rFonts w:eastAsia="宋体"/>
                      <w:sz w:val="21"/>
                      <w:szCs w:val="21"/>
                    </w:rPr>
                    <w:t>〕</w:t>
                  </w:r>
                  <w:r>
                    <w:rPr>
                      <w:rFonts w:hint="eastAsia" w:eastAsia="宋体"/>
                      <w:sz w:val="21"/>
                      <w:szCs w:val="21"/>
                    </w:rPr>
                    <w:t>4</w:t>
                  </w:r>
                  <w:r>
                    <w:rPr>
                      <w:rFonts w:eastAsia="宋体"/>
                      <w:sz w:val="21"/>
                      <w:szCs w:val="21"/>
                    </w:rPr>
                    <w:t>号</w:t>
                  </w:r>
                </w:p>
              </w:tc>
              <w:tc>
                <w:tcPr>
                  <w:tcW w:w="1169" w:type="pct"/>
                  <w:tcBorders>
                    <w:top w:val="single" w:color="auto" w:sz="4" w:space="0"/>
                    <w:bottom w:val="single" w:color="auto" w:sz="4" w:space="0"/>
                  </w:tcBorders>
                  <w:noWrap w:val="0"/>
                  <w:vAlign w:val="center"/>
                </w:tcPr>
                <w:p w14:paraId="53B50168">
                  <w:pPr>
                    <w:jc w:val="center"/>
                    <w:rPr>
                      <w:rFonts w:hint="eastAsia" w:eastAsia="宋体"/>
                      <w:sz w:val="21"/>
                      <w:szCs w:val="21"/>
                    </w:rPr>
                  </w:pPr>
                  <w:r>
                    <w:rPr>
                      <w:rFonts w:hint="eastAsia" w:eastAsia="宋体"/>
                      <w:sz w:val="21"/>
                      <w:szCs w:val="21"/>
                    </w:rPr>
                    <w:t>在板框压滤机一期框架预留区内，增加2台压滤机，单台处理能力为5t/h（干基），配套新增2台压榨水泵、1台洗布水泵、2条一级输送皮带，1台滤液泵及相应的公辅工程</w:t>
                  </w:r>
                </w:p>
              </w:tc>
              <w:tc>
                <w:tcPr>
                  <w:tcW w:w="558" w:type="pct"/>
                  <w:noWrap w:val="0"/>
                  <w:vAlign w:val="center"/>
                </w:tcPr>
                <w:p w14:paraId="75FEF182">
                  <w:pPr>
                    <w:jc w:val="center"/>
                    <w:rPr>
                      <w:rFonts w:hint="eastAsia" w:eastAsia="宋体"/>
                      <w:sz w:val="21"/>
                      <w:szCs w:val="21"/>
                    </w:rPr>
                  </w:pPr>
                  <w:r>
                    <w:rPr>
                      <w:rFonts w:hint="eastAsia" w:eastAsia="宋体"/>
                      <w:sz w:val="21"/>
                      <w:szCs w:val="21"/>
                    </w:rPr>
                    <w:t>/</w:t>
                  </w:r>
                </w:p>
              </w:tc>
              <w:tc>
                <w:tcPr>
                  <w:tcW w:w="1101" w:type="pct"/>
                  <w:noWrap w:val="0"/>
                  <w:vAlign w:val="center"/>
                </w:tcPr>
                <w:p w14:paraId="5CEB7BF0">
                  <w:pPr>
                    <w:jc w:val="center"/>
                    <w:rPr>
                      <w:rFonts w:hint="eastAsia" w:eastAsia="宋体"/>
                      <w:sz w:val="21"/>
                      <w:szCs w:val="21"/>
                    </w:rPr>
                  </w:pPr>
                  <w:r>
                    <w:rPr>
                      <w:rFonts w:hint="eastAsia" w:eastAsia="宋体"/>
                      <w:sz w:val="21"/>
                      <w:szCs w:val="21"/>
                    </w:rPr>
                    <w:t>/</w:t>
                  </w:r>
                </w:p>
              </w:tc>
              <w:tc>
                <w:tcPr>
                  <w:tcW w:w="642" w:type="pct"/>
                  <w:noWrap w:val="0"/>
                  <w:vAlign w:val="center"/>
                </w:tcPr>
                <w:p w14:paraId="378FCC2D">
                  <w:pPr>
                    <w:jc w:val="center"/>
                    <w:rPr>
                      <w:rFonts w:hint="eastAsia" w:eastAsia="宋体"/>
                      <w:sz w:val="21"/>
                      <w:szCs w:val="21"/>
                      <w:lang w:eastAsia="zh-CN"/>
                    </w:rPr>
                  </w:pPr>
                  <w:r>
                    <w:rPr>
                      <w:rFonts w:hint="eastAsia"/>
                      <w:sz w:val="21"/>
                      <w:szCs w:val="21"/>
                      <w:lang w:val="en-US" w:eastAsia="zh-CN"/>
                    </w:rPr>
                    <w:t>在建</w:t>
                  </w:r>
                </w:p>
              </w:tc>
            </w:tr>
            <w:tr w14:paraId="318B4B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765" w:type="pct"/>
                  <w:tcBorders>
                    <w:top w:val="single" w:color="auto" w:sz="4" w:space="0"/>
                  </w:tcBorders>
                  <w:noWrap w:val="0"/>
                  <w:vAlign w:val="center"/>
                </w:tcPr>
                <w:p w14:paraId="21FEA014">
                  <w:pPr>
                    <w:jc w:val="center"/>
                    <w:rPr>
                      <w:rFonts w:hint="eastAsia" w:eastAsia="宋体"/>
                      <w:sz w:val="21"/>
                      <w:szCs w:val="21"/>
                    </w:rPr>
                  </w:pPr>
                  <w:r>
                    <w:rPr>
                      <w:rFonts w:hint="eastAsia" w:eastAsia="宋体"/>
                      <w:sz w:val="21"/>
                      <w:szCs w:val="21"/>
                    </w:rPr>
                    <w:t>22万吨/年草酸项目</w:t>
                  </w:r>
                </w:p>
              </w:tc>
              <w:tc>
                <w:tcPr>
                  <w:tcW w:w="762" w:type="pct"/>
                  <w:tcBorders>
                    <w:top w:val="single" w:color="auto" w:sz="4" w:space="0"/>
                  </w:tcBorders>
                  <w:noWrap w:val="0"/>
                  <w:vAlign w:val="center"/>
                </w:tcPr>
                <w:p w14:paraId="0BEE6ADF">
                  <w:pPr>
                    <w:jc w:val="center"/>
                    <w:rPr>
                      <w:rFonts w:eastAsia="宋体"/>
                      <w:sz w:val="21"/>
                      <w:szCs w:val="21"/>
                    </w:rPr>
                  </w:pPr>
                  <w:r>
                    <w:rPr>
                      <w:rFonts w:hint="eastAsia" w:eastAsia="宋体"/>
                      <w:sz w:val="21"/>
                      <w:szCs w:val="21"/>
                    </w:rPr>
                    <w:t>中马园审批环〔2025</w:t>
                  </w:r>
                  <w:r>
                    <w:rPr>
                      <w:rFonts w:eastAsia="宋体"/>
                      <w:sz w:val="21"/>
                      <w:szCs w:val="21"/>
                    </w:rPr>
                    <w:t>〕</w:t>
                  </w:r>
                  <w:r>
                    <w:rPr>
                      <w:rFonts w:hint="eastAsia" w:eastAsia="宋体"/>
                      <w:sz w:val="21"/>
                      <w:szCs w:val="21"/>
                    </w:rPr>
                    <w:t>14号</w:t>
                  </w:r>
                </w:p>
              </w:tc>
              <w:tc>
                <w:tcPr>
                  <w:tcW w:w="1169" w:type="pct"/>
                  <w:tcBorders>
                    <w:top w:val="single" w:color="auto" w:sz="4" w:space="0"/>
                  </w:tcBorders>
                  <w:noWrap w:val="0"/>
                  <w:vAlign w:val="center"/>
                </w:tcPr>
                <w:p w14:paraId="3632864F">
                  <w:pPr>
                    <w:jc w:val="center"/>
                    <w:rPr>
                      <w:rFonts w:hint="eastAsia" w:eastAsia="宋体"/>
                      <w:sz w:val="21"/>
                      <w:szCs w:val="21"/>
                    </w:rPr>
                  </w:pPr>
                  <w:r>
                    <w:rPr>
                      <w:rFonts w:hint="eastAsia" w:eastAsia="宋体"/>
                      <w:sz w:val="21"/>
                      <w:szCs w:val="21"/>
                    </w:rPr>
                    <w:t>新建22万吨/年草酸生产装置（含2个结晶水计）和变电所，其余公用工程及辅助设施依托现有厂区设施</w:t>
                  </w:r>
                </w:p>
              </w:tc>
              <w:tc>
                <w:tcPr>
                  <w:tcW w:w="558" w:type="pct"/>
                  <w:shd w:val="clear" w:color="auto" w:fill="auto"/>
                  <w:noWrap w:val="0"/>
                  <w:vAlign w:val="center"/>
                </w:tcPr>
                <w:p w14:paraId="2782C5E1">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w:t>
                  </w:r>
                </w:p>
              </w:tc>
              <w:tc>
                <w:tcPr>
                  <w:tcW w:w="1101" w:type="pct"/>
                  <w:shd w:val="clear" w:color="auto" w:fill="auto"/>
                  <w:noWrap w:val="0"/>
                  <w:vAlign w:val="center"/>
                </w:tcPr>
                <w:p w14:paraId="725AC6CA">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w:t>
                  </w:r>
                </w:p>
              </w:tc>
              <w:tc>
                <w:tcPr>
                  <w:tcW w:w="642" w:type="pct"/>
                  <w:shd w:val="clear" w:color="auto" w:fill="auto"/>
                  <w:noWrap w:val="0"/>
                  <w:vAlign w:val="center"/>
                </w:tcPr>
                <w:p w14:paraId="39CF5FCB">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在建</w:t>
                  </w:r>
                </w:p>
              </w:tc>
            </w:tr>
          </w:tbl>
          <w:p w14:paraId="7E1056B7">
            <w:pPr>
              <w:spacing w:line="500" w:lineRule="atLeast"/>
              <w:ind w:firstLine="482" w:firstLineChars="200"/>
              <w:jc w:val="left"/>
              <w:rPr>
                <w:rFonts w:hint="eastAsia"/>
                <w:b/>
                <w:bCs/>
                <w:sz w:val="24"/>
                <w:lang w:val="en-US" w:eastAsia="zh-CN"/>
              </w:rPr>
            </w:pPr>
            <w:r>
              <w:rPr>
                <w:rFonts w:hint="eastAsia"/>
                <w:b/>
                <w:bCs/>
                <w:sz w:val="24"/>
                <w:lang w:val="en-US" w:eastAsia="zh-CN"/>
              </w:rPr>
              <w:t>三、现有工程组成</w:t>
            </w:r>
          </w:p>
          <w:p w14:paraId="64851B57">
            <w:pPr>
              <w:spacing w:line="500" w:lineRule="atLeast"/>
              <w:ind w:firstLine="480" w:firstLineChars="200"/>
              <w:jc w:val="left"/>
              <w:rPr>
                <w:rFonts w:hint="eastAsia"/>
                <w:b w:val="0"/>
                <w:bCs w:val="0"/>
                <w:sz w:val="24"/>
                <w:lang w:val="en-US" w:eastAsia="zh-CN"/>
              </w:rPr>
            </w:pPr>
            <w:r>
              <w:rPr>
                <w:rFonts w:hint="eastAsia"/>
                <w:b w:val="0"/>
                <w:bCs w:val="0"/>
                <w:sz w:val="24"/>
                <w:lang w:val="en-US" w:eastAsia="zh-CN"/>
              </w:rPr>
              <w:t>现有工程组成详见表2-12。</w:t>
            </w:r>
          </w:p>
          <w:p w14:paraId="56DD3FDF">
            <w:pPr>
              <w:pStyle w:val="51"/>
              <w:numPr>
                <w:ilvl w:val="2"/>
                <w:numId w:val="3"/>
              </w:numPr>
              <w:spacing w:line="500" w:lineRule="atLeast"/>
              <w:ind w:firstLineChars="0"/>
              <w:jc w:val="center"/>
              <w:rPr>
                <w:rFonts w:hint="default"/>
                <w:b w:val="0"/>
                <w:bCs w:val="0"/>
                <w:sz w:val="24"/>
                <w:lang w:val="en-US" w:eastAsia="zh-CN"/>
              </w:rPr>
            </w:pPr>
            <w:r>
              <w:rPr>
                <w:rFonts w:hint="eastAsia"/>
                <w:b/>
                <w:sz w:val="24"/>
                <w:lang w:val="en-US" w:eastAsia="zh-CN"/>
              </w:rPr>
              <w:t>现有工程组成一览表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92"/>
              <w:gridCol w:w="847"/>
              <w:gridCol w:w="1402"/>
              <w:gridCol w:w="4914"/>
              <w:gridCol w:w="658"/>
            </w:tblGrid>
            <w:tr w14:paraId="7A7E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tblHeader/>
                <w:jc w:val="center"/>
              </w:trPr>
              <w:tc>
                <w:tcPr>
                  <w:tcW w:w="351" w:type="pct"/>
                  <w:shd w:val="clear" w:color="auto" w:fill="FFFFFF"/>
                  <w:noWrap w:val="0"/>
                  <w:vAlign w:val="center"/>
                </w:tcPr>
                <w:p w14:paraId="76314BA8">
                  <w:pPr>
                    <w:jc w:val="center"/>
                    <w:rPr>
                      <w:rFonts w:eastAsia="宋体"/>
                      <w:sz w:val="21"/>
                      <w:szCs w:val="21"/>
                    </w:rPr>
                  </w:pPr>
                  <w:bookmarkStart w:id="14" w:name="OLE_LINK1"/>
                  <w:r>
                    <w:rPr>
                      <w:rFonts w:eastAsia="宋体"/>
                      <w:sz w:val="21"/>
                      <w:szCs w:val="21"/>
                    </w:rPr>
                    <w:t>工程</w:t>
                  </w:r>
                </w:p>
                <w:p w14:paraId="57A55830">
                  <w:pPr>
                    <w:jc w:val="center"/>
                    <w:rPr>
                      <w:rFonts w:eastAsia="宋体"/>
                      <w:sz w:val="21"/>
                      <w:szCs w:val="21"/>
                    </w:rPr>
                  </w:pPr>
                  <w:r>
                    <w:rPr>
                      <w:rFonts w:eastAsia="宋体"/>
                      <w:sz w:val="21"/>
                      <w:szCs w:val="21"/>
                    </w:rPr>
                    <w:t>类别</w:t>
                  </w:r>
                </w:p>
              </w:tc>
              <w:tc>
                <w:tcPr>
                  <w:tcW w:w="1336" w:type="pct"/>
                  <w:gridSpan w:val="2"/>
                  <w:shd w:val="clear" w:color="auto" w:fill="FFFFFF"/>
                  <w:noWrap w:val="0"/>
                  <w:vAlign w:val="center"/>
                </w:tcPr>
                <w:p w14:paraId="2F5F8ED1">
                  <w:pPr>
                    <w:jc w:val="center"/>
                    <w:rPr>
                      <w:rFonts w:eastAsia="宋体"/>
                      <w:sz w:val="21"/>
                      <w:szCs w:val="21"/>
                    </w:rPr>
                  </w:pPr>
                  <w:r>
                    <w:rPr>
                      <w:rFonts w:eastAsia="宋体"/>
                      <w:sz w:val="21"/>
                      <w:szCs w:val="21"/>
                    </w:rPr>
                    <w:t>装置或单元名称</w:t>
                  </w:r>
                </w:p>
              </w:tc>
              <w:tc>
                <w:tcPr>
                  <w:tcW w:w="2920" w:type="pct"/>
                  <w:shd w:val="clear" w:color="auto" w:fill="FFFFFF"/>
                  <w:noWrap w:val="0"/>
                  <w:vAlign w:val="center"/>
                </w:tcPr>
                <w:p w14:paraId="051FDB16">
                  <w:pPr>
                    <w:jc w:val="center"/>
                    <w:rPr>
                      <w:rFonts w:eastAsia="宋体"/>
                      <w:sz w:val="21"/>
                      <w:szCs w:val="21"/>
                    </w:rPr>
                  </w:pPr>
                  <w:r>
                    <w:rPr>
                      <w:rFonts w:eastAsia="宋体"/>
                      <w:sz w:val="21"/>
                      <w:szCs w:val="21"/>
                    </w:rPr>
                    <w:t>主要建设内容</w:t>
                  </w:r>
                </w:p>
              </w:tc>
              <w:tc>
                <w:tcPr>
                  <w:tcW w:w="391" w:type="pct"/>
                  <w:shd w:val="clear" w:color="auto" w:fill="FFFFFF"/>
                  <w:noWrap w:val="0"/>
                  <w:vAlign w:val="center"/>
                </w:tcPr>
                <w:p w14:paraId="3337EBD4">
                  <w:pPr>
                    <w:jc w:val="center"/>
                    <w:rPr>
                      <w:rFonts w:eastAsia="宋体"/>
                      <w:sz w:val="21"/>
                      <w:szCs w:val="21"/>
                    </w:rPr>
                  </w:pPr>
                  <w:r>
                    <w:rPr>
                      <w:rFonts w:eastAsia="宋体"/>
                      <w:sz w:val="21"/>
                      <w:szCs w:val="21"/>
                    </w:rPr>
                    <w:t>备注</w:t>
                  </w:r>
                </w:p>
              </w:tc>
            </w:tr>
            <w:tr w14:paraId="037A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restart"/>
                  <w:shd w:val="clear" w:color="auto" w:fill="FFFFFF"/>
                  <w:noWrap w:val="0"/>
                  <w:vAlign w:val="center"/>
                </w:tcPr>
                <w:p w14:paraId="55F63C5C">
                  <w:pPr>
                    <w:jc w:val="center"/>
                    <w:rPr>
                      <w:rFonts w:eastAsia="宋体"/>
                      <w:sz w:val="21"/>
                      <w:szCs w:val="21"/>
                    </w:rPr>
                  </w:pPr>
                  <w:r>
                    <w:rPr>
                      <w:rFonts w:eastAsia="宋体"/>
                      <w:sz w:val="21"/>
                      <w:szCs w:val="21"/>
                    </w:rPr>
                    <w:t>主体</w:t>
                  </w:r>
                </w:p>
                <w:p w14:paraId="71EE3D6E">
                  <w:pPr>
                    <w:jc w:val="center"/>
                    <w:rPr>
                      <w:rFonts w:eastAsia="宋体"/>
                      <w:sz w:val="21"/>
                      <w:szCs w:val="21"/>
                    </w:rPr>
                  </w:pPr>
                  <w:r>
                    <w:rPr>
                      <w:rFonts w:eastAsia="宋体"/>
                      <w:sz w:val="21"/>
                      <w:szCs w:val="21"/>
                    </w:rPr>
                    <w:t>工程</w:t>
                  </w:r>
                </w:p>
              </w:tc>
              <w:tc>
                <w:tcPr>
                  <w:tcW w:w="503" w:type="pct"/>
                  <w:vMerge w:val="restart"/>
                  <w:shd w:val="clear" w:color="auto" w:fill="FFFFFF"/>
                  <w:noWrap w:val="0"/>
                  <w:vAlign w:val="center"/>
                </w:tcPr>
                <w:p w14:paraId="1345E736">
                  <w:pPr>
                    <w:jc w:val="center"/>
                    <w:rPr>
                      <w:rFonts w:eastAsia="宋体"/>
                      <w:sz w:val="21"/>
                      <w:szCs w:val="21"/>
                    </w:rPr>
                  </w:pPr>
                  <w:r>
                    <w:rPr>
                      <w:rFonts w:hint="eastAsia" w:eastAsia="宋体"/>
                      <w:sz w:val="21"/>
                      <w:szCs w:val="21"/>
                    </w:rPr>
                    <w:t>工业</w:t>
                  </w:r>
                  <w:r>
                    <w:rPr>
                      <w:rFonts w:eastAsia="宋体"/>
                      <w:sz w:val="21"/>
                      <w:szCs w:val="21"/>
                    </w:rPr>
                    <w:t>气体岛</w:t>
                  </w:r>
                </w:p>
              </w:tc>
              <w:tc>
                <w:tcPr>
                  <w:tcW w:w="833" w:type="pct"/>
                  <w:shd w:val="clear" w:color="auto" w:fill="FFFFFF"/>
                  <w:noWrap w:val="0"/>
                  <w:vAlign w:val="center"/>
                </w:tcPr>
                <w:p w14:paraId="0B391B09">
                  <w:pPr>
                    <w:jc w:val="center"/>
                    <w:rPr>
                      <w:rFonts w:eastAsia="宋体"/>
                      <w:sz w:val="21"/>
                      <w:szCs w:val="21"/>
                    </w:rPr>
                  </w:pPr>
                  <w:r>
                    <w:rPr>
                      <w:rFonts w:eastAsia="宋体"/>
                      <w:sz w:val="21"/>
                      <w:szCs w:val="21"/>
                    </w:rPr>
                    <w:t>煤气化装置</w:t>
                  </w:r>
                </w:p>
              </w:tc>
              <w:tc>
                <w:tcPr>
                  <w:tcW w:w="2920" w:type="pct"/>
                  <w:shd w:val="clear" w:color="auto" w:fill="FFFFFF"/>
                  <w:noWrap w:val="0"/>
                  <w:vAlign w:val="center"/>
                </w:tcPr>
                <w:p w14:paraId="2A235B49">
                  <w:pPr>
                    <w:rPr>
                      <w:rFonts w:eastAsia="宋体"/>
                      <w:sz w:val="21"/>
                      <w:szCs w:val="21"/>
                    </w:rPr>
                  </w:pPr>
                  <w:r>
                    <w:rPr>
                      <w:rFonts w:eastAsia="宋体"/>
                      <w:sz w:val="21"/>
                      <w:szCs w:val="21"/>
                    </w:rPr>
                    <w:t>采用粉煤气化工艺。主要有磨煤及干燥、煤加压及进煤、气化及合成气洗涤、渣及灰水处理单元。生产规模：64.4Nm</w:t>
                  </w:r>
                  <w:r>
                    <w:rPr>
                      <w:rFonts w:eastAsia="宋体"/>
                      <w:sz w:val="21"/>
                      <w:szCs w:val="21"/>
                      <w:vertAlign w:val="superscript"/>
                    </w:rPr>
                    <w:t>3</w:t>
                  </w:r>
                  <w:r>
                    <w:rPr>
                      <w:rFonts w:eastAsia="宋体"/>
                      <w:sz w:val="21"/>
                      <w:szCs w:val="21"/>
                    </w:rPr>
                    <w:t>/h（CO+H</w:t>
                  </w:r>
                  <w:r>
                    <w:rPr>
                      <w:rFonts w:eastAsia="宋体"/>
                      <w:sz w:val="21"/>
                      <w:szCs w:val="21"/>
                      <w:vertAlign w:val="subscript"/>
                    </w:rPr>
                    <w:t>2</w:t>
                  </w:r>
                  <w:r>
                    <w:rPr>
                      <w:rFonts w:eastAsia="宋体"/>
                      <w:sz w:val="21"/>
                      <w:szCs w:val="21"/>
                    </w:rPr>
                    <w:t>），主要设备：磨煤机6套，干燥机8套，气化炉5台，合成气洗涤塔5座，洗涤塔2座等</w:t>
                  </w:r>
                </w:p>
              </w:tc>
              <w:tc>
                <w:tcPr>
                  <w:tcW w:w="391" w:type="pct"/>
                  <w:shd w:val="clear" w:color="auto" w:fill="FFFFFF"/>
                  <w:noWrap w:val="0"/>
                  <w:vAlign w:val="center"/>
                </w:tcPr>
                <w:p w14:paraId="439D0327">
                  <w:pPr>
                    <w:jc w:val="center"/>
                    <w:rPr>
                      <w:rFonts w:hint="eastAsia" w:eastAsia="宋体"/>
                      <w:sz w:val="21"/>
                      <w:szCs w:val="21"/>
                      <w:lang w:val="en-US" w:eastAsia="zh-CN"/>
                    </w:rPr>
                  </w:pPr>
                  <w:r>
                    <w:rPr>
                      <w:rFonts w:hint="eastAsia"/>
                      <w:sz w:val="21"/>
                      <w:szCs w:val="21"/>
                      <w:lang w:val="en-US" w:eastAsia="zh-CN"/>
                    </w:rPr>
                    <w:t>/</w:t>
                  </w:r>
                </w:p>
              </w:tc>
            </w:tr>
            <w:tr w14:paraId="324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F2515AB">
                  <w:pPr>
                    <w:jc w:val="center"/>
                    <w:rPr>
                      <w:rFonts w:eastAsia="宋体"/>
                      <w:sz w:val="21"/>
                      <w:szCs w:val="21"/>
                    </w:rPr>
                  </w:pPr>
                </w:p>
              </w:tc>
              <w:tc>
                <w:tcPr>
                  <w:tcW w:w="503" w:type="pct"/>
                  <w:vMerge w:val="continue"/>
                  <w:shd w:val="clear" w:color="auto" w:fill="FFFFFF"/>
                  <w:noWrap w:val="0"/>
                  <w:vAlign w:val="center"/>
                </w:tcPr>
                <w:p w14:paraId="6B172B03">
                  <w:pPr>
                    <w:jc w:val="center"/>
                    <w:rPr>
                      <w:rFonts w:eastAsia="宋体"/>
                      <w:sz w:val="21"/>
                      <w:szCs w:val="21"/>
                    </w:rPr>
                  </w:pPr>
                </w:p>
              </w:tc>
              <w:tc>
                <w:tcPr>
                  <w:tcW w:w="833" w:type="pct"/>
                  <w:shd w:val="clear" w:color="auto" w:fill="FFFFFF"/>
                  <w:noWrap w:val="0"/>
                  <w:vAlign w:val="center"/>
                </w:tcPr>
                <w:p w14:paraId="16DF146A">
                  <w:pPr>
                    <w:jc w:val="center"/>
                    <w:rPr>
                      <w:rFonts w:eastAsia="宋体"/>
                      <w:sz w:val="21"/>
                      <w:szCs w:val="21"/>
                    </w:rPr>
                  </w:pPr>
                  <w:r>
                    <w:rPr>
                      <w:rFonts w:eastAsia="宋体"/>
                      <w:sz w:val="21"/>
                      <w:szCs w:val="21"/>
                    </w:rPr>
                    <w:t>净化及CO分离装置</w:t>
                  </w:r>
                </w:p>
              </w:tc>
              <w:tc>
                <w:tcPr>
                  <w:tcW w:w="2920" w:type="pct"/>
                  <w:shd w:val="clear" w:color="auto" w:fill="FFFFFF"/>
                  <w:noWrap w:val="0"/>
                  <w:vAlign w:val="center"/>
                </w:tcPr>
                <w:p w14:paraId="2E2AF8B3">
                  <w:pPr>
                    <w:rPr>
                      <w:rFonts w:eastAsia="宋体"/>
                      <w:sz w:val="21"/>
                      <w:szCs w:val="21"/>
                    </w:rPr>
                  </w:pPr>
                  <w:r>
                    <w:rPr>
                      <w:rFonts w:eastAsia="宋体"/>
                      <w:sz w:val="21"/>
                      <w:szCs w:val="21"/>
                    </w:rPr>
                    <w:t>主要为变换、脱硫脱碳、硫回收、丙烯制冷、CO深冷分离单元。规模：64.4Nm</w:t>
                  </w:r>
                  <w:r>
                    <w:rPr>
                      <w:rFonts w:eastAsia="宋体"/>
                      <w:sz w:val="21"/>
                      <w:szCs w:val="21"/>
                      <w:vertAlign w:val="superscript"/>
                    </w:rPr>
                    <w:t>3</w:t>
                  </w:r>
                  <w:r>
                    <w:rPr>
                      <w:rFonts w:eastAsia="宋体"/>
                      <w:sz w:val="21"/>
                      <w:szCs w:val="21"/>
                    </w:rPr>
                    <w:t>/h净化CO+H</w:t>
                  </w:r>
                  <w:r>
                    <w:rPr>
                      <w:rFonts w:eastAsia="宋体"/>
                      <w:sz w:val="21"/>
                      <w:szCs w:val="21"/>
                      <w:vertAlign w:val="subscript"/>
                    </w:rPr>
                    <w:t>2</w:t>
                  </w:r>
                  <w:r>
                    <w:rPr>
                      <w:rFonts w:eastAsia="宋体"/>
                      <w:sz w:val="21"/>
                      <w:szCs w:val="21"/>
                    </w:rPr>
                    <w:t>，4.65Nm</w:t>
                  </w:r>
                  <w:r>
                    <w:rPr>
                      <w:rFonts w:eastAsia="宋体"/>
                      <w:sz w:val="21"/>
                      <w:szCs w:val="21"/>
                      <w:vertAlign w:val="superscript"/>
                    </w:rPr>
                    <w:t>3</w:t>
                  </w:r>
                  <w:r>
                    <w:rPr>
                      <w:rFonts w:eastAsia="宋体"/>
                      <w:sz w:val="21"/>
                      <w:szCs w:val="21"/>
                    </w:rPr>
                    <w:t>/h CO，主要设备：变换废热锅炉2台，冷凝液汽提塔2台，脱毒槽2台，排污闪蒸罐2台，高温变换冷凝液闪蒸槽2台，除氧器2套，甲醇洗涤塔（Ⅰ、Ⅱ）、硫化氢浓缩塔、CO</w:t>
                  </w:r>
                  <w:r>
                    <w:rPr>
                      <w:rFonts w:eastAsia="宋体"/>
                      <w:sz w:val="21"/>
                      <w:szCs w:val="21"/>
                      <w:vertAlign w:val="subscript"/>
                    </w:rPr>
                    <w:t>2</w:t>
                  </w:r>
                  <w:r>
                    <w:rPr>
                      <w:rFonts w:eastAsia="宋体"/>
                      <w:sz w:val="21"/>
                      <w:szCs w:val="21"/>
                    </w:rPr>
                    <w:t>产品塔、热再生塔、甲醇/水分离塔、洗氨塔（Ⅰ、Ⅱ）、氨气气提塔等各2座等，主燃烧炉、废热锅炉、焚烧炉等各1台，丙烯压缩机2台，氢气气提塔2座，CO压缩机组2套等</w:t>
                  </w:r>
                </w:p>
              </w:tc>
              <w:tc>
                <w:tcPr>
                  <w:tcW w:w="391" w:type="pct"/>
                  <w:shd w:val="clear" w:color="auto" w:fill="FFFFFF"/>
                  <w:noWrap w:val="0"/>
                  <w:vAlign w:val="center"/>
                </w:tcPr>
                <w:p w14:paraId="08DBE726">
                  <w:pPr>
                    <w:jc w:val="center"/>
                    <w:rPr>
                      <w:rFonts w:hint="eastAsia" w:eastAsia="宋体"/>
                      <w:sz w:val="21"/>
                      <w:szCs w:val="21"/>
                      <w:lang w:val="en-US" w:eastAsia="zh-CN"/>
                    </w:rPr>
                  </w:pPr>
                  <w:r>
                    <w:rPr>
                      <w:rFonts w:hint="eastAsia"/>
                      <w:sz w:val="21"/>
                      <w:szCs w:val="21"/>
                      <w:lang w:val="en-US" w:eastAsia="zh-CN"/>
                    </w:rPr>
                    <w:t>/</w:t>
                  </w:r>
                </w:p>
              </w:tc>
            </w:tr>
            <w:tr w14:paraId="6B39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83F15CB">
                  <w:pPr>
                    <w:jc w:val="center"/>
                    <w:rPr>
                      <w:rFonts w:eastAsia="宋体"/>
                      <w:sz w:val="21"/>
                      <w:szCs w:val="21"/>
                    </w:rPr>
                  </w:pPr>
                </w:p>
              </w:tc>
              <w:tc>
                <w:tcPr>
                  <w:tcW w:w="503" w:type="pct"/>
                  <w:vMerge w:val="continue"/>
                  <w:shd w:val="clear" w:color="auto" w:fill="FFFFFF"/>
                  <w:noWrap w:val="0"/>
                  <w:vAlign w:val="center"/>
                </w:tcPr>
                <w:p w14:paraId="321C23EB">
                  <w:pPr>
                    <w:jc w:val="center"/>
                    <w:rPr>
                      <w:rFonts w:eastAsia="宋体"/>
                      <w:sz w:val="21"/>
                      <w:szCs w:val="21"/>
                    </w:rPr>
                  </w:pPr>
                </w:p>
              </w:tc>
              <w:tc>
                <w:tcPr>
                  <w:tcW w:w="833" w:type="pct"/>
                  <w:shd w:val="clear" w:color="auto" w:fill="FFFFFF"/>
                  <w:noWrap w:val="0"/>
                  <w:vAlign w:val="center"/>
                </w:tcPr>
                <w:p w14:paraId="3D084A2F">
                  <w:pPr>
                    <w:jc w:val="center"/>
                    <w:rPr>
                      <w:rFonts w:eastAsia="宋体"/>
                      <w:sz w:val="21"/>
                      <w:szCs w:val="21"/>
                    </w:rPr>
                  </w:pPr>
                  <w:r>
                    <w:rPr>
                      <w:rFonts w:eastAsia="宋体"/>
                      <w:sz w:val="21"/>
                      <w:szCs w:val="21"/>
                    </w:rPr>
                    <w:t>制氢装置</w:t>
                  </w:r>
                </w:p>
              </w:tc>
              <w:tc>
                <w:tcPr>
                  <w:tcW w:w="2920" w:type="pct"/>
                  <w:shd w:val="clear" w:color="auto" w:fill="FFFFFF"/>
                  <w:noWrap w:val="0"/>
                  <w:vAlign w:val="center"/>
                </w:tcPr>
                <w:p w14:paraId="2CE4041E">
                  <w:pPr>
                    <w:rPr>
                      <w:rFonts w:eastAsia="宋体"/>
                      <w:sz w:val="21"/>
                      <w:szCs w:val="21"/>
                    </w:rPr>
                  </w:pPr>
                  <w:r>
                    <w:rPr>
                      <w:rFonts w:eastAsia="宋体"/>
                      <w:sz w:val="21"/>
                      <w:szCs w:val="21"/>
                    </w:rPr>
                    <w:t>规模为10万Nm</w:t>
                  </w:r>
                  <w:r>
                    <w:rPr>
                      <w:rFonts w:eastAsia="宋体"/>
                      <w:sz w:val="21"/>
                      <w:szCs w:val="21"/>
                      <w:vertAlign w:val="superscript"/>
                    </w:rPr>
                    <w:t>3</w:t>
                  </w:r>
                  <w:r>
                    <w:rPr>
                      <w:rFonts w:eastAsia="宋体"/>
                      <w:sz w:val="21"/>
                      <w:szCs w:val="21"/>
                    </w:rPr>
                    <w:t>/h，主要设备：吸附器10套</w:t>
                  </w:r>
                </w:p>
              </w:tc>
              <w:tc>
                <w:tcPr>
                  <w:tcW w:w="391" w:type="pct"/>
                  <w:shd w:val="clear" w:color="auto" w:fill="FFFFFF"/>
                  <w:noWrap w:val="0"/>
                  <w:vAlign w:val="center"/>
                </w:tcPr>
                <w:p w14:paraId="6D3D79A4">
                  <w:pPr>
                    <w:jc w:val="center"/>
                    <w:rPr>
                      <w:rFonts w:hint="eastAsia" w:eastAsia="宋体"/>
                      <w:sz w:val="21"/>
                      <w:szCs w:val="21"/>
                      <w:lang w:val="en-US" w:eastAsia="zh-CN"/>
                    </w:rPr>
                  </w:pPr>
                  <w:r>
                    <w:rPr>
                      <w:rFonts w:hint="eastAsia"/>
                      <w:sz w:val="21"/>
                      <w:szCs w:val="21"/>
                      <w:lang w:val="en-US" w:eastAsia="zh-CN"/>
                    </w:rPr>
                    <w:t>/</w:t>
                  </w:r>
                </w:p>
              </w:tc>
            </w:tr>
            <w:tr w14:paraId="2C09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054C60F">
                  <w:pPr>
                    <w:jc w:val="center"/>
                    <w:rPr>
                      <w:rFonts w:eastAsia="宋体"/>
                      <w:sz w:val="21"/>
                      <w:szCs w:val="21"/>
                    </w:rPr>
                  </w:pPr>
                </w:p>
              </w:tc>
              <w:tc>
                <w:tcPr>
                  <w:tcW w:w="503" w:type="pct"/>
                  <w:vMerge w:val="continue"/>
                  <w:shd w:val="clear" w:color="auto" w:fill="FFFFFF"/>
                  <w:noWrap w:val="0"/>
                  <w:vAlign w:val="center"/>
                </w:tcPr>
                <w:p w14:paraId="09907299">
                  <w:pPr>
                    <w:jc w:val="center"/>
                    <w:rPr>
                      <w:rFonts w:eastAsia="宋体"/>
                      <w:sz w:val="21"/>
                      <w:szCs w:val="21"/>
                    </w:rPr>
                  </w:pPr>
                </w:p>
              </w:tc>
              <w:tc>
                <w:tcPr>
                  <w:tcW w:w="833" w:type="pct"/>
                  <w:shd w:val="clear" w:color="auto" w:fill="FFFFFF"/>
                  <w:noWrap w:val="0"/>
                  <w:vAlign w:val="center"/>
                </w:tcPr>
                <w:p w14:paraId="467EC7E3">
                  <w:pPr>
                    <w:jc w:val="center"/>
                    <w:rPr>
                      <w:rFonts w:eastAsia="宋体"/>
                      <w:sz w:val="21"/>
                      <w:szCs w:val="21"/>
                    </w:rPr>
                  </w:pPr>
                  <w:r>
                    <w:rPr>
                      <w:rFonts w:eastAsia="宋体"/>
                      <w:sz w:val="21"/>
                      <w:szCs w:val="21"/>
                    </w:rPr>
                    <w:t>甲醇装置</w:t>
                  </w:r>
                </w:p>
              </w:tc>
              <w:tc>
                <w:tcPr>
                  <w:tcW w:w="2920" w:type="pct"/>
                  <w:shd w:val="clear" w:color="auto" w:fill="FFFFFF"/>
                  <w:noWrap w:val="0"/>
                  <w:vAlign w:val="center"/>
                </w:tcPr>
                <w:p w14:paraId="18F01F80">
                  <w:pPr>
                    <w:rPr>
                      <w:rFonts w:eastAsia="宋体"/>
                      <w:sz w:val="21"/>
                      <w:szCs w:val="21"/>
                    </w:rPr>
                  </w:pPr>
                  <w:r>
                    <w:rPr>
                      <w:rFonts w:eastAsia="宋体"/>
                      <w:sz w:val="21"/>
                      <w:szCs w:val="21"/>
                    </w:rPr>
                    <w:t>生产规模100万t/a，主要设备：采用单系列材质和规格相同的2台甲醇合成塔，合成气/循环气为联合压缩机，该压缩机为离心式压缩机，采用全凝式蒸汽透平驱动，轴功率约14150KW</w:t>
                  </w:r>
                </w:p>
              </w:tc>
              <w:tc>
                <w:tcPr>
                  <w:tcW w:w="391" w:type="pct"/>
                  <w:shd w:val="clear" w:color="auto" w:fill="FFFFFF"/>
                  <w:noWrap w:val="0"/>
                  <w:vAlign w:val="center"/>
                </w:tcPr>
                <w:p w14:paraId="72B4A2C5">
                  <w:pPr>
                    <w:jc w:val="center"/>
                    <w:rPr>
                      <w:rFonts w:hint="eastAsia" w:eastAsia="宋体"/>
                      <w:sz w:val="21"/>
                      <w:szCs w:val="21"/>
                      <w:lang w:val="en-US" w:eastAsia="zh-CN"/>
                    </w:rPr>
                  </w:pPr>
                  <w:r>
                    <w:rPr>
                      <w:rFonts w:hint="eastAsia"/>
                      <w:sz w:val="21"/>
                      <w:szCs w:val="21"/>
                      <w:lang w:val="en-US" w:eastAsia="zh-CN"/>
                    </w:rPr>
                    <w:t>/</w:t>
                  </w:r>
                </w:p>
              </w:tc>
            </w:tr>
            <w:tr w14:paraId="1F63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7CBCADE">
                  <w:pPr>
                    <w:jc w:val="center"/>
                    <w:rPr>
                      <w:rFonts w:eastAsia="宋体"/>
                      <w:sz w:val="21"/>
                      <w:szCs w:val="21"/>
                    </w:rPr>
                  </w:pPr>
                </w:p>
              </w:tc>
              <w:tc>
                <w:tcPr>
                  <w:tcW w:w="503" w:type="pct"/>
                  <w:vMerge w:val="continue"/>
                  <w:shd w:val="clear" w:color="auto" w:fill="FFFFFF"/>
                  <w:noWrap w:val="0"/>
                  <w:vAlign w:val="center"/>
                </w:tcPr>
                <w:p w14:paraId="1E21FEC4">
                  <w:pPr>
                    <w:jc w:val="center"/>
                    <w:rPr>
                      <w:rFonts w:eastAsia="宋体"/>
                      <w:sz w:val="21"/>
                      <w:szCs w:val="21"/>
                    </w:rPr>
                  </w:pPr>
                </w:p>
              </w:tc>
              <w:tc>
                <w:tcPr>
                  <w:tcW w:w="833" w:type="pct"/>
                  <w:shd w:val="clear" w:color="auto" w:fill="FFFFFF"/>
                  <w:noWrap w:val="0"/>
                  <w:vAlign w:val="center"/>
                </w:tcPr>
                <w:p w14:paraId="23ADFED0">
                  <w:pPr>
                    <w:jc w:val="center"/>
                    <w:rPr>
                      <w:rFonts w:eastAsia="宋体"/>
                      <w:sz w:val="21"/>
                      <w:szCs w:val="21"/>
                    </w:rPr>
                  </w:pPr>
                  <w:r>
                    <w:rPr>
                      <w:rFonts w:eastAsia="宋体"/>
                      <w:sz w:val="21"/>
                      <w:szCs w:val="21"/>
                    </w:rPr>
                    <w:t>乙二醇装置</w:t>
                  </w:r>
                </w:p>
              </w:tc>
              <w:tc>
                <w:tcPr>
                  <w:tcW w:w="2920" w:type="pct"/>
                  <w:shd w:val="clear" w:color="auto" w:fill="FFFFFF"/>
                  <w:noWrap w:val="0"/>
                  <w:vAlign w:val="center"/>
                </w:tcPr>
                <w:p w14:paraId="6144E33A">
                  <w:pPr>
                    <w:rPr>
                      <w:rFonts w:eastAsia="宋体"/>
                      <w:sz w:val="21"/>
                      <w:szCs w:val="21"/>
                    </w:rPr>
                  </w:pPr>
                  <w:r>
                    <w:rPr>
                      <w:rFonts w:eastAsia="宋体"/>
                      <w:sz w:val="21"/>
                      <w:szCs w:val="21"/>
                    </w:rPr>
                    <w:t>生产规模20万t/a，主要设备：NO发生中和釜、NO转化器各1台，硝酸还原反应器2台，羰化反应器4台，酯化塔、加氢反应器、硝酸还原气提塔各2座（台），乙二醇精制塔、乙二醇回收塔、DMO精制塔各1座</w:t>
                  </w:r>
                </w:p>
              </w:tc>
              <w:tc>
                <w:tcPr>
                  <w:tcW w:w="391" w:type="pct"/>
                  <w:shd w:val="clear" w:color="auto" w:fill="FFFFFF"/>
                  <w:noWrap w:val="0"/>
                  <w:vAlign w:val="center"/>
                </w:tcPr>
                <w:p w14:paraId="120A071A">
                  <w:pPr>
                    <w:jc w:val="center"/>
                    <w:rPr>
                      <w:rFonts w:hint="eastAsia" w:eastAsia="宋体"/>
                      <w:sz w:val="21"/>
                      <w:szCs w:val="21"/>
                      <w:lang w:val="en-US" w:eastAsia="zh-CN"/>
                    </w:rPr>
                  </w:pPr>
                  <w:r>
                    <w:rPr>
                      <w:rFonts w:hint="eastAsia"/>
                      <w:sz w:val="21"/>
                      <w:szCs w:val="21"/>
                      <w:lang w:val="en-US" w:eastAsia="zh-CN"/>
                    </w:rPr>
                    <w:t>/</w:t>
                  </w:r>
                </w:p>
              </w:tc>
            </w:tr>
            <w:tr w14:paraId="2622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D3A1F7E">
                  <w:pPr>
                    <w:jc w:val="center"/>
                    <w:rPr>
                      <w:rFonts w:eastAsia="宋体"/>
                      <w:sz w:val="21"/>
                      <w:szCs w:val="21"/>
                    </w:rPr>
                  </w:pPr>
                </w:p>
              </w:tc>
              <w:tc>
                <w:tcPr>
                  <w:tcW w:w="503" w:type="pct"/>
                  <w:vMerge w:val="continue"/>
                  <w:shd w:val="clear" w:color="auto" w:fill="FFFFFF"/>
                  <w:noWrap w:val="0"/>
                  <w:vAlign w:val="center"/>
                </w:tcPr>
                <w:p w14:paraId="0A594377">
                  <w:pPr>
                    <w:jc w:val="center"/>
                    <w:rPr>
                      <w:rFonts w:eastAsia="宋体"/>
                      <w:sz w:val="21"/>
                      <w:szCs w:val="21"/>
                    </w:rPr>
                  </w:pPr>
                </w:p>
              </w:tc>
              <w:tc>
                <w:tcPr>
                  <w:tcW w:w="833" w:type="pct"/>
                  <w:shd w:val="clear" w:color="auto" w:fill="FFFFFF"/>
                  <w:noWrap w:val="0"/>
                  <w:vAlign w:val="center"/>
                </w:tcPr>
                <w:p w14:paraId="485D1D2A">
                  <w:pPr>
                    <w:jc w:val="center"/>
                    <w:rPr>
                      <w:rFonts w:eastAsia="宋体"/>
                      <w:sz w:val="21"/>
                      <w:szCs w:val="21"/>
                    </w:rPr>
                  </w:pPr>
                  <w:r>
                    <w:rPr>
                      <w:rFonts w:eastAsia="宋体"/>
                      <w:sz w:val="21"/>
                      <w:szCs w:val="21"/>
                    </w:rPr>
                    <w:t>醋酸装置</w:t>
                  </w:r>
                </w:p>
              </w:tc>
              <w:tc>
                <w:tcPr>
                  <w:tcW w:w="2920" w:type="pct"/>
                  <w:shd w:val="clear" w:color="auto" w:fill="FFFFFF"/>
                  <w:noWrap w:val="0"/>
                  <w:vAlign w:val="center"/>
                </w:tcPr>
                <w:p w14:paraId="66954BA5">
                  <w:pPr>
                    <w:rPr>
                      <w:rFonts w:hint="eastAsia" w:eastAsia="宋体"/>
                      <w:sz w:val="21"/>
                      <w:szCs w:val="21"/>
                      <w:lang w:eastAsia="zh-CN"/>
                    </w:rPr>
                  </w:pPr>
                  <w:r>
                    <w:rPr>
                      <w:rFonts w:eastAsia="宋体"/>
                      <w:sz w:val="21"/>
                      <w:szCs w:val="21"/>
                    </w:rPr>
                    <w:t>生产规模50万t/a，主要设备：V=150m</w:t>
                  </w:r>
                  <w:r>
                    <w:rPr>
                      <w:rFonts w:eastAsia="宋体"/>
                      <w:sz w:val="21"/>
                      <w:szCs w:val="21"/>
                      <w:vertAlign w:val="superscript"/>
                    </w:rPr>
                    <w:t>3</w:t>
                  </w:r>
                  <w:r>
                    <w:rPr>
                      <w:rFonts w:eastAsia="宋体"/>
                      <w:sz w:val="21"/>
                      <w:szCs w:val="21"/>
                    </w:rPr>
                    <w:t>反应器，低沸点物塔、醋酸水分离塔、精制塔、脱有机物塔</w:t>
                  </w:r>
                  <w:r>
                    <w:rPr>
                      <w:rFonts w:hint="eastAsia"/>
                      <w:sz w:val="21"/>
                      <w:szCs w:val="21"/>
                      <w:lang w:eastAsia="zh-CN"/>
                    </w:rPr>
                    <w:t>。（</w:t>
                  </w:r>
                  <w:r>
                    <w:rPr>
                      <w:rFonts w:hint="eastAsia"/>
                      <w:sz w:val="21"/>
                      <w:szCs w:val="21"/>
                      <w:lang w:val="en-US" w:eastAsia="zh-CN"/>
                    </w:rPr>
                    <w:t>于2025年经</w:t>
                  </w:r>
                  <w:r>
                    <w:rPr>
                      <w:rFonts w:hint="eastAsia"/>
                      <w:sz w:val="21"/>
                      <w:szCs w:val="21"/>
                      <w:lang w:eastAsia="zh-CN"/>
                    </w:rPr>
                    <w:t>醋酸提产项目</w:t>
                  </w:r>
                  <w:r>
                    <w:rPr>
                      <w:rFonts w:hint="eastAsia"/>
                      <w:sz w:val="21"/>
                      <w:szCs w:val="21"/>
                      <w:lang w:val="en-US" w:eastAsia="zh-CN"/>
                    </w:rPr>
                    <w:t>提产到70万t/a</w:t>
                  </w:r>
                  <w:r>
                    <w:rPr>
                      <w:rFonts w:hint="eastAsia"/>
                      <w:sz w:val="21"/>
                      <w:szCs w:val="21"/>
                      <w:lang w:eastAsia="zh-CN"/>
                    </w:rPr>
                    <w:t>）</w:t>
                  </w:r>
                </w:p>
              </w:tc>
              <w:tc>
                <w:tcPr>
                  <w:tcW w:w="391" w:type="pct"/>
                  <w:shd w:val="clear" w:color="auto" w:fill="FFFFFF"/>
                  <w:noWrap w:val="0"/>
                  <w:vAlign w:val="center"/>
                </w:tcPr>
                <w:p w14:paraId="0AC5D72A">
                  <w:pPr>
                    <w:jc w:val="center"/>
                    <w:rPr>
                      <w:rFonts w:hint="eastAsia" w:eastAsia="宋体"/>
                      <w:sz w:val="21"/>
                      <w:szCs w:val="21"/>
                      <w:lang w:val="en-US" w:eastAsia="zh-CN"/>
                    </w:rPr>
                  </w:pPr>
                  <w:r>
                    <w:rPr>
                      <w:rFonts w:hint="eastAsia"/>
                      <w:sz w:val="21"/>
                      <w:szCs w:val="21"/>
                      <w:lang w:val="en-US" w:eastAsia="zh-CN"/>
                    </w:rPr>
                    <w:t>/</w:t>
                  </w:r>
                </w:p>
              </w:tc>
            </w:tr>
            <w:tr w14:paraId="1572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C865FB2">
                  <w:pPr>
                    <w:jc w:val="center"/>
                    <w:rPr>
                      <w:rFonts w:eastAsia="宋体"/>
                      <w:sz w:val="21"/>
                      <w:szCs w:val="21"/>
                    </w:rPr>
                  </w:pPr>
                </w:p>
              </w:tc>
              <w:tc>
                <w:tcPr>
                  <w:tcW w:w="503" w:type="pct"/>
                  <w:vMerge w:val="restart"/>
                  <w:shd w:val="clear" w:color="auto" w:fill="FFFFFF"/>
                  <w:noWrap w:val="0"/>
                  <w:vAlign w:val="center"/>
                </w:tcPr>
                <w:p w14:paraId="238E274B">
                  <w:pPr>
                    <w:jc w:val="center"/>
                    <w:rPr>
                      <w:rFonts w:eastAsia="宋体"/>
                      <w:sz w:val="21"/>
                      <w:szCs w:val="21"/>
                    </w:rPr>
                  </w:pPr>
                  <w:r>
                    <w:rPr>
                      <w:rFonts w:eastAsia="宋体"/>
                      <w:sz w:val="21"/>
                      <w:szCs w:val="21"/>
                    </w:rPr>
                    <w:t>合成气</w:t>
                  </w:r>
                  <w:r>
                    <w:rPr>
                      <w:rFonts w:hint="eastAsia" w:eastAsia="宋体"/>
                      <w:sz w:val="21"/>
                      <w:szCs w:val="21"/>
                    </w:rPr>
                    <w:t>综合利用</w:t>
                  </w:r>
                </w:p>
              </w:tc>
              <w:tc>
                <w:tcPr>
                  <w:tcW w:w="833" w:type="pct"/>
                  <w:shd w:val="clear" w:color="auto" w:fill="FFFFFF"/>
                  <w:noWrap w:val="0"/>
                  <w:vAlign w:val="center"/>
                </w:tcPr>
                <w:p w14:paraId="69A7B236">
                  <w:pPr>
                    <w:jc w:val="center"/>
                    <w:rPr>
                      <w:rFonts w:eastAsia="宋体"/>
                      <w:sz w:val="21"/>
                      <w:szCs w:val="21"/>
                    </w:rPr>
                  </w:pPr>
                  <w:r>
                    <w:rPr>
                      <w:rFonts w:eastAsia="宋体"/>
                      <w:sz w:val="21"/>
                      <w:szCs w:val="21"/>
                    </w:rPr>
                    <w:t>CO深冷分离</w:t>
                  </w:r>
                </w:p>
                <w:p w14:paraId="628E538C">
                  <w:pPr>
                    <w:jc w:val="center"/>
                    <w:rPr>
                      <w:rFonts w:eastAsia="宋体"/>
                      <w:sz w:val="21"/>
                      <w:szCs w:val="21"/>
                    </w:rPr>
                  </w:pPr>
                  <w:r>
                    <w:rPr>
                      <w:rFonts w:eastAsia="宋体"/>
                      <w:sz w:val="21"/>
                      <w:szCs w:val="21"/>
                    </w:rPr>
                    <w:t>装置</w:t>
                  </w:r>
                </w:p>
              </w:tc>
              <w:tc>
                <w:tcPr>
                  <w:tcW w:w="2920" w:type="pct"/>
                  <w:shd w:val="clear" w:color="auto" w:fill="FFFFFF"/>
                  <w:noWrap w:val="0"/>
                  <w:vAlign w:val="center"/>
                </w:tcPr>
                <w:p w14:paraId="06C06637">
                  <w:pPr>
                    <w:rPr>
                      <w:rFonts w:eastAsia="宋体"/>
                      <w:sz w:val="21"/>
                      <w:szCs w:val="21"/>
                    </w:rPr>
                  </w:pPr>
                  <w:r>
                    <w:rPr>
                      <w:rFonts w:eastAsia="宋体"/>
                      <w:sz w:val="21"/>
                      <w:szCs w:val="21"/>
                    </w:rPr>
                    <w:t>采用深冷法提纯CO，主要设备：6277kW离心式高压CO压缩机1台、吸附器2台，预热器1台、气体冷却器1台、1台Ф2900×3000分离器、1台Ф3000×15300蒸馏塔</w:t>
                  </w:r>
                </w:p>
              </w:tc>
              <w:tc>
                <w:tcPr>
                  <w:tcW w:w="391" w:type="pct"/>
                  <w:shd w:val="clear" w:color="auto" w:fill="FFFFFF"/>
                  <w:noWrap w:val="0"/>
                  <w:vAlign w:val="center"/>
                </w:tcPr>
                <w:p w14:paraId="732E03FB">
                  <w:pPr>
                    <w:jc w:val="center"/>
                    <w:rPr>
                      <w:rFonts w:hint="eastAsia" w:eastAsia="宋体"/>
                      <w:sz w:val="21"/>
                      <w:szCs w:val="21"/>
                      <w:lang w:val="en-US" w:eastAsia="zh-CN"/>
                    </w:rPr>
                  </w:pPr>
                  <w:r>
                    <w:rPr>
                      <w:rFonts w:hint="eastAsia"/>
                      <w:sz w:val="21"/>
                      <w:szCs w:val="21"/>
                      <w:lang w:val="en-US" w:eastAsia="zh-CN"/>
                    </w:rPr>
                    <w:t>/</w:t>
                  </w:r>
                </w:p>
              </w:tc>
            </w:tr>
            <w:tr w14:paraId="46C4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E0AE0A4">
                  <w:pPr>
                    <w:jc w:val="center"/>
                    <w:rPr>
                      <w:rFonts w:eastAsia="宋体"/>
                      <w:sz w:val="21"/>
                      <w:szCs w:val="21"/>
                    </w:rPr>
                  </w:pPr>
                </w:p>
              </w:tc>
              <w:tc>
                <w:tcPr>
                  <w:tcW w:w="503" w:type="pct"/>
                  <w:vMerge w:val="continue"/>
                  <w:shd w:val="clear" w:color="auto" w:fill="FFFFFF"/>
                  <w:noWrap w:val="0"/>
                  <w:vAlign w:val="center"/>
                </w:tcPr>
                <w:p w14:paraId="5FEA3B99">
                  <w:pPr>
                    <w:jc w:val="center"/>
                    <w:rPr>
                      <w:rFonts w:eastAsia="宋体"/>
                      <w:sz w:val="21"/>
                      <w:szCs w:val="21"/>
                    </w:rPr>
                  </w:pPr>
                </w:p>
              </w:tc>
              <w:tc>
                <w:tcPr>
                  <w:tcW w:w="833" w:type="pct"/>
                  <w:shd w:val="clear" w:color="auto" w:fill="FFFFFF"/>
                  <w:noWrap w:val="0"/>
                  <w:vAlign w:val="center"/>
                </w:tcPr>
                <w:p w14:paraId="3D12DDD0">
                  <w:pPr>
                    <w:jc w:val="center"/>
                    <w:rPr>
                      <w:rFonts w:eastAsia="宋体"/>
                      <w:sz w:val="21"/>
                      <w:szCs w:val="21"/>
                    </w:rPr>
                  </w:pPr>
                  <w:r>
                    <w:rPr>
                      <w:rFonts w:eastAsia="宋体"/>
                      <w:sz w:val="21"/>
                      <w:szCs w:val="21"/>
                    </w:rPr>
                    <w:t>甲醇装置</w:t>
                  </w:r>
                </w:p>
              </w:tc>
              <w:tc>
                <w:tcPr>
                  <w:tcW w:w="2920" w:type="pct"/>
                  <w:shd w:val="clear" w:color="auto" w:fill="FFFFFF"/>
                  <w:noWrap w:val="0"/>
                  <w:vAlign w:val="center"/>
                </w:tcPr>
                <w:p w14:paraId="2E2DA790">
                  <w:pPr>
                    <w:rPr>
                      <w:rFonts w:eastAsia="宋体"/>
                      <w:sz w:val="21"/>
                      <w:szCs w:val="21"/>
                    </w:rPr>
                  </w:pPr>
                  <w:r>
                    <w:rPr>
                      <w:rFonts w:eastAsia="宋体"/>
                      <w:sz w:val="21"/>
                      <w:szCs w:val="21"/>
                    </w:rPr>
                    <w:t>生产规模100万t/a，采用Lurgi低压甲醇合成工艺，主要设备：列管式合成塔2座（44160×8000），蒸汽过热炉1台，预精馏塔、减压塔、加压塔、常压塔以及回收塔各1座</w:t>
                  </w:r>
                </w:p>
              </w:tc>
              <w:tc>
                <w:tcPr>
                  <w:tcW w:w="391" w:type="pct"/>
                  <w:shd w:val="clear" w:color="auto" w:fill="FFFFFF"/>
                  <w:noWrap w:val="0"/>
                  <w:vAlign w:val="center"/>
                </w:tcPr>
                <w:p w14:paraId="6E7E364E">
                  <w:pPr>
                    <w:jc w:val="center"/>
                    <w:rPr>
                      <w:rFonts w:hint="eastAsia" w:eastAsia="宋体"/>
                      <w:sz w:val="21"/>
                      <w:szCs w:val="21"/>
                      <w:lang w:val="en-US" w:eastAsia="zh-CN"/>
                    </w:rPr>
                  </w:pPr>
                  <w:r>
                    <w:rPr>
                      <w:rFonts w:hint="eastAsia"/>
                      <w:sz w:val="21"/>
                      <w:szCs w:val="21"/>
                      <w:lang w:val="en-US" w:eastAsia="zh-CN"/>
                    </w:rPr>
                    <w:t>/</w:t>
                  </w:r>
                </w:p>
              </w:tc>
            </w:tr>
            <w:tr w14:paraId="7C1E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E226216">
                  <w:pPr>
                    <w:jc w:val="center"/>
                    <w:rPr>
                      <w:rFonts w:eastAsia="宋体"/>
                      <w:sz w:val="21"/>
                      <w:szCs w:val="21"/>
                    </w:rPr>
                  </w:pPr>
                </w:p>
              </w:tc>
              <w:tc>
                <w:tcPr>
                  <w:tcW w:w="503" w:type="pct"/>
                  <w:vMerge w:val="continue"/>
                  <w:shd w:val="clear" w:color="auto" w:fill="FFFFFF"/>
                  <w:noWrap w:val="0"/>
                  <w:vAlign w:val="center"/>
                </w:tcPr>
                <w:p w14:paraId="02406C12">
                  <w:pPr>
                    <w:jc w:val="center"/>
                    <w:rPr>
                      <w:rFonts w:eastAsia="宋体"/>
                      <w:sz w:val="21"/>
                      <w:szCs w:val="21"/>
                    </w:rPr>
                  </w:pPr>
                </w:p>
              </w:tc>
              <w:tc>
                <w:tcPr>
                  <w:tcW w:w="833" w:type="pct"/>
                  <w:shd w:val="clear" w:color="auto" w:fill="FFFFFF"/>
                  <w:noWrap w:val="0"/>
                  <w:vAlign w:val="center"/>
                </w:tcPr>
                <w:p w14:paraId="2167A4A8">
                  <w:pPr>
                    <w:jc w:val="center"/>
                    <w:rPr>
                      <w:rFonts w:eastAsia="宋体"/>
                      <w:sz w:val="21"/>
                      <w:szCs w:val="21"/>
                    </w:rPr>
                  </w:pPr>
                  <w:r>
                    <w:rPr>
                      <w:rFonts w:eastAsia="宋体"/>
                      <w:sz w:val="21"/>
                      <w:szCs w:val="21"/>
                    </w:rPr>
                    <w:t>醋酸装置</w:t>
                  </w:r>
                </w:p>
              </w:tc>
              <w:tc>
                <w:tcPr>
                  <w:tcW w:w="2920" w:type="pct"/>
                  <w:shd w:val="clear" w:color="auto" w:fill="FFFFFF"/>
                  <w:noWrap w:val="0"/>
                  <w:vAlign w:val="center"/>
                </w:tcPr>
                <w:p w14:paraId="4CF4929A">
                  <w:pPr>
                    <w:rPr>
                      <w:rFonts w:eastAsia="宋体"/>
                      <w:sz w:val="21"/>
                      <w:szCs w:val="21"/>
                    </w:rPr>
                  </w:pPr>
                  <w:r>
                    <w:rPr>
                      <w:rFonts w:eastAsia="宋体"/>
                      <w:sz w:val="21"/>
                      <w:szCs w:val="21"/>
                    </w:rPr>
                    <w:t>生产规模70万t/a，主要设备：气液相釜式反应器（V=150 m</w:t>
                  </w:r>
                  <w:r>
                    <w:rPr>
                      <w:rFonts w:eastAsia="宋体"/>
                      <w:sz w:val="21"/>
                      <w:szCs w:val="21"/>
                      <w:vertAlign w:val="superscript"/>
                    </w:rPr>
                    <w:t>3</w:t>
                  </w:r>
                  <w:r>
                    <w:rPr>
                      <w:rFonts w:eastAsia="宋体"/>
                      <w:sz w:val="21"/>
                      <w:szCs w:val="21"/>
                    </w:rPr>
                    <w:t>），立式闪蒸器（V=110 m</w:t>
                  </w:r>
                  <w:r>
                    <w:rPr>
                      <w:rFonts w:eastAsia="宋体"/>
                      <w:sz w:val="21"/>
                      <w:szCs w:val="21"/>
                      <w:vertAlign w:val="superscript"/>
                    </w:rPr>
                    <w:t>3</w:t>
                  </w:r>
                  <w:r>
                    <w:rPr>
                      <w:rFonts w:eastAsia="宋体"/>
                      <w:sz w:val="21"/>
                      <w:szCs w:val="21"/>
                    </w:rPr>
                    <w:t>）、低沸点物塔、醋酸水分离塔等</w:t>
                  </w:r>
                  <w:r>
                    <w:rPr>
                      <w:rFonts w:hint="eastAsia" w:eastAsia="宋体"/>
                      <w:sz w:val="21"/>
                      <w:szCs w:val="21"/>
                    </w:rPr>
                    <w:t>（于2025年经醋酸提产项目提产到</w:t>
                  </w:r>
                  <w:r>
                    <w:rPr>
                      <w:rFonts w:hint="eastAsia"/>
                      <w:sz w:val="21"/>
                      <w:szCs w:val="21"/>
                      <w:lang w:val="en-US" w:eastAsia="zh-CN"/>
                    </w:rPr>
                    <w:t>98</w:t>
                  </w:r>
                  <w:r>
                    <w:rPr>
                      <w:rFonts w:hint="eastAsia" w:eastAsia="宋体"/>
                      <w:sz w:val="21"/>
                      <w:szCs w:val="21"/>
                    </w:rPr>
                    <w:t>万t/a）</w:t>
                  </w:r>
                </w:p>
              </w:tc>
              <w:tc>
                <w:tcPr>
                  <w:tcW w:w="391" w:type="pct"/>
                  <w:shd w:val="clear" w:color="auto" w:fill="FFFFFF"/>
                  <w:noWrap w:val="0"/>
                  <w:vAlign w:val="center"/>
                </w:tcPr>
                <w:p w14:paraId="2B6B80D2">
                  <w:pPr>
                    <w:jc w:val="center"/>
                    <w:rPr>
                      <w:rFonts w:hint="eastAsia" w:eastAsia="宋体"/>
                      <w:sz w:val="21"/>
                      <w:szCs w:val="21"/>
                      <w:lang w:val="en-US" w:eastAsia="zh-CN"/>
                    </w:rPr>
                  </w:pPr>
                  <w:r>
                    <w:rPr>
                      <w:rFonts w:hint="eastAsia"/>
                      <w:sz w:val="21"/>
                      <w:szCs w:val="21"/>
                      <w:lang w:val="en-US" w:eastAsia="zh-CN"/>
                    </w:rPr>
                    <w:t>/</w:t>
                  </w:r>
                </w:p>
              </w:tc>
            </w:tr>
            <w:tr w14:paraId="50AE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9B98529">
                  <w:pPr>
                    <w:jc w:val="center"/>
                    <w:rPr>
                      <w:rFonts w:eastAsia="宋体"/>
                      <w:sz w:val="21"/>
                      <w:szCs w:val="21"/>
                    </w:rPr>
                  </w:pPr>
                </w:p>
              </w:tc>
              <w:tc>
                <w:tcPr>
                  <w:tcW w:w="503" w:type="pct"/>
                  <w:shd w:val="clear" w:color="auto" w:fill="FFFFFF"/>
                  <w:noWrap w:val="0"/>
                  <w:vAlign w:val="center"/>
                </w:tcPr>
                <w:p w14:paraId="13134295">
                  <w:pPr>
                    <w:jc w:val="center"/>
                    <w:rPr>
                      <w:rFonts w:eastAsia="宋体"/>
                      <w:sz w:val="21"/>
                      <w:szCs w:val="21"/>
                    </w:rPr>
                  </w:pPr>
                  <w:r>
                    <w:rPr>
                      <w:rFonts w:hint="eastAsia" w:eastAsia="宋体"/>
                      <w:sz w:val="21"/>
                      <w:szCs w:val="21"/>
                    </w:rPr>
                    <w:t>氨回收</w:t>
                  </w:r>
                </w:p>
              </w:tc>
              <w:tc>
                <w:tcPr>
                  <w:tcW w:w="833" w:type="pct"/>
                  <w:shd w:val="clear" w:color="auto" w:fill="FFFFFF"/>
                  <w:noWrap w:val="0"/>
                  <w:vAlign w:val="center"/>
                </w:tcPr>
                <w:p w14:paraId="358701CA">
                  <w:pPr>
                    <w:jc w:val="center"/>
                    <w:rPr>
                      <w:rFonts w:eastAsia="宋体"/>
                      <w:sz w:val="21"/>
                      <w:szCs w:val="21"/>
                    </w:rPr>
                  </w:pPr>
                  <w:r>
                    <w:rPr>
                      <w:rFonts w:hint="eastAsia" w:eastAsia="宋体"/>
                      <w:sz w:val="21"/>
                      <w:szCs w:val="21"/>
                    </w:rPr>
                    <w:t>氨回收装置</w:t>
                  </w:r>
                </w:p>
              </w:tc>
              <w:tc>
                <w:tcPr>
                  <w:tcW w:w="2920" w:type="pct"/>
                  <w:shd w:val="clear" w:color="auto" w:fill="FFFFFF"/>
                  <w:noWrap w:val="0"/>
                  <w:vAlign w:val="center"/>
                </w:tcPr>
                <w:p w14:paraId="49564686">
                  <w:pPr>
                    <w:rPr>
                      <w:rFonts w:eastAsia="宋体"/>
                      <w:sz w:val="21"/>
                      <w:szCs w:val="21"/>
                    </w:rPr>
                  </w:pPr>
                  <w:r>
                    <w:rPr>
                      <w:rFonts w:hint="eastAsia" w:eastAsia="宋体"/>
                      <w:sz w:val="21"/>
                      <w:szCs w:val="21"/>
                    </w:rPr>
                    <w:t>位于工业气体岛项目变换装置区，氨回收工段总占地面积237.5m</w:t>
                  </w:r>
                  <w:r>
                    <w:rPr>
                      <w:rFonts w:hint="eastAsia" w:eastAsia="宋体"/>
                      <w:sz w:val="21"/>
                      <w:szCs w:val="21"/>
                      <w:vertAlign w:val="superscript"/>
                    </w:rPr>
                    <w:t>2</w:t>
                  </w:r>
                  <w:r>
                    <w:rPr>
                      <w:rFonts w:hint="eastAsia" w:eastAsia="宋体"/>
                      <w:sz w:val="21"/>
                      <w:szCs w:val="21"/>
                    </w:rPr>
                    <w:t>。构筑物为3层敞开式钢结构框架，1层为5m，2层为3m，3层为2.2m，总高为10.2m，采用混凝土地面，楼面采用格栅钢板。采用洗涤十蒸发汽化双塔工艺，建设有分解塔、换热器、蒸氨塔、氨吸收塔等设备</w:t>
                  </w:r>
                </w:p>
              </w:tc>
              <w:tc>
                <w:tcPr>
                  <w:tcW w:w="391" w:type="pct"/>
                  <w:shd w:val="clear" w:color="auto" w:fill="FFFFFF"/>
                  <w:noWrap w:val="0"/>
                  <w:vAlign w:val="center"/>
                </w:tcPr>
                <w:p w14:paraId="74F97E1B">
                  <w:pPr>
                    <w:jc w:val="center"/>
                    <w:rPr>
                      <w:rFonts w:hint="eastAsia" w:eastAsia="宋体"/>
                      <w:sz w:val="21"/>
                      <w:szCs w:val="21"/>
                      <w:lang w:val="en-US" w:eastAsia="zh-CN"/>
                    </w:rPr>
                  </w:pPr>
                  <w:r>
                    <w:rPr>
                      <w:rFonts w:hint="eastAsia"/>
                      <w:sz w:val="21"/>
                      <w:szCs w:val="21"/>
                      <w:lang w:val="en-US" w:eastAsia="zh-CN"/>
                    </w:rPr>
                    <w:t>/</w:t>
                  </w:r>
                </w:p>
              </w:tc>
            </w:tr>
            <w:tr w14:paraId="6329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3989033">
                  <w:pPr>
                    <w:jc w:val="center"/>
                    <w:rPr>
                      <w:rFonts w:eastAsia="宋体"/>
                      <w:sz w:val="21"/>
                      <w:szCs w:val="21"/>
                    </w:rPr>
                  </w:pPr>
                </w:p>
              </w:tc>
              <w:tc>
                <w:tcPr>
                  <w:tcW w:w="503" w:type="pct"/>
                  <w:shd w:val="clear" w:color="auto" w:fill="FFFFFF"/>
                  <w:noWrap w:val="0"/>
                  <w:vAlign w:val="center"/>
                </w:tcPr>
                <w:p w14:paraId="0FDFC2F2">
                  <w:pPr>
                    <w:jc w:val="center"/>
                    <w:rPr>
                      <w:rFonts w:hint="eastAsia" w:eastAsia="宋体"/>
                      <w:sz w:val="21"/>
                      <w:szCs w:val="21"/>
                    </w:rPr>
                  </w:pPr>
                  <w:r>
                    <w:rPr>
                      <w:rFonts w:hint="eastAsia" w:eastAsia="宋体"/>
                      <w:sz w:val="21"/>
                      <w:szCs w:val="21"/>
                    </w:rPr>
                    <w:t>DMC回收</w:t>
                  </w:r>
                </w:p>
              </w:tc>
              <w:tc>
                <w:tcPr>
                  <w:tcW w:w="833" w:type="pct"/>
                  <w:shd w:val="clear" w:color="auto" w:fill="FFFFFF"/>
                  <w:noWrap w:val="0"/>
                  <w:vAlign w:val="center"/>
                </w:tcPr>
                <w:p w14:paraId="09693293">
                  <w:pPr>
                    <w:jc w:val="center"/>
                    <w:rPr>
                      <w:rFonts w:hint="eastAsia" w:eastAsia="宋体"/>
                      <w:sz w:val="21"/>
                      <w:szCs w:val="21"/>
                    </w:rPr>
                  </w:pPr>
                  <w:r>
                    <w:rPr>
                      <w:rFonts w:hint="eastAsia" w:eastAsia="宋体"/>
                      <w:sz w:val="21"/>
                      <w:szCs w:val="21"/>
                    </w:rPr>
                    <w:t>DMC回收装置</w:t>
                  </w:r>
                </w:p>
              </w:tc>
              <w:tc>
                <w:tcPr>
                  <w:tcW w:w="2920" w:type="pct"/>
                  <w:shd w:val="clear" w:color="auto" w:fill="FFFFFF"/>
                  <w:noWrap w:val="0"/>
                  <w:vAlign w:val="center"/>
                </w:tcPr>
                <w:p w14:paraId="082C5641">
                  <w:pPr>
                    <w:rPr>
                      <w:rFonts w:hint="eastAsia" w:eastAsia="宋体"/>
                      <w:sz w:val="21"/>
                      <w:szCs w:val="21"/>
                    </w:rPr>
                  </w:pPr>
                  <w:r>
                    <w:rPr>
                      <w:rFonts w:hint="eastAsia" w:eastAsia="宋体"/>
                      <w:sz w:val="21"/>
                      <w:szCs w:val="21"/>
                    </w:rPr>
                    <w:t>在乙二醇生产装置新增一套副产DMC回收精制单元，主要设备包括4个精馏塔、30台泵、13个设备缓冲罐、19台换热器，对</w:t>
                  </w:r>
                  <w:r>
                    <w:rPr>
                      <w:rFonts w:eastAsia="宋体"/>
                      <w:sz w:val="21"/>
                      <w:szCs w:val="21"/>
                    </w:rPr>
                    <w:t>50DMC</w:t>
                  </w:r>
                  <w:r>
                    <w:rPr>
                      <w:rFonts w:hint="eastAsia" w:eastAsia="宋体"/>
                      <w:sz w:val="21"/>
                      <w:szCs w:val="21"/>
                    </w:rPr>
                    <w:t>和混合一元醇进行精馏提纯，得到优级品</w:t>
                  </w:r>
                  <w:r>
                    <w:rPr>
                      <w:rFonts w:eastAsia="宋体"/>
                      <w:sz w:val="21"/>
                      <w:szCs w:val="21"/>
                    </w:rPr>
                    <w:t>DMC</w:t>
                  </w:r>
                  <w:r>
                    <w:rPr>
                      <w:rFonts w:hint="eastAsia" w:eastAsia="宋体"/>
                      <w:sz w:val="21"/>
                      <w:szCs w:val="21"/>
                    </w:rPr>
                    <w:t>、高纯甲醇</w:t>
                  </w:r>
                </w:p>
              </w:tc>
              <w:tc>
                <w:tcPr>
                  <w:tcW w:w="391" w:type="pct"/>
                  <w:shd w:val="clear" w:color="auto" w:fill="FFFFFF"/>
                  <w:noWrap w:val="0"/>
                  <w:vAlign w:val="center"/>
                </w:tcPr>
                <w:p w14:paraId="1DC6C0C4">
                  <w:pPr>
                    <w:jc w:val="center"/>
                    <w:rPr>
                      <w:rFonts w:hint="eastAsia" w:eastAsia="宋体"/>
                      <w:sz w:val="21"/>
                      <w:szCs w:val="21"/>
                      <w:lang w:val="en-US" w:eastAsia="zh-CN"/>
                    </w:rPr>
                  </w:pPr>
                  <w:r>
                    <w:rPr>
                      <w:rFonts w:hint="eastAsia"/>
                      <w:sz w:val="21"/>
                      <w:szCs w:val="21"/>
                      <w:lang w:val="en-US" w:eastAsia="zh-CN"/>
                    </w:rPr>
                    <w:t>/</w:t>
                  </w:r>
                </w:p>
              </w:tc>
            </w:tr>
            <w:tr w14:paraId="0BC3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76E6781">
                  <w:pPr>
                    <w:jc w:val="center"/>
                    <w:rPr>
                      <w:rFonts w:eastAsia="宋体"/>
                      <w:sz w:val="21"/>
                      <w:szCs w:val="21"/>
                    </w:rPr>
                  </w:pPr>
                </w:p>
              </w:tc>
              <w:tc>
                <w:tcPr>
                  <w:tcW w:w="1336" w:type="pct"/>
                  <w:gridSpan w:val="2"/>
                  <w:shd w:val="clear" w:color="auto" w:fill="FFFFFF"/>
                  <w:noWrap w:val="0"/>
                  <w:vAlign w:val="center"/>
                </w:tcPr>
                <w:p w14:paraId="2052CB4B">
                  <w:pPr>
                    <w:jc w:val="center"/>
                    <w:rPr>
                      <w:rFonts w:hint="eastAsia" w:eastAsia="宋体"/>
                      <w:sz w:val="21"/>
                      <w:szCs w:val="21"/>
                    </w:rPr>
                  </w:pPr>
                  <w:r>
                    <w:rPr>
                      <w:rFonts w:hint="eastAsia" w:eastAsia="宋体"/>
                      <w:sz w:val="21"/>
                      <w:szCs w:val="21"/>
                    </w:rPr>
                    <w:t>华谊钦州创新中心科技研发楼</w:t>
                  </w:r>
                </w:p>
              </w:tc>
              <w:tc>
                <w:tcPr>
                  <w:tcW w:w="2920" w:type="pct"/>
                  <w:shd w:val="clear" w:color="auto" w:fill="FFFFFF"/>
                  <w:noWrap w:val="0"/>
                  <w:vAlign w:val="center"/>
                </w:tcPr>
                <w:p w14:paraId="27071FCB">
                  <w:pPr>
                    <w:rPr>
                      <w:rFonts w:hint="eastAsia" w:eastAsia="宋体"/>
                      <w:sz w:val="21"/>
                      <w:szCs w:val="21"/>
                    </w:rPr>
                  </w:pPr>
                  <w:r>
                    <w:rPr>
                      <w:rFonts w:hint="eastAsia" w:eastAsia="宋体"/>
                      <w:sz w:val="21"/>
                      <w:szCs w:val="21"/>
                    </w:rPr>
                    <w:t>新建3栋建筑单体，分别为1幢三层科技楼、1幢三层研发楼、1幢一层门卫室以及辅助设施（管廊、边界围栏等），项目建成后主要进行材料成型加工实验、模拟实验、小试合成实验，不进行生产、中试及以上规模的研发，不涉及P3、P4生物安全实验和转基因实验</w:t>
                  </w:r>
                </w:p>
              </w:tc>
              <w:tc>
                <w:tcPr>
                  <w:tcW w:w="391" w:type="pct"/>
                  <w:shd w:val="clear" w:color="auto" w:fill="FFFFFF"/>
                  <w:noWrap w:val="0"/>
                  <w:vAlign w:val="center"/>
                </w:tcPr>
                <w:p w14:paraId="0221EA09">
                  <w:pPr>
                    <w:jc w:val="center"/>
                    <w:rPr>
                      <w:rFonts w:hint="default"/>
                      <w:sz w:val="21"/>
                      <w:szCs w:val="21"/>
                      <w:lang w:val="en-US" w:eastAsia="zh-CN"/>
                    </w:rPr>
                  </w:pPr>
                  <w:r>
                    <w:rPr>
                      <w:rFonts w:hint="eastAsia"/>
                      <w:sz w:val="21"/>
                      <w:szCs w:val="21"/>
                      <w:lang w:val="en-US" w:eastAsia="zh-CN"/>
                    </w:rPr>
                    <w:t>/</w:t>
                  </w:r>
                </w:p>
              </w:tc>
            </w:tr>
            <w:tr w14:paraId="5705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5FD1466">
                  <w:pPr>
                    <w:jc w:val="center"/>
                    <w:rPr>
                      <w:rFonts w:eastAsia="宋体"/>
                      <w:sz w:val="21"/>
                      <w:szCs w:val="21"/>
                    </w:rPr>
                  </w:pPr>
                </w:p>
              </w:tc>
              <w:tc>
                <w:tcPr>
                  <w:tcW w:w="503" w:type="pct"/>
                  <w:shd w:val="clear" w:color="auto" w:fill="FFFFFF"/>
                  <w:noWrap w:val="0"/>
                  <w:vAlign w:val="center"/>
                </w:tcPr>
                <w:p w14:paraId="4BFDD390">
                  <w:pPr>
                    <w:jc w:val="center"/>
                    <w:rPr>
                      <w:rFonts w:hint="eastAsia" w:eastAsia="宋体"/>
                      <w:sz w:val="21"/>
                      <w:szCs w:val="21"/>
                    </w:rPr>
                  </w:pPr>
                  <w:r>
                    <w:rPr>
                      <w:rFonts w:hint="eastAsia" w:eastAsia="宋体"/>
                      <w:sz w:val="21"/>
                      <w:szCs w:val="21"/>
                    </w:rPr>
                    <w:t>醋酸提产项目</w:t>
                  </w:r>
                </w:p>
              </w:tc>
              <w:tc>
                <w:tcPr>
                  <w:tcW w:w="833" w:type="pct"/>
                  <w:shd w:val="clear" w:color="auto" w:fill="FFFFFF"/>
                  <w:noWrap w:val="0"/>
                  <w:vAlign w:val="center"/>
                </w:tcPr>
                <w:p w14:paraId="45CFE07F">
                  <w:pPr>
                    <w:jc w:val="center"/>
                    <w:rPr>
                      <w:rFonts w:hint="default" w:eastAsia="宋体"/>
                      <w:sz w:val="21"/>
                      <w:szCs w:val="21"/>
                      <w:lang w:val="en-US" w:eastAsia="zh-CN"/>
                    </w:rPr>
                  </w:pPr>
                  <w:r>
                    <w:rPr>
                      <w:rFonts w:hint="eastAsia"/>
                      <w:sz w:val="21"/>
                      <w:szCs w:val="21"/>
                      <w:lang w:val="en-US" w:eastAsia="zh-CN"/>
                    </w:rPr>
                    <w:t>醋酸装置</w:t>
                  </w:r>
                </w:p>
              </w:tc>
              <w:tc>
                <w:tcPr>
                  <w:tcW w:w="2920" w:type="pct"/>
                  <w:shd w:val="clear" w:color="auto" w:fill="FFFFFF"/>
                  <w:noWrap w:val="0"/>
                  <w:vAlign w:val="center"/>
                </w:tcPr>
                <w:p w14:paraId="2A531F4B">
                  <w:pPr>
                    <w:rPr>
                      <w:rFonts w:hint="eastAsia" w:eastAsia="宋体"/>
                      <w:sz w:val="21"/>
                      <w:szCs w:val="21"/>
                    </w:rPr>
                  </w:pPr>
                  <w:r>
                    <w:rPr>
                      <w:rFonts w:hint="eastAsia" w:eastAsia="宋体"/>
                      <w:sz w:val="21"/>
                      <w:szCs w:val="21"/>
                    </w:rPr>
                    <w:t>通过在醋酸装置改造反应器顶部冷量返回管道调节阀、新增余热回收设备、新增醋酸低沸点物塔塔中出料泵、更换2台醋酸水分离塔塔釜出料泵、改变反应器中参数和提高反应系统催化剂浓度等，将50万t/a醋酸装置（4#醋酸装置）产能提升至70万t/a、70万t/a醋酸装置（5#醋酸装置）产能提升至98万t/a</w:t>
                  </w:r>
                </w:p>
              </w:tc>
              <w:tc>
                <w:tcPr>
                  <w:tcW w:w="391" w:type="pct"/>
                  <w:shd w:val="clear" w:color="auto" w:fill="FFFFFF"/>
                  <w:noWrap w:val="0"/>
                  <w:vAlign w:val="center"/>
                </w:tcPr>
                <w:p w14:paraId="71C92218">
                  <w:pPr>
                    <w:jc w:val="center"/>
                    <w:rPr>
                      <w:rFonts w:hint="default"/>
                      <w:sz w:val="21"/>
                      <w:szCs w:val="21"/>
                      <w:lang w:val="en-US" w:eastAsia="zh-CN"/>
                    </w:rPr>
                  </w:pPr>
                  <w:r>
                    <w:rPr>
                      <w:rFonts w:hint="eastAsia"/>
                      <w:sz w:val="21"/>
                      <w:szCs w:val="21"/>
                      <w:lang w:val="en-US" w:eastAsia="zh-CN"/>
                    </w:rPr>
                    <w:t>/</w:t>
                  </w:r>
                </w:p>
              </w:tc>
            </w:tr>
            <w:tr w14:paraId="1609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26F6CF7">
                  <w:pPr>
                    <w:jc w:val="center"/>
                    <w:rPr>
                      <w:rFonts w:eastAsia="宋体"/>
                      <w:sz w:val="21"/>
                      <w:szCs w:val="21"/>
                    </w:rPr>
                  </w:pPr>
                </w:p>
              </w:tc>
              <w:tc>
                <w:tcPr>
                  <w:tcW w:w="503" w:type="pct"/>
                  <w:shd w:val="clear" w:color="auto" w:fill="FFFFFF"/>
                  <w:noWrap w:val="0"/>
                  <w:vAlign w:val="center"/>
                </w:tcPr>
                <w:p w14:paraId="30E85376">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rPr>
                    <w:t>气化细渣脱水干化扩产</w:t>
                  </w:r>
                  <w:r>
                    <w:rPr>
                      <w:rFonts w:hint="eastAsia"/>
                      <w:sz w:val="21"/>
                      <w:szCs w:val="21"/>
                      <w:lang w:val="en-US" w:eastAsia="zh-CN"/>
                    </w:rPr>
                    <w:t>二期</w:t>
                  </w:r>
                </w:p>
              </w:tc>
              <w:tc>
                <w:tcPr>
                  <w:tcW w:w="833" w:type="pct"/>
                  <w:shd w:val="clear" w:color="auto" w:fill="FFFFFF"/>
                  <w:noWrap w:val="0"/>
                  <w:vAlign w:val="center"/>
                </w:tcPr>
                <w:p w14:paraId="0C5345E0">
                  <w:pPr>
                    <w:jc w:val="center"/>
                    <w:rPr>
                      <w:rFonts w:hint="eastAsia" w:ascii="Times New Roman" w:hAnsi="Times New Roman" w:eastAsia="宋体" w:cs="Times New Roman"/>
                      <w:kern w:val="2"/>
                      <w:sz w:val="21"/>
                      <w:szCs w:val="21"/>
                      <w:lang w:val="en-US" w:eastAsia="zh-CN" w:bidi="ar-SA"/>
                    </w:rPr>
                  </w:pPr>
                  <w:r>
                    <w:rPr>
                      <w:rFonts w:eastAsia="宋体"/>
                      <w:sz w:val="21"/>
                      <w:szCs w:val="21"/>
                    </w:rPr>
                    <w:t>气化细渣脱水干化</w:t>
                  </w:r>
                </w:p>
              </w:tc>
              <w:tc>
                <w:tcPr>
                  <w:tcW w:w="2920" w:type="pct"/>
                  <w:shd w:val="clear" w:color="auto" w:fill="FFFFFF"/>
                  <w:noWrap w:val="0"/>
                  <w:vAlign w:val="center"/>
                </w:tcPr>
                <w:p w14:paraId="344B2DC1">
                  <w:pPr>
                    <w:rPr>
                      <w:rFonts w:hint="eastAsia" w:ascii="Times New Roman" w:hAnsi="Times New Roman" w:eastAsia="宋体" w:cs="Times New Roman"/>
                      <w:kern w:val="2"/>
                      <w:sz w:val="21"/>
                      <w:szCs w:val="21"/>
                      <w:lang w:val="en-US" w:eastAsia="zh-CN" w:bidi="ar-SA"/>
                    </w:rPr>
                  </w:pPr>
                  <w:r>
                    <w:rPr>
                      <w:rFonts w:hint="eastAsia" w:eastAsia="宋体"/>
                      <w:sz w:val="21"/>
                      <w:szCs w:val="21"/>
                    </w:rPr>
                    <w:t>在板框压滤机框架预留区内，增加2台压滤机，单台处理能力为5t/h（干基），将气化</w:t>
                  </w:r>
                  <w:r>
                    <w:rPr>
                      <w:rFonts w:eastAsia="宋体"/>
                      <w:sz w:val="21"/>
                      <w:szCs w:val="21"/>
                    </w:rPr>
                    <w:t>细渣</w:t>
                  </w:r>
                  <w:r>
                    <w:rPr>
                      <w:rFonts w:hint="eastAsia" w:eastAsia="宋体"/>
                      <w:sz w:val="21"/>
                      <w:szCs w:val="21"/>
                    </w:rPr>
                    <w:t>的</w:t>
                  </w:r>
                  <w:r>
                    <w:rPr>
                      <w:rFonts w:eastAsia="宋体"/>
                      <w:sz w:val="21"/>
                      <w:szCs w:val="21"/>
                    </w:rPr>
                    <w:t>含水率</w:t>
                  </w:r>
                  <w:r>
                    <w:rPr>
                      <w:rFonts w:hint="eastAsia" w:eastAsia="宋体"/>
                      <w:sz w:val="21"/>
                      <w:szCs w:val="21"/>
                    </w:rPr>
                    <w:t>从</w:t>
                  </w:r>
                  <w:r>
                    <w:rPr>
                      <w:rFonts w:eastAsia="宋体"/>
                      <w:sz w:val="21"/>
                      <w:szCs w:val="21"/>
                    </w:rPr>
                    <w:t>80%</w:t>
                  </w:r>
                  <w:r>
                    <w:rPr>
                      <w:rFonts w:hint="eastAsia" w:eastAsia="宋体"/>
                      <w:sz w:val="21"/>
                      <w:szCs w:val="21"/>
                    </w:rPr>
                    <w:t>降低至</w:t>
                  </w:r>
                  <w:r>
                    <w:rPr>
                      <w:rFonts w:eastAsia="宋体"/>
                      <w:sz w:val="21"/>
                      <w:szCs w:val="21"/>
                    </w:rPr>
                    <w:t xml:space="preserve"> </w:t>
                  </w:r>
                  <w:r>
                    <w:rPr>
                      <w:rFonts w:hint="eastAsia"/>
                      <w:sz w:val="21"/>
                      <w:szCs w:val="21"/>
                      <w:lang w:val="en-US" w:eastAsia="zh-CN"/>
                    </w:rPr>
                    <w:t>35</w:t>
                  </w:r>
                  <w:r>
                    <w:rPr>
                      <w:rFonts w:eastAsia="宋体"/>
                      <w:sz w:val="21"/>
                      <w:szCs w:val="21"/>
                    </w:rPr>
                    <w:t>%</w:t>
                  </w:r>
                  <w:r>
                    <w:rPr>
                      <w:rFonts w:hint="eastAsia" w:eastAsia="宋体"/>
                      <w:sz w:val="21"/>
                      <w:szCs w:val="21"/>
                    </w:rPr>
                    <w:t>，</w:t>
                  </w:r>
                  <w:r>
                    <w:rPr>
                      <w:rFonts w:eastAsia="宋体"/>
                      <w:sz w:val="21"/>
                      <w:szCs w:val="21"/>
                    </w:rPr>
                    <w:t>直接装车送至第三方进行综合利用</w:t>
                  </w:r>
                </w:p>
              </w:tc>
              <w:tc>
                <w:tcPr>
                  <w:tcW w:w="391" w:type="pct"/>
                  <w:shd w:val="clear" w:color="auto" w:fill="FFFFFF"/>
                  <w:noWrap w:val="0"/>
                  <w:vAlign w:val="center"/>
                </w:tcPr>
                <w:p w14:paraId="0DF06A6F">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r>
            <w:tr w14:paraId="18B7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6C27378">
                  <w:pPr>
                    <w:jc w:val="center"/>
                    <w:rPr>
                      <w:rFonts w:eastAsia="宋体"/>
                      <w:sz w:val="21"/>
                      <w:szCs w:val="21"/>
                    </w:rPr>
                  </w:pPr>
                </w:p>
              </w:tc>
              <w:tc>
                <w:tcPr>
                  <w:tcW w:w="503" w:type="pct"/>
                  <w:shd w:val="clear" w:color="auto" w:fill="FFFFFF"/>
                  <w:noWrap w:val="0"/>
                  <w:vAlign w:val="center"/>
                </w:tcPr>
                <w:p w14:paraId="479468E9">
                  <w:pPr>
                    <w:jc w:val="center"/>
                    <w:rPr>
                      <w:rFonts w:hint="eastAsia" w:ascii="Times New Roman" w:hAnsi="Times New Roman" w:eastAsia="宋体" w:cs="Times New Roman"/>
                      <w:kern w:val="2"/>
                      <w:sz w:val="21"/>
                      <w:szCs w:val="21"/>
                      <w:lang w:val="en-US" w:eastAsia="zh-CN" w:bidi="ar-SA"/>
                    </w:rPr>
                  </w:pPr>
                  <w:r>
                    <w:rPr>
                      <w:rFonts w:hint="eastAsia" w:eastAsia="宋体"/>
                      <w:kern w:val="0"/>
                      <w:sz w:val="21"/>
                      <w:szCs w:val="21"/>
                    </w:rPr>
                    <w:t>22万吨/年草酸项目</w:t>
                  </w:r>
                </w:p>
              </w:tc>
              <w:tc>
                <w:tcPr>
                  <w:tcW w:w="833" w:type="pct"/>
                  <w:shd w:val="clear" w:color="auto" w:fill="FFFFFF"/>
                  <w:noWrap w:val="0"/>
                  <w:vAlign w:val="center"/>
                </w:tcPr>
                <w:p w14:paraId="4A250507">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22万吨/年草酸生产装置</w:t>
                  </w:r>
                </w:p>
              </w:tc>
              <w:tc>
                <w:tcPr>
                  <w:tcW w:w="2920" w:type="pct"/>
                  <w:shd w:val="clear" w:color="auto" w:fill="FFFFFF"/>
                  <w:noWrap w:val="0"/>
                  <w:vAlign w:val="center"/>
                </w:tcPr>
                <w:p w14:paraId="664401CD">
                  <w:pPr>
                    <w:rPr>
                      <w:rFonts w:hint="eastAsia" w:ascii="Times New Roman" w:hAnsi="Times New Roman" w:eastAsia="宋体" w:cs="Times New Roman"/>
                      <w:kern w:val="2"/>
                      <w:sz w:val="21"/>
                      <w:szCs w:val="21"/>
                      <w:lang w:val="en-US" w:eastAsia="zh-CN" w:bidi="ar-SA"/>
                    </w:rPr>
                  </w:pPr>
                  <w:r>
                    <w:rPr>
                      <w:rFonts w:hint="eastAsia" w:eastAsia="宋体"/>
                      <w:sz w:val="21"/>
                      <w:szCs w:val="21"/>
                    </w:rPr>
                    <w:t>布置</w:t>
                  </w:r>
                  <w:r>
                    <w:rPr>
                      <w:rFonts w:eastAsia="宋体"/>
                      <w:sz w:val="21"/>
                      <w:szCs w:val="21"/>
                    </w:rPr>
                    <w:t>2</w:t>
                  </w:r>
                  <w:r>
                    <w:rPr>
                      <w:rFonts w:hint="eastAsia" w:eastAsia="宋体"/>
                      <w:sz w:val="21"/>
                      <w:szCs w:val="21"/>
                    </w:rPr>
                    <w:t>2万吨</w:t>
                  </w:r>
                  <w:r>
                    <w:rPr>
                      <w:rFonts w:eastAsia="宋体"/>
                      <w:sz w:val="21"/>
                      <w:szCs w:val="21"/>
                    </w:rPr>
                    <w:t>/</w:t>
                  </w:r>
                  <w:r>
                    <w:rPr>
                      <w:rFonts w:hint="eastAsia" w:eastAsia="宋体"/>
                      <w:sz w:val="21"/>
                      <w:szCs w:val="21"/>
                    </w:rPr>
                    <w:t>年草酸生产装置，由草酸二甲酯水解反应单元（包括甲醇回收）、连续结晶单元、过滤及干燥单元、产品包装单元以及产品短存库组成</w:t>
                  </w:r>
                </w:p>
              </w:tc>
              <w:tc>
                <w:tcPr>
                  <w:tcW w:w="391" w:type="pct"/>
                  <w:shd w:val="clear" w:color="auto" w:fill="FFFFFF"/>
                  <w:noWrap w:val="0"/>
                  <w:vAlign w:val="center"/>
                </w:tcPr>
                <w:p w14:paraId="48FF7E7D">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r>
            <w:tr w14:paraId="2F89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restart"/>
                  <w:shd w:val="clear" w:color="auto" w:fill="FFFFFF"/>
                  <w:noWrap w:val="0"/>
                  <w:vAlign w:val="center"/>
                </w:tcPr>
                <w:p w14:paraId="531B6FAD">
                  <w:pPr>
                    <w:jc w:val="center"/>
                    <w:rPr>
                      <w:rFonts w:eastAsia="宋体"/>
                      <w:sz w:val="21"/>
                      <w:szCs w:val="21"/>
                    </w:rPr>
                  </w:pPr>
                  <w:r>
                    <w:rPr>
                      <w:rFonts w:eastAsia="宋体"/>
                      <w:sz w:val="21"/>
                      <w:szCs w:val="21"/>
                    </w:rPr>
                    <w:t>公辅</w:t>
                  </w:r>
                </w:p>
                <w:p w14:paraId="5DC1E7F4">
                  <w:pPr>
                    <w:jc w:val="center"/>
                    <w:rPr>
                      <w:rFonts w:eastAsia="宋体"/>
                      <w:sz w:val="21"/>
                      <w:szCs w:val="21"/>
                    </w:rPr>
                  </w:pPr>
                  <w:r>
                    <w:rPr>
                      <w:rFonts w:eastAsia="宋体"/>
                      <w:sz w:val="21"/>
                      <w:szCs w:val="21"/>
                    </w:rPr>
                    <w:t>工程</w:t>
                  </w:r>
                </w:p>
              </w:tc>
              <w:tc>
                <w:tcPr>
                  <w:tcW w:w="503" w:type="pct"/>
                  <w:vMerge w:val="restart"/>
                  <w:shd w:val="clear" w:color="auto" w:fill="FFFFFF"/>
                  <w:noWrap w:val="0"/>
                  <w:vAlign w:val="center"/>
                </w:tcPr>
                <w:p w14:paraId="32518861">
                  <w:pPr>
                    <w:jc w:val="center"/>
                    <w:rPr>
                      <w:rFonts w:eastAsia="宋体"/>
                      <w:sz w:val="21"/>
                      <w:szCs w:val="21"/>
                    </w:rPr>
                  </w:pPr>
                  <w:r>
                    <w:rPr>
                      <w:rFonts w:eastAsia="宋体"/>
                      <w:sz w:val="21"/>
                      <w:szCs w:val="21"/>
                    </w:rPr>
                    <w:t>循环</w:t>
                  </w:r>
                </w:p>
                <w:p w14:paraId="74D36C49">
                  <w:pPr>
                    <w:jc w:val="center"/>
                    <w:rPr>
                      <w:rFonts w:eastAsia="宋体"/>
                      <w:sz w:val="21"/>
                      <w:szCs w:val="21"/>
                    </w:rPr>
                  </w:pPr>
                  <w:r>
                    <w:rPr>
                      <w:rFonts w:eastAsia="宋体"/>
                      <w:sz w:val="21"/>
                      <w:szCs w:val="21"/>
                    </w:rPr>
                    <w:t>水场</w:t>
                  </w:r>
                </w:p>
              </w:tc>
              <w:tc>
                <w:tcPr>
                  <w:tcW w:w="833" w:type="pct"/>
                  <w:shd w:val="clear" w:color="auto" w:fill="FFFFFF"/>
                  <w:noWrap w:val="0"/>
                  <w:vAlign w:val="center"/>
                </w:tcPr>
                <w:p w14:paraId="456707C7">
                  <w:pPr>
                    <w:jc w:val="center"/>
                    <w:rPr>
                      <w:rFonts w:eastAsia="宋体"/>
                      <w:sz w:val="21"/>
                      <w:szCs w:val="21"/>
                    </w:rPr>
                  </w:pPr>
                  <w:r>
                    <w:rPr>
                      <w:rFonts w:eastAsia="宋体"/>
                      <w:sz w:val="21"/>
                      <w:szCs w:val="21"/>
                    </w:rPr>
                    <w:t>1</w:t>
                  </w:r>
                  <w:r>
                    <w:rPr>
                      <w:rFonts w:eastAsia="宋体"/>
                      <w:sz w:val="21"/>
                      <w:szCs w:val="21"/>
                      <w:vertAlign w:val="superscript"/>
                    </w:rPr>
                    <w:t>#</w:t>
                  </w:r>
                  <w:r>
                    <w:rPr>
                      <w:rFonts w:eastAsia="宋体"/>
                      <w:sz w:val="21"/>
                      <w:szCs w:val="21"/>
                    </w:rPr>
                    <w:t>循环水场</w:t>
                  </w:r>
                </w:p>
              </w:tc>
              <w:tc>
                <w:tcPr>
                  <w:tcW w:w="2920" w:type="pct"/>
                  <w:shd w:val="clear" w:color="auto" w:fill="FFFFFF"/>
                  <w:noWrap w:val="0"/>
                  <w:vAlign w:val="center"/>
                </w:tcPr>
                <w:p w14:paraId="4E55F745">
                  <w:pPr>
                    <w:rPr>
                      <w:rFonts w:eastAsia="宋体"/>
                      <w:sz w:val="21"/>
                      <w:szCs w:val="21"/>
                    </w:rPr>
                  </w:pPr>
                  <w:r>
                    <w:rPr>
                      <w:rFonts w:eastAsia="宋体"/>
                      <w:sz w:val="21"/>
                      <w:szCs w:val="21"/>
                    </w:rPr>
                    <w:t>建设规模：13×5000m</w:t>
                  </w:r>
                  <w:r>
                    <w:rPr>
                      <w:rFonts w:eastAsia="宋体"/>
                      <w:sz w:val="21"/>
                      <w:szCs w:val="21"/>
                      <w:vertAlign w:val="superscript"/>
                    </w:rPr>
                    <w:t>3</w:t>
                  </w:r>
                  <w:r>
                    <w:rPr>
                      <w:rFonts w:eastAsia="宋体"/>
                      <w:sz w:val="21"/>
                      <w:szCs w:val="21"/>
                    </w:rPr>
                    <w:t>，主要供应煤气化、净化、甲醇等装置</w:t>
                  </w:r>
                </w:p>
              </w:tc>
              <w:tc>
                <w:tcPr>
                  <w:tcW w:w="391" w:type="pct"/>
                  <w:vMerge w:val="restart"/>
                  <w:shd w:val="clear" w:color="auto" w:fill="FFFFFF"/>
                  <w:noWrap w:val="0"/>
                  <w:vAlign w:val="center"/>
                </w:tcPr>
                <w:p w14:paraId="3BBF39F9">
                  <w:pPr>
                    <w:jc w:val="center"/>
                    <w:rPr>
                      <w:rFonts w:eastAsia="宋体"/>
                      <w:sz w:val="21"/>
                      <w:szCs w:val="21"/>
                    </w:rPr>
                  </w:pPr>
                  <w:r>
                    <w:rPr>
                      <w:rFonts w:eastAsia="宋体"/>
                      <w:sz w:val="21"/>
                      <w:szCs w:val="21"/>
                    </w:rPr>
                    <w:t>依托</w:t>
                  </w:r>
                  <w:r>
                    <w:rPr>
                      <w:rFonts w:hint="eastAsia" w:eastAsia="宋体"/>
                      <w:sz w:val="21"/>
                      <w:szCs w:val="21"/>
                    </w:rPr>
                    <w:t>广西</w:t>
                  </w:r>
                </w:p>
                <w:p w14:paraId="2CFEEDC8">
                  <w:pPr>
                    <w:jc w:val="center"/>
                    <w:rPr>
                      <w:rFonts w:eastAsia="宋体"/>
                      <w:sz w:val="21"/>
                      <w:szCs w:val="21"/>
                    </w:rPr>
                  </w:pPr>
                  <w:r>
                    <w:rPr>
                      <w:rFonts w:eastAsia="宋体"/>
                      <w:sz w:val="21"/>
                      <w:szCs w:val="21"/>
                    </w:rPr>
                    <w:t>天宜</w:t>
                  </w:r>
                  <w:r>
                    <w:rPr>
                      <w:rFonts w:hint="eastAsia" w:eastAsia="宋体"/>
                      <w:sz w:val="21"/>
                      <w:szCs w:val="21"/>
                    </w:rPr>
                    <w:t>环境</w:t>
                  </w:r>
                </w:p>
              </w:tc>
            </w:tr>
            <w:tr w14:paraId="4AA9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2A63D0D">
                  <w:pPr>
                    <w:jc w:val="center"/>
                    <w:rPr>
                      <w:rFonts w:eastAsia="宋体"/>
                      <w:sz w:val="21"/>
                      <w:szCs w:val="21"/>
                    </w:rPr>
                  </w:pPr>
                </w:p>
              </w:tc>
              <w:tc>
                <w:tcPr>
                  <w:tcW w:w="503" w:type="pct"/>
                  <w:vMerge w:val="continue"/>
                  <w:shd w:val="clear" w:color="auto" w:fill="FFFFFF"/>
                  <w:noWrap w:val="0"/>
                  <w:vAlign w:val="center"/>
                </w:tcPr>
                <w:p w14:paraId="4AE5C593">
                  <w:pPr>
                    <w:rPr>
                      <w:rFonts w:eastAsia="宋体"/>
                      <w:sz w:val="21"/>
                      <w:szCs w:val="21"/>
                    </w:rPr>
                  </w:pPr>
                </w:p>
              </w:tc>
              <w:tc>
                <w:tcPr>
                  <w:tcW w:w="833" w:type="pct"/>
                  <w:shd w:val="clear" w:color="auto" w:fill="FFFFFF"/>
                  <w:noWrap w:val="0"/>
                  <w:vAlign w:val="center"/>
                </w:tcPr>
                <w:p w14:paraId="618EC7E6">
                  <w:pPr>
                    <w:jc w:val="center"/>
                    <w:rPr>
                      <w:rFonts w:eastAsia="宋体"/>
                      <w:sz w:val="21"/>
                      <w:szCs w:val="21"/>
                    </w:rPr>
                  </w:pPr>
                  <w:r>
                    <w:rPr>
                      <w:rFonts w:eastAsia="宋体"/>
                      <w:sz w:val="21"/>
                      <w:szCs w:val="21"/>
                    </w:rPr>
                    <w:t>2</w:t>
                  </w:r>
                  <w:r>
                    <w:rPr>
                      <w:rFonts w:eastAsia="宋体"/>
                      <w:sz w:val="21"/>
                      <w:szCs w:val="21"/>
                      <w:vertAlign w:val="superscript"/>
                    </w:rPr>
                    <w:t>#</w:t>
                  </w:r>
                  <w:r>
                    <w:rPr>
                      <w:rFonts w:eastAsia="宋体"/>
                      <w:sz w:val="21"/>
                      <w:szCs w:val="21"/>
                    </w:rPr>
                    <w:t>循环水场</w:t>
                  </w:r>
                </w:p>
              </w:tc>
              <w:tc>
                <w:tcPr>
                  <w:tcW w:w="2920" w:type="pct"/>
                  <w:shd w:val="clear" w:color="auto" w:fill="FFFFFF"/>
                  <w:noWrap w:val="0"/>
                  <w:vAlign w:val="center"/>
                </w:tcPr>
                <w:p w14:paraId="4AEE6727">
                  <w:pPr>
                    <w:rPr>
                      <w:rFonts w:eastAsia="宋体"/>
                      <w:sz w:val="21"/>
                      <w:szCs w:val="21"/>
                    </w:rPr>
                  </w:pPr>
                  <w:r>
                    <w:rPr>
                      <w:rFonts w:eastAsia="宋体"/>
                      <w:sz w:val="21"/>
                      <w:szCs w:val="21"/>
                    </w:rPr>
                    <w:t>建设规模：13×5000m</w:t>
                  </w:r>
                  <w:r>
                    <w:rPr>
                      <w:rFonts w:eastAsia="宋体"/>
                      <w:sz w:val="21"/>
                      <w:szCs w:val="21"/>
                      <w:vertAlign w:val="superscript"/>
                    </w:rPr>
                    <w:t>3</w:t>
                  </w:r>
                  <w:r>
                    <w:rPr>
                      <w:rFonts w:eastAsia="宋体"/>
                      <w:sz w:val="21"/>
                      <w:szCs w:val="21"/>
                    </w:rPr>
                    <w:t>，主要供应醋酸和乙二醇装置</w:t>
                  </w:r>
                </w:p>
              </w:tc>
              <w:tc>
                <w:tcPr>
                  <w:tcW w:w="391" w:type="pct"/>
                  <w:vMerge w:val="continue"/>
                  <w:shd w:val="clear" w:color="auto" w:fill="FFFFFF"/>
                  <w:noWrap w:val="0"/>
                  <w:vAlign w:val="center"/>
                </w:tcPr>
                <w:p w14:paraId="4BA73640">
                  <w:pPr>
                    <w:jc w:val="center"/>
                    <w:rPr>
                      <w:rFonts w:eastAsia="宋体"/>
                      <w:sz w:val="21"/>
                      <w:szCs w:val="21"/>
                    </w:rPr>
                  </w:pPr>
                </w:p>
              </w:tc>
            </w:tr>
            <w:tr w14:paraId="2F5F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B88CBD2">
                  <w:pPr>
                    <w:jc w:val="center"/>
                    <w:rPr>
                      <w:rFonts w:eastAsia="宋体"/>
                      <w:sz w:val="21"/>
                      <w:szCs w:val="21"/>
                    </w:rPr>
                  </w:pPr>
                </w:p>
              </w:tc>
              <w:tc>
                <w:tcPr>
                  <w:tcW w:w="1336" w:type="pct"/>
                  <w:gridSpan w:val="2"/>
                  <w:shd w:val="clear" w:color="auto" w:fill="FFFFFF"/>
                  <w:noWrap w:val="0"/>
                  <w:vAlign w:val="center"/>
                </w:tcPr>
                <w:p w14:paraId="411DDFE5">
                  <w:pPr>
                    <w:jc w:val="center"/>
                    <w:rPr>
                      <w:rFonts w:eastAsia="宋体"/>
                      <w:sz w:val="21"/>
                      <w:szCs w:val="21"/>
                    </w:rPr>
                  </w:pPr>
                  <w:r>
                    <w:rPr>
                      <w:rFonts w:eastAsia="宋体"/>
                      <w:sz w:val="21"/>
                      <w:szCs w:val="21"/>
                    </w:rPr>
                    <w:t>办公辅助</w:t>
                  </w:r>
                </w:p>
              </w:tc>
              <w:tc>
                <w:tcPr>
                  <w:tcW w:w="2920" w:type="pct"/>
                  <w:shd w:val="clear" w:color="auto" w:fill="FFFFFF"/>
                  <w:noWrap w:val="0"/>
                  <w:vAlign w:val="center"/>
                </w:tcPr>
                <w:p w14:paraId="2552BA68">
                  <w:pPr>
                    <w:rPr>
                      <w:rFonts w:eastAsia="宋体"/>
                      <w:sz w:val="21"/>
                      <w:szCs w:val="21"/>
                    </w:rPr>
                  </w:pPr>
                  <w:r>
                    <w:rPr>
                      <w:rFonts w:eastAsia="宋体"/>
                      <w:sz w:val="21"/>
                      <w:szCs w:val="21"/>
                    </w:rPr>
                    <w:t>综合楼、办公辅楼、中央控制室、中心化验室、生活服务中心、餐厅、训练场地等</w:t>
                  </w:r>
                </w:p>
              </w:tc>
              <w:tc>
                <w:tcPr>
                  <w:tcW w:w="391" w:type="pct"/>
                  <w:shd w:val="clear" w:color="auto" w:fill="FFFFFF"/>
                  <w:noWrap w:val="0"/>
                  <w:vAlign w:val="center"/>
                </w:tcPr>
                <w:p w14:paraId="629EC9A0">
                  <w:pPr>
                    <w:jc w:val="center"/>
                    <w:rPr>
                      <w:rFonts w:eastAsia="宋体"/>
                      <w:sz w:val="21"/>
                      <w:szCs w:val="21"/>
                    </w:rPr>
                  </w:pPr>
                </w:p>
              </w:tc>
            </w:tr>
            <w:tr w14:paraId="2A17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7AC851C">
                  <w:pPr>
                    <w:jc w:val="center"/>
                    <w:rPr>
                      <w:rFonts w:eastAsia="宋体"/>
                      <w:sz w:val="21"/>
                      <w:szCs w:val="21"/>
                    </w:rPr>
                  </w:pPr>
                </w:p>
              </w:tc>
              <w:tc>
                <w:tcPr>
                  <w:tcW w:w="1336" w:type="pct"/>
                  <w:gridSpan w:val="2"/>
                  <w:shd w:val="clear" w:color="auto" w:fill="FFFFFF"/>
                  <w:noWrap w:val="0"/>
                  <w:vAlign w:val="center"/>
                </w:tcPr>
                <w:p w14:paraId="4F3AE559">
                  <w:pPr>
                    <w:jc w:val="center"/>
                    <w:rPr>
                      <w:rFonts w:eastAsia="宋体"/>
                      <w:sz w:val="21"/>
                      <w:szCs w:val="21"/>
                    </w:rPr>
                  </w:pPr>
                  <w:r>
                    <w:rPr>
                      <w:rFonts w:eastAsia="宋体"/>
                      <w:sz w:val="21"/>
                      <w:szCs w:val="21"/>
                    </w:rPr>
                    <w:t>除盐水站</w:t>
                  </w:r>
                </w:p>
              </w:tc>
              <w:tc>
                <w:tcPr>
                  <w:tcW w:w="2920" w:type="pct"/>
                  <w:shd w:val="clear" w:color="auto" w:fill="FFFFFF"/>
                  <w:noWrap w:val="0"/>
                  <w:vAlign w:val="center"/>
                </w:tcPr>
                <w:p w14:paraId="0CC57D3D">
                  <w:pPr>
                    <w:rPr>
                      <w:rFonts w:eastAsia="宋体"/>
                      <w:sz w:val="21"/>
                      <w:szCs w:val="21"/>
                    </w:rPr>
                  </w:pPr>
                  <w:r>
                    <w:rPr>
                      <w:rFonts w:eastAsia="宋体"/>
                      <w:sz w:val="21"/>
                      <w:szCs w:val="21"/>
                    </w:rPr>
                    <w:t>除盐水站制备</w:t>
                  </w:r>
                  <w:r>
                    <w:rPr>
                      <w:rFonts w:hint="eastAsia" w:eastAsia="宋体"/>
                      <w:sz w:val="21"/>
                      <w:szCs w:val="21"/>
                    </w:rPr>
                    <w:t>126</w:t>
                  </w:r>
                  <w:r>
                    <w:rPr>
                      <w:rFonts w:eastAsia="宋体"/>
                      <w:sz w:val="21"/>
                      <w:szCs w:val="21"/>
                    </w:rPr>
                    <w:t>0m</w:t>
                  </w:r>
                  <w:r>
                    <w:rPr>
                      <w:rFonts w:eastAsia="宋体"/>
                      <w:sz w:val="21"/>
                      <w:szCs w:val="21"/>
                      <w:vertAlign w:val="superscript"/>
                    </w:rPr>
                    <w:t>3</w:t>
                  </w:r>
                  <w:r>
                    <w:rPr>
                      <w:rFonts w:eastAsia="宋体"/>
                      <w:sz w:val="21"/>
                      <w:szCs w:val="21"/>
                    </w:rPr>
                    <w:t>/h、工艺冷凝液制备500 m</w:t>
                  </w:r>
                  <w:r>
                    <w:rPr>
                      <w:rFonts w:eastAsia="宋体"/>
                      <w:sz w:val="21"/>
                      <w:szCs w:val="21"/>
                      <w:vertAlign w:val="superscript"/>
                    </w:rPr>
                    <w:t>3</w:t>
                  </w:r>
                  <w:r>
                    <w:rPr>
                      <w:rFonts w:eastAsia="宋体"/>
                      <w:sz w:val="21"/>
                      <w:szCs w:val="21"/>
                    </w:rPr>
                    <w:t>/h。</w:t>
                  </w:r>
                </w:p>
              </w:tc>
              <w:tc>
                <w:tcPr>
                  <w:tcW w:w="391" w:type="pct"/>
                  <w:vMerge w:val="restart"/>
                  <w:shd w:val="clear" w:color="auto" w:fill="FFFFFF"/>
                  <w:noWrap w:val="0"/>
                  <w:vAlign w:val="center"/>
                </w:tcPr>
                <w:p w14:paraId="7E45BDFC">
                  <w:pPr>
                    <w:jc w:val="center"/>
                    <w:rPr>
                      <w:rFonts w:eastAsia="宋体"/>
                      <w:sz w:val="21"/>
                      <w:szCs w:val="21"/>
                    </w:rPr>
                  </w:pPr>
                  <w:r>
                    <w:rPr>
                      <w:rFonts w:eastAsia="宋体"/>
                      <w:sz w:val="21"/>
                      <w:szCs w:val="21"/>
                    </w:rPr>
                    <w:t>依托</w:t>
                  </w:r>
                  <w:r>
                    <w:rPr>
                      <w:rFonts w:hint="eastAsia" w:eastAsia="宋体"/>
                      <w:sz w:val="21"/>
                      <w:szCs w:val="21"/>
                    </w:rPr>
                    <w:t>广西</w:t>
                  </w:r>
                </w:p>
                <w:p w14:paraId="2483D15A">
                  <w:pPr>
                    <w:jc w:val="center"/>
                    <w:rPr>
                      <w:rFonts w:eastAsia="宋体"/>
                      <w:sz w:val="21"/>
                      <w:szCs w:val="21"/>
                    </w:rPr>
                  </w:pPr>
                  <w:r>
                    <w:rPr>
                      <w:rFonts w:eastAsia="宋体"/>
                      <w:sz w:val="21"/>
                      <w:szCs w:val="21"/>
                    </w:rPr>
                    <w:t>天宜</w:t>
                  </w:r>
                  <w:r>
                    <w:rPr>
                      <w:rFonts w:hint="eastAsia" w:eastAsia="宋体"/>
                      <w:sz w:val="21"/>
                      <w:szCs w:val="21"/>
                    </w:rPr>
                    <w:t>环境</w:t>
                  </w:r>
                </w:p>
              </w:tc>
            </w:tr>
            <w:tr w14:paraId="2407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F9BA898">
                  <w:pPr>
                    <w:jc w:val="center"/>
                    <w:rPr>
                      <w:rFonts w:eastAsia="宋体"/>
                      <w:sz w:val="21"/>
                      <w:szCs w:val="21"/>
                    </w:rPr>
                  </w:pPr>
                </w:p>
              </w:tc>
              <w:tc>
                <w:tcPr>
                  <w:tcW w:w="1336" w:type="pct"/>
                  <w:gridSpan w:val="2"/>
                  <w:shd w:val="clear" w:color="auto" w:fill="FFFFFF"/>
                  <w:noWrap w:val="0"/>
                  <w:vAlign w:val="center"/>
                </w:tcPr>
                <w:p w14:paraId="7C49A1F7">
                  <w:pPr>
                    <w:jc w:val="center"/>
                    <w:rPr>
                      <w:rFonts w:eastAsia="宋体"/>
                      <w:sz w:val="21"/>
                      <w:szCs w:val="21"/>
                    </w:rPr>
                  </w:pPr>
                  <w:r>
                    <w:rPr>
                      <w:rFonts w:eastAsia="宋体"/>
                      <w:sz w:val="21"/>
                      <w:szCs w:val="21"/>
                    </w:rPr>
                    <w:t>给水站</w:t>
                  </w:r>
                </w:p>
              </w:tc>
              <w:tc>
                <w:tcPr>
                  <w:tcW w:w="2920" w:type="pct"/>
                  <w:shd w:val="clear" w:color="auto" w:fill="FFFFFF"/>
                  <w:noWrap w:val="0"/>
                  <w:vAlign w:val="center"/>
                </w:tcPr>
                <w:p w14:paraId="5A04A5A1">
                  <w:pPr>
                    <w:rPr>
                      <w:rFonts w:eastAsia="宋体"/>
                      <w:sz w:val="21"/>
                      <w:szCs w:val="21"/>
                    </w:rPr>
                  </w:pPr>
                  <w:r>
                    <w:rPr>
                      <w:rFonts w:eastAsia="宋体"/>
                      <w:sz w:val="21"/>
                      <w:szCs w:val="21"/>
                    </w:rPr>
                    <w:t>设计规模包括现阶段生产用水及预留装置用水量3600m</w:t>
                  </w:r>
                  <w:r>
                    <w:rPr>
                      <w:rFonts w:eastAsia="宋体"/>
                      <w:sz w:val="21"/>
                      <w:szCs w:val="21"/>
                      <w:vertAlign w:val="superscript"/>
                    </w:rPr>
                    <w:t>3</w:t>
                  </w:r>
                  <w:r>
                    <w:rPr>
                      <w:rFonts w:eastAsia="宋体"/>
                      <w:sz w:val="21"/>
                      <w:szCs w:val="21"/>
                    </w:rPr>
                    <w:t>/h</w:t>
                  </w:r>
                </w:p>
              </w:tc>
              <w:tc>
                <w:tcPr>
                  <w:tcW w:w="391" w:type="pct"/>
                  <w:vMerge w:val="continue"/>
                  <w:shd w:val="clear" w:color="auto" w:fill="FFFFFF"/>
                  <w:noWrap w:val="0"/>
                  <w:vAlign w:val="center"/>
                </w:tcPr>
                <w:p w14:paraId="5C081AA4">
                  <w:pPr>
                    <w:jc w:val="center"/>
                    <w:rPr>
                      <w:rFonts w:eastAsia="宋体"/>
                      <w:sz w:val="21"/>
                      <w:szCs w:val="21"/>
                    </w:rPr>
                  </w:pPr>
                </w:p>
              </w:tc>
            </w:tr>
            <w:tr w14:paraId="2FFD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C67B02D">
                  <w:pPr>
                    <w:jc w:val="center"/>
                    <w:rPr>
                      <w:rFonts w:eastAsia="宋体"/>
                      <w:sz w:val="21"/>
                      <w:szCs w:val="21"/>
                    </w:rPr>
                  </w:pPr>
                </w:p>
              </w:tc>
              <w:tc>
                <w:tcPr>
                  <w:tcW w:w="1336" w:type="pct"/>
                  <w:gridSpan w:val="2"/>
                  <w:shd w:val="clear" w:color="auto" w:fill="FFFFFF"/>
                  <w:noWrap w:val="0"/>
                  <w:vAlign w:val="center"/>
                </w:tcPr>
                <w:p w14:paraId="6DE4CB94">
                  <w:pPr>
                    <w:jc w:val="center"/>
                    <w:rPr>
                      <w:rFonts w:eastAsia="宋体"/>
                      <w:sz w:val="21"/>
                      <w:szCs w:val="21"/>
                    </w:rPr>
                  </w:pPr>
                  <w:r>
                    <w:rPr>
                      <w:rFonts w:eastAsia="宋体"/>
                      <w:sz w:val="21"/>
                      <w:szCs w:val="21"/>
                    </w:rPr>
                    <w:t>压缩系统</w:t>
                  </w:r>
                </w:p>
              </w:tc>
              <w:tc>
                <w:tcPr>
                  <w:tcW w:w="2920" w:type="pct"/>
                  <w:shd w:val="clear" w:color="auto" w:fill="FFFFFF"/>
                  <w:noWrap w:val="0"/>
                  <w:vAlign w:val="center"/>
                </w:tcPr>
                <w:p w14:paraId="4A3B486E">
                  <w:pPr>
                    <w:rPr>
                      <w:rFonts w:eastAsia="宋体"/>
                      <w:sz w:val="21"/>
                      <w:szCs w:val="21"/>
                    </w:rPr>
                  </w:pPr>
                  <w:r>
                    <w:rPr>
                      <w:rFonts w:eastAsia="宋体"/>
                      <w:sz w:val="21"/>
                      <w:szCs w:val="21"/>
                    </w:rPr>
                    <w:t>合成气压缩机/循环机，离心式，透平驱动14100kW， 1台，机泵功率</w:t>
                  </w:r>
                  <w:r>
                    <w:rPr>
                      <w:rFonts w:hint="eastAsia" w:eastAsia="宋体"/>
                      <w:sz w:val="21"/>
                      <w:szCs w:val="21"/>
                    </w:rPr>
                    <w:t>：</w:t>
                  </w:r>
                  <w:r>
                    <w:rPr>
                      <w:rFonts w:eastAsia="宋体"/>
                      <w:sz w:val="21"/>
                      <w:szCs w:val="21"/>
                    </w:rPr>
                    <w:t>1.1～160kW，20台</w:t>
                  </w:r>
                </w:p>
              </w:tc>
              <w:tc>
                <w:tcPr>
                  <w:tcW w:w="391" w:type="pct"/>
                  <w:shd w:val="clear" w:color="auto" w:fill="FFFFFF"/>
                  <w:noWrap w:val="0"/>
                  <w:vAlign w:val="center"/>
                </w:tcPr>
                <w:p w14:paraId="46977820">
                  <w:pPr>
                    <w:jc w:val="center"/>
                    <w:rPr>
                      <w:rFonts w:hint="eastAsia" w:eastAsia="宋体"/>
                      <w:sz w:val="21"/>
                      <w:szCs w:val="21"/>
                      <w:lang w:val="en-US" w:eastAsia="zh-CN"/>
                    </w:rPr>
                  </w:pPr>
                  <w:r>
                    <w:rPr>
                      <w:rFonts w:hint="eastAsia"/>
                      <w:sz w:val="21"/>
                      <w:szCs w:val="21"/>
                      <w:lang w:val="en-US" w:eastAsia="zh-CN"/>
                    </w:rPr>
                    <w:t>/</w:t>
                  </w:r>
                </w:p>
              </w:tc>
            </w:tr>
            <w:tr w14:paraId="70E6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9353DE8">
                  <w:pPr>
                    <w:jc w:val="center"/>
                    <w:rPr>
                      <w:rFonts w:eastAsia="宋体"/>
                      <w:sz w:val="21"/>
                      <w:szCs w:val="21"/>
                    </w:rPr>
                  </w:pPr>
                </w:p>
              </w:tc>
              <w:tc>
                <w:tcPr>
                  <w:tcW w:w="1336" w:type="pct"/>
                  <w:gridSpan w:val="2"/>
                  <w:shd w:val="clear" w:color="auto" w:fill="FFFFFF"/>
                  <w:noWrap w:val="0"/>
                  <w:vAlign w:val="center"/>
                </w:tcPr>
                <w:p w14:paraId="37332379">
                  <w:pPr>
                    <w:jc w:val="center"/>
                    <w:rPr>
                      <w:rFonts w:eastAsia="宋体"/>
                      <w:sz w:val="21"/>
                      <w:szCs w:val="21"/>
                    </w:rPr>
                  </w:pPr>
                  <w:r>
                    <w:rPr>
                      <w:rFonts w:eastAsia="宋体"/>
                      <w:sz w:val="21"/>
                      <w:szCs w:val="21"/>
                    </w:rPr>
                    <w:t>供电、供热蒸汽系统</w:t>
                  </w:r>
                </w:p>
              </w:tc>
              <w:tc>
                <w:tcPr>
                  <w:tcW w:w="2920" w:type="pct"/>
                  <w:shd w:val="clear" w:color="auto" w:fill="FFFFFF"/>
                  <w:noWrap w:val="0"/>
                  <w:vAlign w:val="center"/>
                </w:tcPr>
                <w:p w14:paraId="5946F4E7">
                  <w:pPr>
                    <w:rPr>
                      <w:rFonts w:eastAsia="宋体"/>
                      <w:sz w:val="21"/>
                      <w:szCs w:val="21"/>
                    </w:rPr>
                  </w:pPr>
                  <w:r>
                    <w:rPr>
                      <w:rFonts w:eastAsia="宋体"/>
                      <w:sz w:val="21"/>
                      <w:szCs w:val="21"/>
                    </w:rPr>
                    <w:t>由园区统一供电、供热、供汽，厂内自建管道与厂外供热、供汽管道衔接。</w:t>
                  </w:r>
                </w:p>
              </w:tc>
              <w:tc>
                <w:tcPr>
                  <w:tcW w:w="391" w:type="pct"/>
                  <w:shd w:val="clear" w:color="auto" w:fill="FFFFFF"/>
                  <w:noWrap w:val="0"/>
                  <w:vAlign w:val="center"/>
                </w:tcPr>
                <w:p w14:paraId="7540F5F6">
                  <w:pPr>
                    <w:jc w:val="center"/>
                    <w:rPr>
                      <w:rFonts w:hint="eastAsia" w:eastAsia="宋体"/>
                      <w:sz w:val="21"/>
                      <w:szCs w:val="21"/>
                      <w:lang w:val="en-US" w:eastAsia="zh-CN"/>
                    </w:rPr>
                  </w:pPr>
                  <w:r>
                    <w:rPr>
                      <w:rFonts w:hint="eastAsia"/>
                      <w:sz w:val="21"/>
                      <w:szCs w:val="21"/>
                      <w:lang w:val="en-US" w:eastAsia="zh-CN"/>
                    </w:rPr>
                    <w:t>/</w:t>
                  </w:r>
                </w:p>
              </w:tc>
            </w:tr>
            <w:tr w14:paraId="35F7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59DFB58">
                  <w:pPr>
                    <w:jc w:val="center"/>
                    <w:rPr>
                      <w:rFonts w:eastAsia="宋体"/>
                      <w:sz w:val="21"/>
                      <w:szCs w:val="21"/>
                    </w:rPr>
                  </w:pPr>
                </w:p>
              </w:tc>
              <w:tc>
                <w:tcPr>
                  <w:tcW w:w="1336" w:type="pct"/>
                  <w:gridSpan w:val="2"/>
                  <w:shd w:val="clear" w:color="auto" w:fill="FFFFFF"/>
                  <w:noWrap w:val="0"/>
                  <w:vAlign w:val="center"/>
                </w:tcPr>
                <w:p w14:paraId="5E9A17C5">
                  <w:pPr>
                    <w:jc w:val="center"/>
                    <w:rPr>
                      <w:rFonts w:eastAsia="宋体"/>
                      <w:sz w:val="21"/>
                      <w:szCs w:val="21"/>
                    </w:rPr>
                  </w:pPr>
                  <w:r>
                    <w:rPr>
                      <w:rFonts w:eastAsia="宋体"/>
                      <w:sz w:val="21"/>
                      <w:szCs w:val="21"/>
                    </w:rPr>
                    <w:t>煤筒仓</w:t>
                  </w:r>
                </w:p>
              </w:tc>
              <w:tc>
                <w:tcPr>
                  <w:tcW w:w="2920" w:type="pct"/>
                  <w:shd w:val="clear" w:color="auto" w:fill="FFFFFF"/>
                  <w:noWrap w:val="0"/>
                  <w:vAlign w:val="center"/>
                </w:tcPr>
                <w:p w14:paraId="5DEF467F">
                  <w:pPr>
                    <w:rPr>
                      <w:rFonts w:eastAsia="宋体"/>
                      <w:sz w:val="21"/>
                      <w:szCs w:val="21"/>
                    </w:rPr>
                  </w:pPr>
                  <w:r>
                    <w:rPr>
                      <w:rFonts w:eastAsia="宋体"/>
                      <w:sz w:val="21"/>
                      <w:szCs w:val="21"/>
                    </w:rPr>
                    <w:t>设置三个煤筒仓，每个仓顶设置一套单机防爆除尘器，排气筒高度</w:t>
                  </w:r>
                  <w:r>
                    <w:rPr>
                      <w:rFonts w:hint="eastAsia" w:eastAsia="宋体"/>
                      <w:sz w:val="21"/>
                      <w:szCs w:val="21"/>
                    </w:rPr>
                    <w:t>63</w:t>
                  </w:r>
                  <w:r>
                    <w:rPr>
                      <w:rFonts w:eastAsia="宋体"/>
                      <w:sz w:val="21"/>
                      <w:szCs w:val="21"/>
                    </w:rPr>
                    <w:t>m。</w:t>
                  </w:r>
                </w:p>
              </w:tc>
              <w:tc>
                <w:tcPr>
                  <w:tcW w:w="391" w:type="pct"/>
                  <w:shd w:val="clear" w:color="auto" w:fill="FFFFFF"/>
                  <w:noWrap w:val="0"/>
                  <w:vAlign w:val="center"/>
                </w:tcPr>
                <w:p w14:paraId="0623110C">
                  <w:pPr>
                    <w:jc w:val="center"/>
                    <w:rPr>
                      <w:rFonts w:hint="eastAsia" w:eastAsia="宋体"/>
                      <w:sz w:val="21"/>
                      <w:szCs w:val="21"/>
                      <w:lang w:val="en-US" w:eastAsia="zh-CN"/>
                    </w:rPr>
                  </w:pPr>
                  <w:r>
                    <w:rPr>
                      <w:rFonts w:hint="eastAsia"/>
                      <w:sz w:val="21"/>
                      <w:szCs w:val="21"/>
                      <w:lang w:val="en-US" w:eastAsia="zh-CN"/>
                    </w:rPr>
                    <w:t>/</w:t>
                  </w:r>
                </w:p>
              </w:tc>
            </w:tr>
            <w:tr w14:paraId="4E44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F469B15">
                  <w:pPr>
                    <w:jc w:val="center"/>
                    <w:rPr>
                      <w:rFonts w:eastAsia="宋体"/>
                      <w:sz w:val="21"/>
                      <w:szCs w:val="21"/>
                    </w:rPr>
                  </w:pPr>
                </w:p>
              </w:tc>
              <w:tc>
                <w:tcPr>
                  <w:tcW w:w="1336" w:type="pct"/>
                  <w:gridSpan w:val="2"/>
                  <w:shd w:val="clear" w:color="auto" w:fill="FFFFFF"/>
                  <w:noWrap w:val="0"/>
                  <w:vAlign w:val="center"/>
                </w:tcPr>
                <w:p w14:paraId="09D6E63B">
                  <w:pPr>
                    <w:jc w:val="center"/>
                    <w:rPr>
                      <w:rFonts w:eastAsia="宋体"/>
                      <w:sz w:val="21"/>
                      <w:szCs w:val="21"/>
                    </w:rPr>
                  </w:pPr>
                  <w:r>
                    <w:rPr>
                      <w:rFonts w:eastAsia="宋体"/>
                      <w:sz w:val="21"/>
                      <w:szCs w:val="21"/>
                    </w:rPr>
                    <w:t>机电维修间</w:t>
                  </w:r>
                </w:p>
              </w:tc>
              <w:tc>
                <w:tcPr>
                  <w:tcW w:w="2920" w:type="pct"/>
                  <w:shd w:val="clear" w:color="auto" w:fill="FFFFFF"/>
                  <w:noWrap w:val="0"/>
                  <w:vAlign w:val="center"/>
                </w:tcPr>
                <w:p w14:paraId="272F12E3">
                  <w:pPr>
                    <w:rPr>
                      <w:rFonts w:eastAsia="宋体"/>
                      <w:sz w:val="21"/>
                      <w:szCs w:val="21"/>
                    </w:rPr>
                  </w:pPr>
                  <w:r>
                    <w:rPr>
                      <w:rFonts w:eastAsia="宋体"/>
                      <w:sz w:val="21"/>
                      <w:szCs w:val="21"/>
                    </w:rPr>
                    <w:t>占地面积900m</w:t>
                  </w:r>
                  <w:r>
                    <w:rPr>
                      <w:rFonts w:eastAsia="宋体"/>
                      <w:sz w:val="21"/>
                      <w:szCs w:val="21"/>
                      <w:vertAlign w:val="superscript"/>
                    </w:rPr>
                    <w:t>2</w:t>
                  </w:r>
                </w:p>
              </w:tc>
              <w:tc>
                <w:tcPr>
                  <w:tcW w:w="391" w:type="pct"/>
                  <w:shd w:val="clear" w:color="auto" w:fill="FFFFFF"/>
                  <w:noWrap w:val="0"/>
                  <w:vAlign w:val="center"/>
                </w:tcPr>
                <w:p w14:paraId="5449AA82">
                  <w:pPr>
                    <w:jc w:val="center"/>
                    <w:rPr>
                      <w:rFonts w:hint="eastAsia" w:eastAsia="宋体"/>
                      <w:sz w:val="21"/>
                      <w:szCs w:val="21"/>
                      <w:lang w:val="en-US" w:eastAsia="zh-CN"/>
                    </w:rPr>
                  </w:pPr>
                  <w:r>
                    <w:rPr>
                      <w:rFonts w:hint="eastAsia"/>
                      <w:sz w:val="21"/>
                      <w:szCs w:val="21"/>
                      <w:lang w:val="en-US" w:eastAsia="zh-CN"/>
                    </w:rPr>
                    <w:t>/</w:t>
                  </w:r>
                </w:p>
              </w:tc>
            </w:tr>
            <w:tr w14:paraId="1AC2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39C4189">
                  <w:pPr>
                    <w:jc w:val="center"/>
                    <w:rPr>
                      <w:rFonts w:eastAsia="宋体"/>
                      <w:sz w:val="21"/>
                      <w:szCs w:val="21"/>
                    </w:rPr>
                  </w:pPr>
                </w:p>
              </w:tc>
              <w:tc>
                <w:tcPr>
                  <w:tcW w:w="1336" w:type="pct"/>
                  <w:gridSpan w:val="2"/>
                  <w:shd w:val="clear" w:color="auto" w:fill="FFFFFF"/>
                  <w:noWrap w:val="0"/>
                  <w:vAlign w:val="center"/>
                </w:tcPr>
                <w:p w14:paraId="047C8948">
                  <w:pPr>
                    <w:jc w:val="center"/>
                    <w:rPr>
                      <w:rFonts w:eastAsia="宋体"/>
                      <w:sz w:val="21"/>
                      <w:szCs w:val="21"/>
                    </w:rPr>
                  </w:pPr>
                  <w:r>
                    <w:rPr>
                      <w:rFonts w:eastAsia="宋体"/>
                      <w:sz w:val="21"/>
                      <w:szCs w:val="21"/>
                    </w:rPr>
                    <w:t>备品备件仓库</w:t>
                  </w:r>
                </w:p>
              </w:tc>
              <w:tc>
                <w:tcPr>
                  <w:tcW w:w="2920" w:type="pct"/>
                  <w:shd w:val="clear" w:color="auto" w:fill="FFFFFF"/>
                  <w:noWrap w:val="0"/>
                  <w:vAlign w:val="center"/>
                </w:tcPr>
                <w:p w14:paraId="1523C6E8">
                  <w:pPr>
                    <w:rPr>
                      <w:rFonts w:eastAsia="宋体"/>
                      <w:sz w:val="21"/>
                      <w:szCs w:val="21"/>
                    </w:rPr>
                  </w:pPr>
                  <w:r>
                    <w:rPr>
                      <w:rFonts w:eastAsia="宋体"/>
                      <w:sz w:val="21"/>
                      <w:szCs w:val="21"/>
                    </w:rPr>
                    <w:t>占地面积2425 m</w:t>
                  </w:r>
                  <w:r>
                    <w:rPr>
                      <w:rFonts w:eastAsia="宋体"/>
                      <w:sz w:val="21"/>
                      <w:szCs w:val="21"/>
                      <w:vertAlign w:val="superscript"/>
                    </w:rPr>
                    <w:t>2</w:t>
                  </w:r>
                </w:p>
              </w:tc>
              <w:tc>
                <w:tcPr>
                  <w:tcW w:w="391" w:type="pct"/>
                  <w:shd w:val="clear" w:color="auto" w:fill="FFFFFF"/>
                  <w:noWrap w:val="0"/>
                  <w:vAlign w:val="center"/>
                </w:tcPr>
                <w:p w14:paraId="72EBE79F">
                  <w:pPr>
                    <w:jc w:val="center"/>
                    <w:rPr>
                      <w:rFonts w:hint="eastAsia" w:eastAsia="宋体"/>
                      <w:sz w:val="21"/>
                      <w:szCs w:val="21"/>
                      <w:lang w:val="en-US" w:eastAsia="zh-CN"/>
                    </w:rPr>
                  </w:pPr>
                  <w:r>
                    <w:rPr>
                      <w:rFonts w:hint="eastAsia"/>
                      <w:sz w:val="21"/>
                      <w:szCs w:val="21"/>
                      <w:lang w:val="en-US" w:eastAsia="zh-CN"/>
                    </w:rPr>
                    <w:t>/</w:t>
                  </w:r>
                </w:p>
              </w:tc>
            </w:tr>
            <w:tr w14:paraId="12B0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2FCFB9D">
                  <w:pPr>
                    <w:jc w:val="center"/>
                    <w:rPr>
                      <w:rFonts w:eastAsia="宋体"/>
                      <w:sz w:val="21"/>
                      <w:szCs w:val="21"/>
                    </w:rPr>
                  </w:pPr>
                </w:p>
              </w:tc>
              <w:tc>
                <w:tcPr>
                  <w:tcW w:w="1336" w:type="pct"/>
                  <w:gridSpan w:val="2"/>
                  <w:shd w:val="clear" w:color="auto" w:fill="FFFFFF"/>
                  <w:noWrap w:val="0"/>
                  <w:vAlign w:val="center"/>
                </w:tcPr>
                <w:p w14:paraId="48BB2E1E">
                  <w:pPr>
                    <w:jc w:val="center"/>
                    <w:rPr>
                      <w:rFonts w:eastAsia="宋体"/>
                      <w:sz w:val="21"/>
                      <w:szCs w:val="21"/>
                    </w:rPr>
                  </w:pPr>
                  <w:r>
                    <w:rPr>
                      <w:rFonts w:eastAsia="宋体"/>
                      <w:sz w:val="21"/>
                      <w:szCs w:val="21"/>
                    </w:rPr>
                    <w:t>危险品库</w:t>
                  </w:r>
                </w:p>
              </w:tc>
              <w:tc>
                <w:tcPr>
                  <w:tcW w:w="2920" w:type="pct"/>
                  <w:shd w:val="clear" w:color="auto" w:fill="FFFFFF"/>
                  <w:noWrap w:val="0"/>
                  <w:vAlign w:val="center"/>
                </w:tcPr>
                <w:p w14:paraId="101EF55F">
                  <w:pPr>
                    <w:rPr>
                      <w:rFonts w:eastAsia="宋体"/>
                      <w:sz w:val="21"/>
                      <w:szCs w:val="21"/>
                    </w:rPr>
                  </w:pPr>
                  <w:r>
                    <w:rPr>
                      <w:rFonts w:eastAsia="宋体"/>
                      <w:sz w:val="21"/>
                      <w:szCs w:val="21"/>
                    </w:rPr>
                    <w:t>占地面积1800 m</w:t>
                  </w:r>
                  <w:r>
                    <w:rPr>
                      <w:rFonts w:eastAsia="宋体"/>
                      <w:sz w:val="21"/>
                      <w:szCs w:val="21"/>
                      <w:vertAlign w:val="superscript"/>
                    </w:rPr>
                    <w:t>2</w:t>
                  </w:r>
                </w:p>
              </w:tc>
              <w:tc>
                <w:tcPr>
                  <w:tcW w:w="391" w:type="pct"/>
                  <w:shd w:val="clear" w:color="auto" w:fill="FFFFFF"/>
                  <w:noWrap w:val="0"/>
                  <w:vAlign w:val="center"/>
                </w:tcPr>
                <w:p w14:paraId="53231753">
                  <w:pPr>
                    <w:jc w:val="center"/>
                    <w:rPr>
                      <w:rFonts w:hint="eastAsia" w:eastAsia="宋体"/>
                      <w:sz w:val="21"/>
                      <w:szCs w:val="21"/>
                      <w:lang w:val="en-US" w:eastAsia="zh-CN"/>
                    </w:rPr>
                  </w:pPr>
                  <w:r>
                    <w:rPr>
                      <w:rFonts w:hint="eastAsia"/>
                      <w:sz w:val="21"/>
                      <w:szCs w:val="21"/>
                      <w:lang w:val="en-US" w:eastAsia="zh-CN"/>
                    </w:rPr>
                    <w:t>/</w:t>
                  </w:r>
                </w:p>
              </w:tc>
            </w:tr>
            <w:tr w14:paraId="27FD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D0EBABD">
                  <w:pPr>
                    <w:jc w:val="center"/>
                    <w:rPr>
                      <w:rFonts w:eastAsia="宋体"/>
                      <w:sz w:val="21"/>
                      <w:szCs w:val="21"/>
                    </w:rPr>
                  </w:pPr>
                </w:p>
              </w:tc>
              <w:tc>
                <w:tcPr>
                  <w:tcW w:w="1336" w:type="pct"/>
                  <w:gridSpan w:val="2"/>
                  <w:shd w:val="clear" w:color="auto" w:fill="FFFFFF"/>
                  <w:noWrap w:val="0"/>
                  <w:vAlign w:val="center"/>
                </w:tcPr>
                <w:p w14:paraId="0E1A16A5">
                  <w:pPr>
                    <w:jc w:val="center"/>
                    <w:rPr>
                      <w:rFonts w:eastAsia="宋体"/>
                      <w:sz w:val="21"/>
                      <w:szCs w:val="21"/>
                    </w:rPr>
                  </w:pPr>
                  <w:r>
                    <w:rPr>
                      <w:rFonts w:eastAsia="宋体"/>
                      <w:sz w:val="21"/>
                      <w:szCs w:val="21"/>
                    </w:rPr>
                    <w:t>化学品库</w:t>
                  </w:r>
                </w:p>
              </w:tc>
              <w:tc>
                <w:tcPr>
                  <w:tcW w:w="2920" w:type="pct"/>
                  <w:shd w:val="clear" w:color="auto" w:fill="FFFFFF"/>
                  <w:noWrap w:val="0"/>
                  <w:vAlign w:val="center"/>
                </w:tcPr>
                <w:p w14:paraId="66D8983F">
                  <w:pPr>
                    <w:rPr>
                      <w:rFonts w:eastAsia="宋体"/>
                      <w:sz w:val="21"/>
                      <w:szCs w:val="21"/>
                    </w:rPr>
                  </w:pPr>
                  <w:r>
                    <w:rPr>
                      <w:rFonts w:eastAsia="宋体"/>
                      <w:sz w:val="21"/>
                      <w:szCs w:val="21"/>
                    </w:rPr>
                    <w:t>占地面积1847.5m</w:t>
                  </w:r>
                  <w:r>
                    <w:rPr>
                      <w:rFonts w:eastAsia="宋体"/>
                      <w:sz w:val="21"/>
                      <w:szCs w:val="21"/>
                      <w:vertAlign w:val="superscript"/>
                    </w:rPr>
                    <w:t>2</w:t>
                  </w:r>
                </w:p>
              </w:tc>
              <w:tc>
                <w:tcPr>
                  <w:tcW w:w="391" w:type="pct"/>
                  <w:shd w:val="clear" w:color="auto" w:fill="FFFFFF"/>
                  <w:noWrap w:val="0"/>
                  <w:vAlign w:val="center"/>
                </w:tcPr>
                <w:p w14:paraId="04F48B55">
                  <w:pPr>
                    <w:jc w:val="center"/>
                    <w:rPr>
                      <w:rFonts w:hint="eastAsia" w:eastAsia="宋体"/>
                      <w:sz w:val="21"/>
                      <w:szCs w:val="21"/>
                      <w:lang w:val="en-US" w:eastAsia="zh-CN"/>
                    </w:rPr>
                  </w:pPr>
                  <w:r>
                    <w:rPr>
                      <w:rFonts w:hint="eastAsia"/>
                      <w:sz w:val="21"/>
                      <w:szCs w:val="21"/>
                      <w:lang w:val="en-US" w:eastAsia="zh-CN"/>
                    </w:rPr>
                    <w:t>/</w:t>
                  </w:r>
                </w:p>
              </w:tc>
            </w:tr>
            <w:tr w14:paraId="7313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restart"/>
                  <w:shd w:val="clear" w:color="auto" w:fill="FFFFFF"/>
                  <w:noWrap w:val="0"/>
                  <w:vAlign w:val="center"/>
                </w:tcPr>
                <w:p w14:paraId="5BF73605">
                  <w:pPr>
                    <w:jc w:val="center"/>
                    <w:rPr>
                      <w:rFonts w:eastAsia="宋体"/>
                      <w:sz w:val="21"/>
                      <w:szCs w:val="21"/>
                    </w:rPr>
                  </w:pPr>
                  <w:r>
                    <w:rPr>
                      <w:rFonts w:eastAsia="宋体"/>
                      <w:sz w:val="21"/>
                      <w:szCs w:val="21"/>
                    </w:rPr>
                    <w:t>环保</w:t>
                  </w:r>
                </w:p>
                <w:p w14:paraId="24997F48">
                  <w:pPr>
                    <w:jc w:val="center"/>
                    <w:rPr>
                      <w:rFonts w:eastAsia="宋体"/>
                      <w:sz w:val="21"/>
                      <w:szCs w:val="21"/>
                    </w:rPr>
                  </w:pPr>
                  <w:r>
                    <w:rPr>
                      <w:rFonts w:eastAsia="宋体"/>
                      <w:sz w:val="21"/>
                      <w:szCs w:val="21"/>
                    </w:rPr>
                    <w:t>工程</w:t>
                  </w:r>
                </w:p>
              </w:tc>
              <w:tc>
                <w:tcPr>
                  <w:tcW w:w="503" w:type="pct"/>
                  <w:vMerge w:val="restart"/>
                  <w:shd w:val="clear" w:color="auto" w:fill="FFFFFF"/>
                  <w:noWrap w:val="0"/>
                  <w:vAlign w:val="center"/>
                </w:tcPr>
                <w:p w14:paraId="3EA3D4E3">
                  <w:pPr>
                    <w:jc w:val="center"/>
                    <w:rPr>
                      <w:rFonts w:eastAsia="宋体"/>
                      <w:sz w:val="21"/>
                      <w:szCs w:val="21"/>
                    </w:rPr>
                  </w:pPr>
                  <w:r>
                    <w:rPr>
                      <w:rFonts w:eastAsia="宋体"/>
                      <w:sz w:val="21"/>
                      <w:szCs w:val="21"/>
                    </w:rPr>
                    <w:t>废气</w:t>
                  </w:r>
                </w:p>
                <w:p w14:paraId="0E62CC2C">
                  <w:pPr>
                    <w:jc w:val="center"/>
                    <w:rPr>
                      <w:rFonts w:eastAsia="宋体"/>
                      <w:sz w:val="21"/>
                      <w:szCs w:val="21"/>
                    </w:rPr>
                  </w:pPr>
                  <w:r>
                    <w:rPr>
                      <w:rFonts w:eastAsia="宋体"/>
                      <w:sz w:val="21"/>
                      <w:szCs w:val="21"/>
                    </w:rPr>
                    <w:t>处理系统</w:t>
                  </w:r>
                </w:p>
              </w:tc>
              <w:tc>
                <w:tcPr>
                  <w:tcW w:w="833" w:type="pct"/>
                  <w:shd w:val="clear" w:color="auto" w:fill="FFFFFF"/>
                  <w:noWrap w:val="0"/>
                  <w:vAlign w:val="center"/>
                </w:tcPr>
                <w:p w14:paraId="16159E5B">
                  <w:pPr>
                    <w:jc w:val="center"/>
                    <w:rPr>
                      <w:rFonts w:hint="eastAsia" w:eastAsia="宋体"/>
                      <w:sz w:val="21"/>
                      <w:szCs w:val="21"/>
                    </w:rPr>
                  </w:pPr>
                  <w:r>
                    <w:rPr>
                      <w:rFonts w:eastAsia="宋体"/>
                      <w:sz w:val="21"/>
                      <w:szCs w:val="21"/>
                    </w:rPr>
                    <w:t>煤输送转运站排气</w:t>
                  </w:r>
                </w:p>
              </w:tc>
              <w:tc>
                <w:tcPr>
                  <w:tcW w:w="2920" w:type="pct"/>
                  <w:shd w:val="clear" w:color="auto" w:fill="FFFFFF"/>
                  <w:noWrap w:val="0"/>
                  <w:vAlign w:val="center"/>
                </w:tcPr>
                <w:p w14:paraId="35A3B685">
                  <w:pPr>
                    <w:rPr>
                      <w:rFonts w:eastAsia="宋体"/>
                      <w:sz w:val="21"/>
                      <w:szCs w:val="21"/>
                    </w:rPr>
                  </w:pPr>
                  <w:r>
                    <w:rPr>
                      <w:rFonts w:eastAsia="宋体"/>
                      <w:sz w:val="21"/>
                      <w:szCs w:val="21"/>
                    </w:rPr>
                    <w:t>采用袋式除尘，共5个一般排气筒，高15~48m</w:t>
                  </w:r>
                </w:p>
              </w:tc>
              <w:tc>
                <w:tcPr>
                  <w:tcW w:w="391" w:type="pct"/>
                  <w:vMerge w:val="restart"/>
                  <w:shd w:val="clear" w:color="auto" w:fill="FFFFFF"/>
                  <w:noWrap w:val="0"/>
                  <w:vAlign w:val="center"/>
                </w:tcPr>
                <w:p w14:paraId="219AE223">
                  <w:pPr>
                    <w:jc w:val="center"/>
                    <w:rPr>
                      <w:rFonts w:eastAsia="宋体"/>
                      <w:sz w:val="21"/>
                      <w:szCs w:val="21"/>
                    </w:rPr>
                  </w:pPr>
                  <w:r>
                    <w:rPr>
                      <w:rFonts w:hint="eastAsia" w:eastAsia="宋体"/>
                      <w:sz w:val="21"/>
                      <w:szCs w:val="21"/>
                    </w:rPr>
                    <w:t>工业</w:t>
                  </w:r>
                </w:p>
                <w:p w14:paraId="02CAD02D">
                  <w:pPr>
                    <w:jc w:val="center"/>
                    <w:rPr>
                      <w:rFonts w:eastAsia="宋体"/>
                      <w:sz w:val="21"/>
                      <w:szCs w:val="21"/>
                    </w:rPr>
                  </w:pPr>
                  <w:r>
                    <w:rPr>
                      <w:rFonts w:hint="eastAsia" w:eastAsia="宋体"/>
                      <w:sz w:val="21"/>
                      <w:szCs w:val="21"/>
                    </w:rPr>
                    <w:t>气体岛</w:t>
                  </w:r>
                </w:p>
              </w:tc>
            </w:tr>
            <w:tr w14:paraId="3E71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ADFB48E">
                  <w:pPr>
                    <w:rPr>
                      <w:rFonts w:eastAsia="宋体"/>
                      <w:sz w:val="21"/>
                      <w:szCs w:val="21"/>
                    </w:rPr>
                  </w:pPr>
                </w:p>
              </w:tc>
              <w:tc>
                <w:tcPr>
                  <w:tcW w:w="503" w:type="pct"/>
                  <w:vMerge w:val="continue"/>
                  <w:shd w:val="clear" w:color="auto" w:fill="FFFFFF"/>
                  <w:noWrap w:val="0"/>
                  <w:vAlign w:val="center"/>
                </w:tcPr>
                <w:p w14:paraId="198547E8">
                  <w:pPr>
                    <w:rPr>
                      <w:rFonts w:eastAsia="宋体"/>
                      <w:sz w:val="21"/>
                      <w:szCs w:val="21"/>
                    </w:rPr>
                  </w:pPr>
                </w:p>
              </w:tc>
              <w:tc>
                <w:tcPr>
                  <w:tcW w:w="833" w:type="pct"/>
                  <w:shd w:val="clear" w:color="auto" w:fill="FFFFFF"/>
                  <w:noWrap w:val="0"/>
                  <w:vAlign w:val="center"/>
                </w:tcPr>
                <w:p w14:paraId="6E9E08A3">
                  <w:pPr>
                    <w:jc w:val="center"/>
                    <w:rPr>
                      <w:rFonts w:hint="eastAsia" w:eastAsia="宋体"/>
                      <w:sz w:val="21"/>
                      <w:szCs w:val="21"/>
                    </w:rPr>
                  </w:pPr>
                  <w:r>
                    <w:rPr>
                      <w:rFonts w:eastAsia="宋体"/>
                      <w:sz w:val="21"/>
                      <w:szCs w:val="21"/>
                    </w:rPr>
                    <w:t>煤筒仓排气</w:t>
                  </w:r>
                </w:p>
              </w:tc>
              <w:tc>
                <w:tcPr>
                  <w:tcW w:w="2920" w:type="pct"/>
                  <w:shd w:val="clear" w:color="auto" w:fill="FFFFFF"/>
                  <w:noWrap w:val="0"/>
                  <w:vAlign w:val="center"/>
                </w:tcPr>
                <w:p w14:paraId="3A2AD4E7">
                  <w:pPr>
                    <w:rPr>
                      <w:rFonts w:hint="eastAsia" w:eastAsia="宋体"/>
                      <w:sz w:val="21"/>
                      <w:szCs w:val="21"/>
                    </w:rPr>
                  </w:pPr>
                  <w:r>
                    <w:rPr>
                      <w:rFonts w:eastAsia="宋体"/>
                      <w:sz w:val="21"/>
                      <w:szCs w:val="21"/>
                    </w:rPr>
                    <w:t>采用高效袋式除尘，共3个一般排气筒，高63m</w:t>
                  </w:r>
                </w:p>
              </w:tc>
              <w:tc>
                <w:tcPr>
                  <w:tcW w:w="391" w:type="pct"/>
                  <w:vMerge w:val="continue"/>
                  <w:shd w:val="clear" w:color="auto" w:fill="FFFFFF"/>
                  <w:noWrap w:val="0"/>
                  <w:vAlign w:val="center"/>
                </w:tcPr>
                <w:p w14:paraId="3E73C966">
                  <w:pPr>
                    <w:jc w:val="center"/>
                    <w:rPr>
                      <w:rFonts w:eastAsia="宋体"/>
                      <w:sz w:val="21"/>
                      <w:szCs w:val="21"/>
                    </w:rPr>
                  </w:pPr>
                </w:p>
              </w:tc>
            </w:tr>
            <w:tr w14:paraId="53C7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ADF1ED2">
                  <w:pPr>
                    <w:rPr>
                      <w:rFonts w:eastAsia="宋体"/>
                      <w:sz w:val="21"/>
                      <w:szCs w:val="21"/>
                    </w:rPr>
                  </w:pPr>
                </w:p>
              </w:tc>
              <w:tc>
                <w:tcPr>
                  <w:tcW w:w="503" w:type="pct"/>
                  <w:vMerge w:val="continue"/>
                  <w:shd w:val="clear" w:color="auto" w:fill="FFFFFF"/>
                  <w:noWrap w:val="0"/>
                  <w:vAlign w:val="center"/>
                </w:tcPr>
                <w:p w14:paraId="68C7E91B">
                  <w:pPr>
                    <w:rPr>
                      <w:rFonts w:eastAsia="宋体"/>
                      <w:sz w:val="21"/>
                      <w:szCs w:val="21"/>
                    </w:rPr>
                  </w:pPr>
                </w:p>
              </w:tc>
              <w:tc>
                <w:tcPr>
                  <w:tcW w:w="833" w:type="pct"/>
                  <w:shd w:val="clear" w:color="auto" w:fill="FFFFFF"/>
                  <w:noWrap w:val="0"/>
                  <w:vAlign w:val="center"/>
                </w:tcPr>
                <w:p w14:paraId="6DBD9611">
                  <w:pPr>
                    <w:jc w:val="center"/>
                    <w:rPr>
                      <w:rFonts w:hint="eastAsia" w:eastAsia="宋体"/>
                      <w:sz w:val="21"/>
                      <w:szCs w:val="21"/>
                    </w:rPr>
                  </w:pPr>
                  <w:r>
                    <w:rPr>
                      <w:rFonts w:eastAsia="宋体"/>
                      <w:sz w:val="21"/>
                      <w:szCs w:val="21"/>
                    </w:rPr>
                    <w:t>磨前煤仓排气</w:t>
                  </w:r>
                </w:p>
              </w:tc>
              <w:tc>
                <w:tcPr>
                  <w:tcW w:w="2920" w:type="pct"/>
                  <w:shd w:val="clear" w:color="auto" w:fill="FFFFFF"/>
                  <w:noWrap w:val="0"/>
                  <w:vAlign w:val="center"/>
                </w:tcPr>
                <w:p w14:paraId="6686E56D">
                  <w:pPr>
                    <w:rPr>
                      <w:rFonts w:eastAsia="宋体"/>
                      <w:sz w:val="21"/>
                      <w:szCs w:val="21"/>
                    </w:rPr>
                  </w:pPr>
                  <w:r>
                    <w:rPr>
                      <w:rFonts w:eastAsia="宋体"/>
                      <w:sz w:val="21"/>
                      <w:szCs w:val="21"/>
                    </w:rPr>
                    <w:t>采用袋式除尘，共个一般排气筒，高60m</w:t>
                  </w:r>
                </w:p>
              </w:tc>
              <w:tc>
                <w:tcPr>
                  <w:tcW w:w="391" w:type="pct"/>
                  <w:vMerge w:val="continue"/>
                  <w:shd w:val="clear" w:color="auto" w:fill="FFFFFF"/>
                  <w:noWrap w:val="0"/>
                  <w:vAlign w:val="center"/>
                </w:tcPr>
                <w:p w14:paraId="76257367">
                  <w:pPr>
                    <w:jc w:val="center"/>
                    <w:rPr>
                      <w:rFonts w:eastAsia="宋体"/>
                      <w:sz w:val="21"/>
                      <w:szCs w:val="21"/>
                    </w:rPr>
                  </w:pPr>
                </w:p>
              </w:tc>
            </w:tr>
            <w:tr w14:paraId="2CCD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FC9E243">
                  <w:pPr>
                    <w:rPr>
                      <w:rFonts w:eastAsia="宋体"/>
                      <w:sz w:val="21"/>
                      <w:szCs w:val="21"/>
                    </w:rPr>
                  </w:pPr>
                </w:p>
              </w:tc>
              <w:tc>
                <w:tcPr>
                  <w:tcW w:w="503" w:type="pct"/>
                  <w:vMerge w:val="continue"/>
                  <w:shd w:val="clear" w:color="auto" w:fill="FFFFFF"/>
                  <w:noWrap w:val="0"/>
                  <w:vAlign w:val="center"/>
                </w:tcPr>
                <w:p w14:paraId="4EF4073B">
                  <w:pPr>
                    <w:rPr>
                      <w:rFonts w:eastAsia="宋体"/>
                      <w:sz w:val="21"/>
                      <w:szCs w:val="21"/>
                    </w:rPr>
                  </w:pPr>
                </w:p>
              </w:tc>
              <w:tc>
                <w:tcPr>
                  <w:tcW w:w="833" w:type="pct"/>
                  <w:shd w:val="clear" w:color="auto" w:fill="FFFFFF"/>
                  <w:noWrap w:val="0"/>
                  <w:vAlign w:val="center"/>
                </w:tcPr>
                <w:p w14:paraId="51039B58">
                  <w:pPr>
                    <w:jc w:val="center"/>
                    <w:rPr>
                      <w:rFonts w:hint="eastAsia" w:eastAsia="宋体"/>
                      <w:sz w:val="21"/>
                      <w:szCs w:val="21"/>
                    </w:rPr>
                  </w:pPr>
                  <w:r>
                    <w:rPr>
                      <w:rFonts w:eastAsia="宋体"/>
                      <w:sz w:val="21"/>
                      <w:szCs w:val="21"/>
                    </w:rPr>
                    <w:t>磨煤干燥排气</w:t>
                  </w:r>
                </w:p>
              </w:tc>
              <w:tc>
                <w:tcPr>
                  <w:tcW w:w="2920" w:type="pct"/>
                  <w:shd w:val="clear" w:color="auto" w:fill="FFFFFF"/>
                  <w:noWrap w:val="0"/>
                  <w:vAlign w:val="center"/>
                </w:tcPr>
                <w:p w14:paraId="3B0C38E6">
                  <w:pPr>
                    <w:rPr>
                      <w:rFonts w:hint="eastAsia" w:eastAsia="宋体"/>
                      <w:sz w:val="21"/>
                      <w:szCs w:val="21"/>
                    </w:rPr>
                  </w:pPr>
                  <w:r>
                    <w:rPr>
                      <w:rFonts w:eastAsia="宋体"/>
                      <w:sz w:val="21"/>
                      <w:szCs w:val="21"/>
                    </w:rPr>
                    <w:t>采用袋式除尘，共6个主要排气筒，高65m</w:t>
                  </w:r>
                </w:p>
              </w:tc>
              <w:tc>
                <w:tcPr>
                  <w:tcW w:w="391" w:type="pct"/>
                  <w:vMerge w:val="continue"/>
                  <w:shd w:val="clear" w:color="auto" w:fill="FFFFFF"/>
                  <w:noWrap w:val="0"/>
                  <w:vAlign w:val="center"/>
                </w:tcPr>
                <w:p w14:paraId="16D999F6">
                  <w:pPr>
                    <w:jc w:val="center"/>
                    <w:rPr>
                      <w:rFonts w:eastAsia="宋体"/>
                      <w:sz w:val="21"/>
                      <w:szCs w:val="21"/>
                    </w:rPr>
                  </w:pPr>
                </w:p>
              </w:tc>
            </w:tr>
            <w:tr w14:paraId="039D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DF82664">
                  <w:pPr>
                    <w:rPr>
                      <w:rFonts w:eastAsia="宋体"/>
                      <w:sz w:val="21"/>
                      <w:szCs w:val="21"/>
                    </w:rPr>
                  </w:pPr>
                </w:p>
              </w:tc>
              <w:tc>
                <w:tcPr>
                  <w:tcW w:w="503" w:type="pct"/>
                  <w:vMerge w:val="continue"/>
                  <w:shd w:val="clear" w:color="auto" w:fill="FFFFFF"/>
                  <w:noWrap w:val="0"/>
                  <w:vAlign w:val="center"/>
                </w:tcPr>
                <w:p w14:paraId="71AD2687">
                  <w:pPr>
                    <w:rPr>
                      <w:rFonts w:eastAsia="宋体"/>
                      <w:sz w:val="21"/>
                      <w:szCs w:val="21"/>
                    </w:rPr>
                  </w:pPr>
                </w:p>
              </w:tc>
              <w:tc>
                <w:tcPr>
                  <w:tcW w:w="833" w:type="pct"/>
                  <w:shd w:val="clear" w:color="auto" w:fill="FFFFFF"/>
                  <w:noWrap w:val="0"/>
                  <w:vAlign w:val="center"/>
                </w:tcPr>
                <w:p w14:paraId="052CB081">
                  <w:pPr>
                    <w:jc w:val="center"/>
                    <w:rPr>
                      <w:rFonts w:hint="eastAsia" w:eastAsia="宋体"/>
                      <w:sz w:val="21"/>
                      <w:szCs w:val="21"/>
                    </w:rPr>
                  </w:pPr>
                  <w:r>
                    <w:rPr>
                      <w:rFonts w:eastAsia="宋体"/>
                      <w:sz w:val="21"/>
                      <w:szCs w:val="21"/>
                    </w:rPr>
                    <w:t>煤加压尾气排气</w:t>
                  </w:r>
                </w:p>
              </w:tc>
              <w:tc>
                <w:tcPr>
                  <w:tcW w:w="2920" w:type="pct"/>
                  <w:shd w:val="clear" w:color="auto" w:fill="FFFFFF"/>
                  <w:noWrap w:val="0"/>
                  <w:vAlign w:val="center"/>
                </w:tcPr>
                <w:p w14:paraId="0D765F12">
                  <w:pPr>
                    <w:rPr>
                      <w:rFonts w:hint="eastAsia" w:eastAsia="宋体"/>
                      <w:sz w:val="21"/>
                      <w:szCs w:val="21"/>
                    </w:rPr>
                  </w:pPr>
                  <w:r>
                    <w:rPr>
                      <w:rFonts w:eastAsia="宋体"/>
                      <w:sz w:val="21"/>
                      <w:szCs w:val="21"/>
                    </w:rPr>
                    <w:t>采用高效袋式除尘，共5个一般排气筒，高75m</w:t>
                  </w:r>
                </w:p>
              </w:tc>
              <w:tc>
                <w:tcPr>
                  <w:tcW w:w="391" w:type="pct"/>
                  <w:vMerge w:val="continue"/>
                  <w:shd w:val="clear" w:color="auto" w:fill="FFFFFF"/>
                  <w:noWrap w:val="0"/>
                  <w:vAlign w:val="center"/>
                </w:tcPr>
                <w:p w14:paraId="5AC4E650">
                  <w:pPr>
                    <w:jc w:val="center"/>
                    <w:rPr>
                      <w:rFonts w:eastAsia="宋体"/>
                      <w:sz w:val="21"/>
                      <w:szCs w:val="21"/>
                    </w:rPr>
                  </w:pPr>
                </w:p>
              </w:tc>
            </w:tr>
            <w:tr w14:paraId="5074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496928D">
                  <w:pPr>
                    <w:rPr>
                      <w:rFonts w:eastAsia="宋体"/>
                      <w:sz w:val="21"/>
                      <w:szCs w:val="21"/>
                    </w:rPr>
                  </w:pPr>
                </w:p>
              </w:tc>
              <w:tc>
                <w:tcPr>
                  <w:tcW w:w="503" w:type="pct"/>
                  <w:vMerge w:val="continue"/>
                  <w:shd w:val="clear" w:color="auto" w:fill="FFFFFF"/>
                  <w:noWrap w:val="0"/>
                  <w:vAlign w:val="center"/>
                </w:tcPr>
                <w:p w14:paraId="518DF0FE">
                  <w:pPr>
                    <w:rPr>
                      <w:rFonts w:eastAsia="宋体"/>
                      <w:sz w:val="21"/>
                      <w:szCs w:val="21"/>
                    </w:rPr>
                  </w:pPr>
                </w:p>
              </w:tc>
              <w:tc>
                <w:tcPr>
                  <w:tcW w:w="833" w:type="pct"/>
                  <w:shd w:val="clear" w:color="auto" w:fill="FFFFFF"/>
                  <w:noWrap w:val="0"/>
                  <w:vAlign w:val="center"/>
                </w:tcPr>
                <w:p w14:paraId="6E6188A7">
                  <w:pPr>
                    <w:jc w:val="center"/>
                    <w:rPr>
                      <w:rFonts w:eastAsia="宋体"/>
                      <w:sz w:val="21"/>
                      <w:szCs w:val="21"/>
                    </w:rPr>
                  </w:pPr>
                  <w:r>
                    <w:rPr>
                      <w:rFonts w:eastAsia="宋体"/>
                      <w:sz w:val="21"/>
                      <w:szCs w:val="21"/>
                    </w:rPr>
                    <w:t>灰渣干燥</w:t>
                  </w:r>
                </w:p>
              </w:tc>
              <w:tc>
                <w:tcPr>
                  <w:tcW w:w="2920" w:type="pct"/>
                  <w:shd w:val="clear" w:color="auto" w:fill="FFFFFF"/>
                  <w:noWrap w:val="0"/>
                  <w:vAlign w:val="center"/>
                </w:tcPr>
                <w:p w14:paraId="27E4E748">
                  <w:pPr>
                    <w:rPr>
                      <w:rFonts w:eastAsia="宋体"/>
                      <w:sz w:val="21"/>
                      <w:szCs w:val="21"/>
                    </w:rPr>
                  </w:pPr>
                  <w:r>
                    <w:rPr>
                      <w:rFonts w:eastAsia="宋体"/>
                      <w:sz w:val="21"/>
                      <w:szCs w:val="21"/>
                    </w:rPr>
                    <w:t>圆盘干燥机产生的废气统一收集，经水洗塔洗涤后，通过16m排气筒外排</w:t>
                  </w:r>
                </w:p>
              </w:tc>
              <w:tc>
                <w:tcPr>
                  <w:tcW w:w="391" w:type="pct"/>
                  <w:vMerge w:val="continue"/>
                  <w:shd w:val="clear" w:color="auto" w:fill="FFFFFF"/>
                  <w:noWrap w:val="0"/>
                  <w:vAlign w:val="center"/>
                </w:tcPr>
                <w:p w14:paraId="73D2E3C4">
                  <w:pPr>
                    <w:jc w:val="center"/>
                    <w:rPr>
                      <w:rFonts w:eastAsia="宋体"/>
                      <w:sz w:val="21"/>
                      <w:szCs w:val="21"/>
                    </w:rPr>
                  </w:pPr>
                </w:p>
              </w:tc>
            </w:tr>
            <w:tr w14:paraId="1062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05ACCC8">
                  <w:pPr>
                    <w:rPr>
                      <w:rFonts w:eastAsia="宋体"/>
                      <w:sz w:val="21"/>
                      <w:szCs w:val="21"/>
                    </w:rPr>
                  </w:pPr>
                </w:p>
              </w:tc>
              <w:tc>
                <w:tcPr>
                  <w:tcW w:w="503" w:type="pct"/>
                  <w:vMerge w:val="continue"/>
                  <w:shd w:val="clear" w:color="auto" w:fill="FFFFFF"/>
                  <w:noWrap w:val="0"/>
                  <w:vAlign w:val="center"/>
                </w:tcPr>
                <w:p w14:paraId="3B17DC26">
                  <w:pPr>
                    <w:rPr>
                      <w:rFonts w:eastAsia="宋体"/>
                      <w:sz w:val="21"/>
                      <w:szCs w:val="21"/>
                    </w:rPr>
                  </w:pPr>
                </w:p>
              </w:tc>
              <w:tc>
                <w:tcPr>
                  <w:tcW w:w="833" w:type="pct"/>
                  <w:shd w:val="clear" w:color="auto" w:fill="FFFFFF"/>
                  <w:noWrap w:val="0"/>
                  <w:vAlign w:val="center"/>
                </w:tcPr>
                <w:p w14:paraId="6C062FFF">
                  <w:pPr>
                    <w:jc w:val="center"/>
                    <w:rPr>
                      <w:rFonts w:eastAsia="宋体"/>
                      <w:sz w:val="21"/>
                      <w:szCs w:val="21"/>
                    </w:rPr>
                  </w:pPr>
                  <w:r>
                    <w:rPr>
                      <w:rFonts w:eastAsia="宋体"/>
                      <w:sz w:val="21"/>
                      <w:szCs w:val="21"/>
                    </w:rPr>
                    <w:t>变换气提尾气</w:t>
                  </w:r>
                </w:p>
              </w:tc>
              <w:tc>
                <w:tcPr>
                  <w:tcW w:w="2920" w:type="pct"/>
                  <w:shd w:val="clear" w:color="auto" w:fill="FFFFFF"/>
                  <w:noWrap w:val="0"/>
                  <w:vAlign w:val="center"/>
                </w:tcPr>
                <w:p w14:paraId="0C7BBEEE">
                  <w:pPr>
                    <w:rPr>
                      <w:rFonts w:hint="eastAsia" w:eastAsia="宋体"/>
                      <w:sz w:val="21"/>
                      <w:szCs w:val="21"/>
                    </w:rPr>
                  </w:pPr>
                  <w:r>
                    <w:rPr>
                      <w:rFonts w:eastAsia="宋体"/>
                      <w:sz w:val="21"/>
                      <w:szCs w:val="21"/>
                    </w:rPr>
                    <w:t>正常工况送硫回收装置回收硫。硫回收装置停车时送火炬</w:t>
                  </w:r>
                </w:p>
              </w:tc>
              <w:tc>
                <w:tcPr>
                  <w:tcW w:w="391" w:type="pct"/>
                  <w:vMerge w:val="continue"/>
                  <w:shd w:val="clear" w:color="auto" w:fill="FFFFFF"/>
                  <w:noWrap w:val="0"/>
                  <w:vAlign w:val="center"/>
                </w:tcPr>
                <w:p w14:paraId="6A2ADC8C">
                  <w:pPr>
                    <w:jc w:val="center"/>
                    <w:rPr>
                      <w:rFonts w:eastAsia="宋体"/>
                      <w:sz w:val="21"/>
                      <w:szCs w:val="21"/>
                    </w:rPr>
                  </w:pPr>
                </w:p>
              </w:tc>
            </w:tr>
            <w:tr w14:paraId="1EC2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EC7081E">
                  <w:pPr>
                    <w:rPr>
                      <w:rFonts w:eastAsia="宋体"/>
                      <w:sz w:val="21"/>
                      <w:szCs w:val="21"/>
                    </w:rPr>
                  </w:pPr>
                </w:p>
              </w:tc>
              <w:tc>
                <w:tcPr>
                  <w:tcW w:w="503" w:type="pct"/>
                  <w:vMerge w:val="continue"/>
                  <w:shd w:val="clear" w:color="auto" w:fill="FFFFFF"/>
                  <w:noWrap w:val="0"/>
                  <w:vAlign w:val="center"/>
                </w:tcPr>
                <w:p w14:paraId="3AB82BD4">
                  <w:pPr>
                    <w:rPr>
                      <w:rFonts w:eastAsia="宋体"/>
                      <w:sz w:val="21"/>
                      <w:szCs w:val="21"/>
                    </w:rPr>
                  </w:pPr>
                </w:p>
              </w:tc>
              <w:tc>
                <w:tcPr>
                  <w:tcW w:w="833" w:type="pct"/>
                  <w:shd w:val="clear" w:color="auto" w:fill="FFFFFF"/>
                  <w:noWrap w:val="0"/>
                  <w:vAlign w:val="center"/>
                </w:tcPr>
                <w:p w14:paraId="221EFA7E">
                  <w:pPr>
                    <w:jc w:val="center"/>
                    <w:rPr>
                      <w:rFonts w:eastAsia="宋体"/>
                      <w:sz w:val="21"/>
                      <w:szCs w:val="21"/>
                    </w:rPr>
                  </w:pPr>
                  <w:r>
                    <w:rPr>
                      <w:rFonts w:eastAsia="宋体"/>
                      <w:sz w:val="21"/>
                      <w:szCs w:val="21"/>
                    </w:rPr>
                    <w:t>脱硫脱碳尾气</w:t>
                  </w:r>
                </w:p>
              </w:tc>
              <w:tc>
                <w:tcPr>
                  <w:tcW w:w="2920" w:type="pct"/>
                  <w:shd w:val="clear" w:color="auto" w:fill="FFFFFF"/>
                  <w:noWrap w:val="0"/>
                  <w:vAlign w:val="center"/>
                </w:tcPr>
                <w:p w14:paraId="6F9F0137">
                  <w:pPr>
                    <w:rPr>
                      <w:rFonts w:eastAsia="宋体"/>
                      <w:sz w:val="21"/>
                      <w:szCs w:val="21"/>
                    </w:rPr>
                  </w:pPr>
                  <w:r>
                    <w:rPr>
                      <w:rFonts w:eastAsia="宋体"/>
                      <w:sz w:val="21"/>
                      <w:szCs w:val="21"/>
                    </w:rPr>
                    <w:t>采用低温甲醇洗，共2个一般排气筒，高100m</w:t>
                  </w:r>
                </w:p>
              </w:tc>
              <w:tc>
                <w:tcPr>
                  <w:tcW w:w="391" w:type="pct"/>
                  <w:vMerge w:val="continue"/>
                  <w:shd w:val="clear" w:color="auto" w:fill="FFFFFF"/>
                  <w:noWrap w:val="0"/>
                  <w:vAlign w:val="center"/>
                </w:tcPr>
                <w:p w14:paraId="1B9B22DB">
                  <w:pPr>
                    <w:jc w:val="center"/>
                    <w:rPr>
                      <w:rFonts w:eastAsia="宋体"/>
                      <w:sz w:val="21"/>
                      <w:szCs w:val="21"/>
                    </w:rPr>
                  </w:pPr>
                </w:p>
              </w:tc>
            </w:tr>
            <w:tr w14:paraId="34CB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901100F">
                  <w:pPr>
                    <w:rPr>
                      <w:rFonts w:eastAsia="宋体"/>
                      <w:sz w:val="21"/>
                      <w:szCs w:val="21"/>
                    </w:rPr>
                  </w:pPr>
                </w:p>
              </w:tc>
              <w:tc>
                <w:tcPr>
                  <w:tcW w:w="503" w:type="pct"/>
                  <w:vMerge w:val="continue"/>
                  <w:shd w:val="clear" w:color="auto" w:fill="FFFFFF"/>
                  <w:noWrap w:val="0"/>
                  <w:vAlign w:val="center"/>
                </w:tcPr>
                <w:p w14:paraId="538D6217">
                  <w:pPr>
                    <w:rPr>
                      <w:rFonts w:eastAsia="宋体"/>
                      <w:sz w:val="21"/>
                      <w:szCs w:val="21"/>
                    </w:rPr>
                  </w:pPr>
                </w:p>
              </w:tc>
              <w:tc>
                <w:tcPr>
                  <w:tcW w:w="833" w:type="pct"/>
                  <w:shd w:val="clear" w:color="auto" w:fill="FFFFFF"/>
                  <w:noWrap w:val="0"/>
                  <w:vAlign w:val="center"/>
                </w:tcPr>
                <w:p w14:paraId="758BD939">
                  <w:pPr>
                    <w:jc w:val="center"/>
                    <w:rPr>
                      <w:rFonts w:eastAsia="宋体"/>
                      <w:sz w:val="21"/>
                      <w:szCs w:val="21"/>
                    </w:rPr>
                  </w:pPr>
                  <w:r>
                    <w:rPr>
                      <w:rFonts w:eastAsia="宋体"/>
                      <w:sz w:val="21"/>
                      <w:szCs w:val="21"/>
                    </w:rPr>
                    <w:t>硫回收空气</w:t>
                  </w:r>
                </w:p>
              </w:tc>
              <w:tc>
                <w:tcPr>
                  <w:tcW w:w="2920" w:type="pct"/>
                  <w:shd w:val="clear" w:color="auto" w:fill="FFFFFF"/>
                  <w:noWrap w:val="0"/>
                  <w:vAlign w:val="center"/>
                </w:tcPr>
                <w:p w14:paraId="5AE2B038">
                  <w:pPr>
                    <w:rPr>
                      <w:rFonts w:eastAsia="宋体"/>
                      <w:sz w:val="21"/>
                      <w:szCs w:val="21"/>
                    </w:rPr>
                  </w:pPr>
                  <w:r>
                    <w:rPr>
                      <w:rFonts w:eastAsia="宋体"/>
                      <w:sz w:val="21"/>
                      <w:szCs w:val="21"/>
                    </w:rPr>
                    <w:t>采用</w:t>
                  </w:r>
                  <w:r>
                    <w:rPr>
                      <w:rFonts w:hint="eastAsia" w:eastAsia="宋体"/>
                      <w:sz w:val="21"/>
                      <w:szCs w:val="21"/>
                    </w:rPr>
                    <w:t>2套</w:t>
                  </w:r>
                  <w:r>
                    <w:rPr>
                      <w:rFonts w:eastAsia="宋体"/>
                      <w:sz w:val="21"/>
                      <w:szCs w:val="21"/>
                    </w:rPr>
                    <w:t>二级克劳斯+超级克劳斯+SCR脱硝+碱洗工艺，共1个排气筒，高60m</w:t>
                  </w:r>
                </w:p>
              </w:tc>
              <w:tc>
                <w:tcPr>
                  <w:tcW w:w="391" w:type="pct"/>
                  <w:vMerge w:val="continue"/>
                  <w:shd w:val="clear" w:color="auto" w:fill="FFFFFF"/>
                  <w:noWrap w:val="0"/>
                  <w:vAlign w:val="center"/>
                </w:tcPr>
                <w:p w14:paraId="0ECADCC1">
                  <w:pPr>
                    <w:jc w:val="center"/>
                    <w:rPr>
                      <w:rFonts w:eastAsia="宋体"/>
                      <w:sz w:val="21"/>
                      <w:szCs w:val="21"/>
                    </w:rPr>
                  </w:pPr>
                </w:p>
              </w:tc>
            </w:tr>
            <w:tr w14:paraId="35F8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F84C7C8">
                  <w:pPr>
                    <w:rPr>
                      <w:rFonts w:eastAsia="宋体"/>
                      <w:sz w:val="21"/>
                      <w:szCs w:val="21"/>
                    </w:rPr>
                  </w:pPr>
                </w:p>
              </w:tc>
              <w:tc>
                <w:tcPr>
                  <w:tcW w:w="503" w:type="pct"/>
                  <w:vMerge w:val="continue"/>
                  <w:shd w:val="clear" w:color="auto" w:fill="FFFFFF"/>
                  <w:noWrap w:val="0"/>
                  <w:vAlign w:val="center"/>
                </w:tcPr>
                <w:p w14:paraId="5FF024DD">
                  <w:pPr>
                    <w:rPr>
                      <w:rFonts w:eastAsia="宋体"/>
                      <w:sz w:val="21"/>
                      <w:szCs w:val="21"/>
                    </w:rPr>
                  </w:pPr>
                </w:p>
              </w:tc>
              <w:tc>
                <w:tcPr>
                  <w:tcW w:w="833" w:type="pct"/>
                  <w:shd w:val="clear" w:color="auto" w:fill="FFFFFF"/>
                  <w:noWrap w:val="0"/>
                  <w:vAlign w:val="center"/>
                </w:tcPr>
                <w:p w14:paraId="1343DC3E">
                  <w:pPr>
                    <w:jc w:val="center"/>
                    <w:rPr>
                      <w:rFonts w:eastAsia="宋体"/>
                      <w:sz w:val="21"/>
                      <w:szCs w:val="21"/>
                    </w:rPr>
                  </w:pPr>
                  <w:r>
                    <w:rPr>
                      <w:rFonts w:eastAsia="宋体"/>
                      <w:sz w:val="21"/>
                      <w:szCs w:val="21"/>
                    </w:rPr>
                    <w:t>变换加热炉尾气</w:t>
                  </w:r>
                </w:p>
              </w:tc>
              <w:tc>
                <w:tcPr>
                  <w:tcW w:w="2920" w:type="pct"/>
                  <w:shd w:val="clear" w:color="auto" w:fill="FFFFFF"/>
                  <w:noWrap w:val="0"/>
                  <w:vAlign w:val="center"/>
                </w:tcPr>
                <w:p w14:paraId="742B607C">
                  <w:pPr>
                    <w:rPr>
                      <w:rFonts w:hint="eastAsia" w:eastAsia="宋体"/>
                      <w:sz w:val="21"/>
                      <w:szCs w:val="21"/>
                    </w:rPr>
                  </w:pPr>
                  <w:r>
                    <w:rPr>
                      <w:rFonts w:eastAsia="宋体"/>
                      <w:sz w:val="21"/>
                      <w:szCs w:val="21"/>
                    </w:rPr>
                    <w:t>经SCR脱硝处理后，通过61m烟囱外排</w:t>
                  </w:r>
                </w:p>
              </w:tc>
              <w:tc>
                <w:tcPr>
                  <w:tcW w:w="391" w:type="pct"/>
                  <w:vMerge w:val="continue"/>
                  <w:shd w:val="clear" w:color="auto" w:fill="FFFFFF"/>
                  <w:noWrap w:val="0"/>
                  <w:vAlign w:val="center"/>
                </w:tcPr>
                <w:p w14:paraId="0C1E9727">
                  <w:pPr>
                    <w:jc w:val="center"/>
                    <w:rPr>
                      <w:rFonts w:eastAsia="宋体"/>
                      <w:sz w:val="21"/>
                      <w:szCs w:val="21"/>
                    </w:rPr>
                  </w:pPr>
                </w:p>
              </w:tc>
            </w:tr>
            <w:tr w14:paraId="519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4F461FA">
                  <w:pPr>
                    <w:rPr>
                      <w:rFonts w:eastAsia="宋体"/>
                      <w:sz w:val="21"/>
                      <w:szCs w:val="21"/>
                    </w:rPr>
                  </w:pPr>
                </w:p>
              </w:tc>
              <w:tc>
                <w:tcPr>
                  <w:tcW w:w="503" w:type="pct"/>
                  <w:vMerge w:val="continue"/>
                  <w:shd w:val="clear" w:color="auto" w:fill="FFFFFF"/>
                  <w:noWrap w:val="0"/>
                  <w:vAlign w:val="center"/>
                </w:tcPr>
                <w:p w14:paraId="74823068">
                  <w:pPr>
                    <w:rPr>
                      <w:rFonts w:eastAsia="宋体"/>
                      <w:sz w:val="21"/>
                      <w:szCs w:val="21"/>
                    </w:rPr>
                  </w:pPr>
                </w:p>
              </w:tc>
              <w:tc>
                <w:tcPr>
                  <w:tcW w:w="833" w:type="pct"/>
                  <w:shd w:val="clear" w:color="auto" w:fill="FFFFFF"/>
                  <w:noWrap w:val="0"/>
                  <w:vAlign w:val="center"/>
                </w:tcPr>
                <w:p w14:paraId="22FF9E0A">
                  <w:pPr>
                    <w:jc w:val="center"/>
                    <w:rPr>
                      <w:rFonts w:eastAsia="宋体"/>
                      <w:sz w:val="21"/>
                      <w:szCs w:val="21"/>
                    </w:rPr>
                  </w:pPr>
                  <w:r>
                    <w:rPr>
                      <w:rFonts w:eastAsia="宋体"/>
                      <w:sz w:val="21"/>
                      <w:szCs w:val="21"/>
                    </w:rPr>
                    <w:t>甲醇1#装置加热炉尾气</w:t>
                  </w:r>
                </w:p>
              </w:tc>
              <w:tc>
                <w:tcPr>
                  <w:tcW w:w="2920" w:type="pct"/>
                  <w:shd w:val="clear" w:color="auto" w:fill="FFFFFF"/>
                  <w:noWrap w:val="0"/>
                  <w:vAlign w:val="center"/>
                </w:tcPr>
                <w:p w14:paraId="4FF3213F">
                  <w:pPr>
                    <w:rPr>
                      <w:rFonts w:eastAsia="宋体"/>
                      <w:sz w:val="21"/>
                      <w:szCs w:val="21"/>
                    </w:rPr>
                  </w:pPr>
                  <w:r>
                    <w:rPr>
                      <w:rFonts w:eastAsia="宋体"/>
                      <w:sz w:val="21"/>
                      <w:szCs w:val="21"/>
                    </w:rPr>
                    <w:t>经SCR脱硝处理后，通过60m烟囱外排</w:t>
                  </w:r>
                </w:p>
              </w:tc>
              <w:tc>
                <w:tcPr>
                  <w:tcW w:w="391" w:type="pct"/>
                  <w:vMerge w:val="continue"/>
                  <w:shd w:val="clear" w:color="auto" w:fill="FFFFFF"/>
                  <w:noWrap w:val="0"/>
                  <w:vAlign w:val="center"/>
                </w:tcPr>
                <w:p w14:paraId="5CE20181">
                  <w:pPr>
                    <w:jc w:val="center"/>
                    <w:rPr>
                      <w:rFonts w:eastAsia="宋体"/>
                      <w:sz w:val="21"/>
                      <w:szCs w:val="21"/>
                    </w:rPr>
                  </w:pPr>
                </w:p>
              </w:tc>
            </w:tr>
            <w:tr w14:paraId="46A6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C661F85">
                  <w:pPr>
                    <w:rPr>
                      <w:rFonts w:eastAsia="宋体"/>
                      <w:sz w:val="21"/>
                      <w:szCs w:val="21"/>
                    </w:rPr>
                  </w:pPr>
                </w:p>
              </w:tc>
              <w:tc>
                <w:tcPr>
                  <w:tcW w:w="503" w:type="pct"/>
                  <w:vMerge w:val="continue"/>
                  <w:shd w:val="clear" w:color="auto" w:fill="FFFFFF"/>
                  <w:noWrap w:val="0"/>
                  <w:vAlign w:val="center"/>
                </w:tcPr>
                <w:p w14:paraId="46CDAC17">
                  <w:pPr>
                    <w:rPr>
                      <w:rFonts w:eastAsia="宋体"/>
                      <w:sz w:val="21"/>
                      <w:szCs w:val="21"/>
                    </w:rPr>
                  </w:pPr>
                </w:p>
              </w:tc>
              <w:tc>
                <w:tcPr>
                  <w:tcW w:w="833" w:type="pct"/>
                  <w:shd w:val="clear" w:color="auto" w:fill="FFFFFF"/>
                  <w:noWrap w:val="0"/>
                  <w:vAlign w:val="center"/>
                </w:tcPr>
                <w:p w14:paraId="7DA31490">
                  <w:pPr>
                    <w:jc w:val="center"/>
                    <w:rPr>
                      <w:rFonts w:eastAsia="宋体"/>
                      <w:sz w:val="21"/>
                      <w:szCs w:val="21"/>
                    </w:rPr>
                  </w:pPr>
                  <w:r>
                    <w:rPr>
                      <w:rFonts w:eastAsia="宋体"/>
                      <w:sz w:val="21"/>
                      <w:szCs w:val="21"/>
                    </w:rPr>
                    <w:t>甲醇1#装置精馏放空尾气</w:t>
                  </w:r>
                </w:p>
              </w:tc>
              <w:tc>
                <w:tcPr>
                  <w:tcW w:w="2920" w:type="pct"/>
                  <w:shd w:val="clear" w:color="auto" w:fill="FFFFFF"/>
                  <w:noWrap w:val="0"/>
                  <w:vAlign w:val="center"/>
                </w:tcPr>
                <w:p w14:paraId="1F6D8102">
                  <w:pPr>
                    <w:rPr>
                      <w:rFonts w:eastAsia="宋体"/>
                      <w:sz w:val="21"/>
                      <w:szCs w:val="21"/>
                    </w:rPr>
                  </w:pPr>
                  <w:r>
                    <w:rPr>
                      <w:rFonts w:eastAsia="宋体"/>
                      <w:sz w:val="21"/>
                      <w:szCs w:val="21"/>
                    </w:rPr>
                    <w:t>经水洗塔处理后，通过30m排气筒外排</w:t>
                  </w:r>
                </w:p>
              </w:tc>
              <w:tc>
                <w:tcPr>
                  <w:tcW w:w="391" w:type="pct"/>
                  <w:vMerge w:val="continue"/>
                  <w:shd w:val="clear" w:color="auto" w:fill="FFFFFF"/>
                  <w:noWrap w:val="0"/>
                  <w:vAlign w:val="center"/>
                </w:tcPr>
                <w:p w14:paraId="7F778A7D">
                  <w:pPr>
                    <w:jc w:val="center"/>
                    <w:rPr>
                      <w:rFonts w:eastAsia="宋体"/>
                      <w:sz w:val="21"/>
                      <w:szCs w:val="21"/>
                    </w:rPr>
                  </w:pPr>
                </w:p>
              </w:tc>
            </w:tr>
            <w:tr w14:paraId="1C8A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661BD0F">
                  <w:pPr>
                    <w:rPr>
                      <w:rFonts w:eastAsia="宋体"/>
                      <w:sz w:val="21"/>
                      <w:szCs w:val="21"/>
                    </w:rPr>
                  </w:pPr>
                </w:p>
              </w:tc>
              <w:tc>
                <w:tcPr>
                  <w:tcW w:w="503" w:type="pct"/>
                  <w:vMerge w:val="continue"/>
                  <w:shd w:val="clear" w:color="auto" w:fill="FFFFFF"/>
                  <w:noWrap w:val="0"/>
                  <w:vAlign w:val="center"/>
                </w:tcPr>
                <w:p w14:paraId="1ADD4A67">
                  <w:pPr>
                    <w:rPr>
                      <w:rFonts w:eastAsia="宋体"/>
                      <w:sz w:val="21"/>
                      <w:szCs w:val="21"/>
                    </w:rPr>
                  </w:pPr>
                </w:p>
              </w:tc>
              <w:tc>
                <w:tcPr>
                  <w:tcW w:w="833" w:type="pct"/>
                  <w:shd w:val="clear" w:color="auto" w:fill="FFFFFF"/>
                  <w:noWrap w:val="0"/>
                  <w:vAlign w:val="center"/>
                </w:tcPr>
                <w:p w14:paraId="4057A5F7">
                  <w:pPr>
                    <w:jc w:val="center"/>
                    <w:rPr>
                      <w:rFonts w:eastAsia="宋体"/>
                      <w:sz w:val="21"/>
                      <w:szCs w:val="21"/>
                    </w:rPr>
                  </w:pPr>
                  <w:r>
                    <w:rPr>
                      <w:rFonts w:eastAsia="宋体"/>
                      <w:sz w:val="21"/>
                      <w:szCs w:val="21"/>
                    </w:rPr>
                    <w:t>乙二醇装置不凝气</w:t>
                  </w:r>
                </w:p>
              </w:tc>
              <w:tc>
                <w:tcPr>
                  <w:tcW w:w="2920" w:type="pct"/>
                  <w:shd w:val="clear" w:color="auto" w:fill="FFFFFF"/>
                  <w:noWrap w:val="0"/>
                  <w:vAlign w:val="center"/>
                </w:tcPr>
                <w:p w14:paraId="266C4E39">
                  <w:pPr>
                    <w:rPr>
                      <w:rFonts w:eastAsia="宋体"/>
                      <w:sz w:val="21"/>
                      <w:szCs w:val="21"/>
                    </w:rPr>
                  </w:pPr>
                  <w:r>
                    <w:rPr>
                      <w:rFonts w:eastAsia="宋体"/>
                      <w:sz w:val="21"/>
                      <w:szCs w:val="21"/>
                    </w:rPr>
                    <w:t>火炬燃烧高空排放，高度100m</w:t>
                  </w:r>
                </w:p>
              </w:tc>
              <w:tc>
                <w:tcPr>
                  <w:tcW w:w="391" w:type="pct"/>
                  <w:vMerge w:val="continue"/>
                  <w:shd w:val="clear" w:color="auto" w:fill="FFFFFF"/>
                  <w:noWrap w:val="0"/>
                  <w:vAlign w:val="center"/>
                </w:tcPr>
                <w:p w14:paraId="79F09070">
                  <w:pPr>
                    <w:jc w:val="center"/>
                    <w:rPr>
                      <w:rFonts w:eastAsia="宋体"/>
                      <w:sz w:val="21"/>
                      <w:szCs w:val="21"/>
                    </w:rPr>
                  </w:pPr>
                </w:p>
              </w:tc>
            </w:tr>
            <w:tr w14:paraId="75C8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620F3B1">
                  <w:pPr>
                    <w:rPr>
                      <w:rFonts w:eastAsia="宋体"/>
                      <w:sz w:val="21"/>
                      <w:szCs w:val="21"/>
                    </w:rPr>
                  </w:pPr>
                </w:p>
              </w:tc>
              <w:tc>
                <w:tcPr>
                  <w:tcW w:w="503" w:type="pct"/>
                  <w:vMerge w:val="continue"/>
                  <w:shd w:val="clear" w:color="auto" w:fill="FFFFFF"/>
                  <w:noWrap w:val="0"/>
                  <w:vAlign w:val="center"/>
                </w:tcPr>
                <w:p w14:paraId="5083578F">
                  <w:pPr>
                    <w:rPr>
                      <w:rFonts w:eastAsia="宋体"/>
                      <w:sz w:val="21"/>
                      <w:szCs w:val="21"/>
                    </w:rPr>
                  </w:pPr>
                </w:p>
              </w:tc>
              <w:tc>
                <w:tcPr>
                  <w:tcW w:w="833" w:type="pct"/>
                  <w:shd w:val="clear" w:color="auto" w:fill="FFFFFF"/>
                  <w:noWrap w:val="0"/>
                  <w:vAlign w:val="center"/>
                </w:tcPr>
                <w:p w14:paraId="476394DC">
                  <w:pPr>
                    <w:jc w:val="center"/>
                    <w:rPr>
                      <w:rFonts w:eastAsia="宋体"/>
                      <w:sz w:val="21"/>
                      <w:szCs w:val="21"/>
                    </w:rPr>
                  </w:pPr>
                  <w:r>
                    <w:rPr>
                      <w:rFonts w:eastAsia="宋体"/>
                      <w:sz w:val="21"/>
                      <w:szCs w:val="21"/>
                    </w:rPr>
                    <w:t>火炬</w:t>
                  </w:r>
                </w:p>
              </w:tc>
              <w:tc>
                <w:tcPr>
                  <w:tcW w:w="2920" w:type="pct"/>
                  <w:shd w:val="clear" w:color="auto" w:fill="FFFFFF"/>
                  <w:noWrap w:val="0"/>
                  <w:vAlign w:val="center"/>
                </w:tcPr>
                <w:p w14:paraId="05021E89">
                  <w:pPr>
                    <w:rPr>
                      <w:rFonts w:eastAsia="宋体"/>
                      <w:sz w:val="21"/>
                      <w:szCs w:val="21"/>
                    </w:rPr>
                  </w:pPr>
                  <w:r>
                    <w:rPr>
                      <w:rFonts w:eastAsia="宋体"/>
                      <w:sz w:val="21"/>
                      <w:szCs w:val="21"/>
                    </w:rPr>
                    <w:t>设长明灯火炬，高度100m</w:t>
                  </w:r>
                </w:p>
              </w:tc>
              <w:tc>
                <w:tcPr>
                  <w:tcW w:w="391" w:type="pct"/>
                  <w:vMerge w:val="continue"/>
                  <w:shd w:val="clear" w:color="auto" w:fill="FFFFFF"/>
                  <w:noWrap w:val="0"/>
                  <w:vAlign w:val="center"/>
                </w:tcPr>
                <w:p w14:paraId="12BEBBB3">
                  <w:pPr>
                    <w:jc w:val="center"/>
                    <w:rPr>
                      <w:rFonts w:eastAsia="宋体"/>
                      <w:sz w:val="21"/>
                      <w:szCs w:val="21"/>
                    </w:rPr>
                  </w:pPr>
                </w:p>
              </w:tc>
            </w:tr>
            <w:tr w14:paraId="7C8C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396F904">
                  <w:pPr>
                    <w:rPr>
                      <w:rFonts w:eastAsia="宋体"/>
                      <w:sz w:val="21"/>
                      <w:szCs w:val="21"/>
                    </w:rPr>
                  </w:pPr>
                </w:p>
              </w:tc>
              <w:tc>
                <w:tcPr>
                  <w:tcW w:w="503" w:type="pct"/>
                  <w:vMerge w:val="continue"/>
                  <w:shd w:val="clear" w:color="auto" w:fill="FFFFFF"/>
                  <w:noWrap w:val="0"/>
                  <w:vAlign w:val="center"/>
                </w:tcPr>
                <w:p w14:paraId="00AD06CB">
                  <w:pPr>
                    <w:rPr>
                      <w:rFonts w:eastAsia="宋体"/>
                      <w:sz w:val="21"/>
                      <w:szCs w:val="21"/>
                    </w:rPr>
                  </w:pPr>
                </w:p>
              </w:tc>
              <w:tc>
                <w:tcPr>
                  <w:tcW w:w="833" w:type="pct"/>
                  <w:shd w:val="clear" w:color="auto" w:fill="FFFFFF"/>
                  <w:noWrap w:val="0"/>
                  <w:vAlign w:val="center"/>
                </w:tcPr>
                <w:p w14:paraId="739FC758">
                  <w:pPr>
                    <w:jc w:val="center"/>
                    <w:rPr>
                      <w:rFonts w:eastAsia="宋体"/>
                      <w:sz w:val="21"/>
                      <w:szCs w:val="21"/>
                    </w:rPr>
                  </w:pPr>
                  <w:r>
                    <w:rPr>
                      <w:rFonts w:eastAsia="宋体"/>
                      <w:sz w:val="21"/>
                      <w:szCs w:val="21"/>
                    </w:rPr>
                    <w:t>醋酸中间罐区洗涤</w:t>
                  </w:r>
                </w:p>
              </w:tc>
              <w:tc>
                <w:tcPr>
                  <w:tcW w:w="2920" w:type="pct"/>
                  <w:shd w:val="clear" w:color="auto" w:fill="FFFFFF"/>
                  <w:noWrap w:val="0"/>
                  <w:vAlign w:val="center"/>
                </w:tcPr>
                <w:p w14:paraId="665831C0">
                  <w:pPr>
                    <w:rPr>
                      <w:rFonts w:hint="eastAsia" w:eastAsia="宋体"/>
                      <w:sz w:val="21"/>
                      <w:szCs w:val="21"/>
                    </w:rPr>
                  </w:pPr>
                  <w:r>
                    <w:rPr>
                      <w:rFonts w:eastAsia="宋体"/>
                      <w:sz w:val="21"/>
                      <w:szCs w:val="21"/>
                    </w:rPr>
                    <w:t>4座洗涤塔</w:t>
                  </w:r>
                </w:p>
              </w:tc>
              <w:tc>
                <w:tcPr>
                  <w:tcW w:w="391" w:type="pct"/>
                  <w:vMerge w:val="continue"/>
                  <w:shd w:val="clear" w:color="auto" w:fill="FFFFFF"/>
                  <w:noWrap w:val="0"/>
                  <w:vAlign w:val="center"/>
                </w:tcPr>
                <w:p w14:paraId="034C5810">
                  <w:pPr>
                    <w:jc w:val="center"/>
                    <w:rPr>
                      <w:rFonts w:eastAsia="宋体"/>
                      <w:sz w:val="21"/>
                      <w:szCs w:val="21"/>
                    </w:rPr>
                  </w:pPr>
                </w:p>
              </w:tc>
            </w:tr>
            <w:tr w14:paraId="4899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5A98202A">
                  <w:pPr>
                    <w:rPr>
                      <w:rFonts w:eastAsia="宋体"/>
                      <w:sz w:val="21"/>
                      <w:szCs w:val="21"/>
                    </w:rPr>
                  </w:pPr>
                </w:p>
              </w:tc>
              <w:tc>
                <w:tcPr>
                  <w:tcW w:w="503" w:type="pct"/>
                  <w:vMerge w:val="continue"/>
                  <w:shd w:val="clear" w:color="auto" w:fill="FFFFFF"/>
                  <w:noWrap w:val="0"/>
                  <w:vAlign w:val="center"/>
                </w:tcPr>
                <w:p w14:paraId="33BD7E49">
                  <w:pPr>
                    <w:rPr>
                      <w:rFonts w:eastAsia="宋体"/>
                      <w:sz w:val="21"/>
                      <w:szCs w:val="21"/>
                    </w:rPr>
                  </w:pPr>
                </w:p>
              </w:tc>
              <w:tc>
                <w:tcPr>
                  <w:tcW w:w="833" w:type="pct"/>
                  <w:shd w:val="clear" w:color="auto" w:fill="FFFFFF"/>
                  <w:noWrap w:val="0"/>
                  <w:vAlign w:val="center"/>
                </w:tcPr>
                <w:p w14:paraId="7EE514B3">
                  <w:pPr>
                    <w:jc w:val="center"/>
                    <w:rPr>
                      <w:rFonts w:eastAsia="宋体"/>
                      <w:sz w:val="21"/>
                      <w:szCs w:val="21"/>
                    </w:rPr>
                  </w:pPr>
                  <w:r>
                    <w:rPr>
                      <w:rFonts w:eastAsia="宋体"/>
                      <w:sz w:val="21"/>
                      <w:szCs w:val="21"/>
                    </w:rPr>
                    <w:t>甲醇中间罐区洗涤塔</w:t>
                  </w:r>
                </w:p>
              </w:tc>
              <w:tc>
                <w:tcPr>
                  <w:tcW w:w="2920" w:type="pct"/>
                  <w:shd w:val="clear" w:color="auto" w:fill="FFFFFF"/>
                  <w:noWrap w:val="0"/>
                  <w:vAlign w:val="center"/>
                </w:tcPr>
                <w:p w14:paraId="12DC0F26">
                  <w:pPr>
                    <w:rPr>
                      <w:rFonts w:eastAsia="宋体"/>
                      <w:sz w:val="21"/>
                      <w:szCs w:val="21"/>
                    </w:rPr>
                  </w:pPr>
                  <w:r>
                    <w:rPr>
                      <w:rFonts w:eastAsia="宋体"/>
                      <w:sz w:val="21"/>
                      <w:szCs w:val="21"/>
                    </w:rPr>
                    <w:t>水洗回收作为原料</w:t>
                  </w:r>
                  <w:r>
                    <w:rPr>
                      <w:rFonts w:hint="eastAsia" w:eastAsia="宋体"/>
                      <w:sz w:val="21"/>
                      <w:szCs w:val="21"/>
                    </w:rPr>
                    <w:t>，</w:t>
                  </w:r>
                  <w:r>
                    <w:rPr>
                      <w:rFonts w:eastAsia="宋体"/>
                      <w:sz w:val="21"/>
                      <w:szCs w:val="21"/>
                    </w:rPr>
                    <w:t>经高19m排气筒外排</w:t>
                  </w:r>
                </w:p>
              </w:tc>
              <w:tc>
                <w:tcPr>
                  <w:tcW w:w="391" w:type="pct"/>
                  <w:vMerge w:val="continue"/>
                  <w:shd w:val="clear" w:color="auto" w:fill="FFFFFF"/>
                  <w:noWrap w:val="0"/>
                  <w:vAlign w:val="center"/>
                </w:tcPr>
                <w:p w14:paraId="212A0226">
                  <w:pPr>
                    <w:jc w:val="center"/>
                    <w:rPr>
                      <w:rFonts w:eastAsia="宋体"/>
                      <w:sz w:val="21"/>
                      <w:szCs w:val="21"/>
                    </w:rPr>
                  </w:pPr>
                </w:p>
              </w:tc>
            </w:tr>
            <w:tr w14:paraId="27E1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FAC85A9">
                  <w:pPr>
                    <w:rPr>
                      <w:rFonts w:eastAsia="宋体"/>
                      <w:sz w:val="21"/>
                      <w:szCs w:val="21"/>
                    </w:rPr>
                  </w:pPr>
                </w:p>
              </w:tc>
              <w:tc>
                <w:tcPr>
                  <w:tcW w:w="503" w:type="pct"/>
                  <w:vMerge w:val="continue"/>
                  <w:shd w:val="clear" w:color="auto" w:fill="FFFFFF"/>
                  <w:noWrap w:val="0"/>
                  <w:vAlign w:val="center"/>
                </w:tcPr>
                <w:p w14:paraId="62FD2A45">
                  <w:pPr>
                    <w:rPr>
                      <w:rFonts w:eastAsia="宋体"/>
                      <w:sz w:val="21"/>
                      <w:szCs w:val="21"/>
                    </w:rPr>
                  </w:pPr>
                </w:p>
              </w:tc>
              <w:tc>
                <w:tcPr>
                  <w:tcW w:w="833" w:type="pct"/>
                  <w:shd w:val="clear" w:color="auto" w:fill="FFFFFF"/>
                  <w:noWrap w:val="0"/>
                  <w:vAlign w:val="center"/>
                </w:tcPr>
                <w:p w14:paraId="32149478">
                  <w:pPr>
                    <w:jc w:val="center"/>
                    <w:rPr>
                      <w:rFonts w:eastAsia="宋体"/>
                      <w:sz w:val="21"/>
                      <w:szCs w:val="21"/>
                    </w:rPr>
                  </w:pPr>
                  <w:r>
                    <w:rPr>
                      <w:rFonts w:eastAsia="宋体"/>
                      <w:sz w:val="21"/>
                      <w:szCs w:val="21"/>
                    </w:rPr>
                    <w:t>DMO精馏尾气洗涤塔</w:t>
                  </w:r>
                </w:p>
              </w:tc>
              <w:tc>
                <w:tcPr>
                  <w:tcW w:w="2920" w:type="pct"/>
                  <w:shd w:val="clear" w:color="auto" w:fill="FFFFFF"/>
                  <w:noWrap w:val="0"/>
                  <w:vAlign w:val="center"/>
                </w:tcPr>
                <w:p w14:paraId="7B3EF217">
                  <w:pPr>
                    <w:rPr>
                      <w:rFonts w:eastAsia="宋体"/>
                      <w:sz w:val="21"/>
                      <w:szCs w:val="21"/>
                    </w:rPr>
                  </w:pPr>
                  <w:r>
                    <w:rPr>
                      <w:rFonts w:eastAsia="宋体"/>
                      <w:sz w:val="21"/>
                      <w:szCs w:val="21"/>
                    </w:rPr>
                    <w:t>水洗喷淋后通过排气筒排放（1根）</w:t>
                  </w:r>
                </w:p>
              </w:tc>
              <w:tc>
                <w:tcPr>
                  <w:tcW w:w="391" w:type="pct"/>
                  <w:vMerge w:val="continue"/>
                  <w:shd w:val="clear" w:color="auto" w:fill="FFFFFF"/>
                  <w:noWrap w:val="0"/>
                  <w:vAlign w:val="center"/>
                </w:tcPr>
                <w:p w14:paraId="55DDE18B">
                  <w:pPr>
                    <w:jc w:val="center"/>
                    <w:rPr>
                      <w:rFonts w:eastAsia="宋体"/>
                      <w:sz w:val="21"/>
                      <w:szCs w:val="21"/>
                    </w:rPr>
                  </w:pPr>
                </w:p>
              </w:tc>
            </w:tr>
            <w:tr w14:paraId="1E83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B00DD69">
                  <w:pPr>
                    <w:rPr>
                      <w:rFonts w:eastAsia="宋体"/>
                      <w:sz w:val="21"/>
                      <w:szCs w:val="21"/>
                    </w:rPr>
                  </w:pPr>
                </w:p>
              </w:tc>
              <w:tc>
                <w:tcPr>
                  <w:tcW w:w="503" w:type="pct"/>
                  <w:vMerge w:val="continue"/>
                  <w:shd w:val="clear" w:color="auto" w:fill="FFFFFF"/>
                  <w:noWrap w:val="0"/>
                  <w:vAlign w:val="center"/>
                </w:tcPr>
                <w:p w14:paraId="3809F219">
                  <w:pPr>
                    <w:rPr>
                      <w:rFonts w:eastAsia="宋体"/>
                      <w:sz w:val="21"/>
                      <w:szCs w:val="21"/>
                    </w:rPr>
                  </w:pPr>
                </w:p>
              </w:tc>
              <w:tc>
                <w:tcPr>
                  <w:tcW w:w="833" w:type="pct"/>
                  <w:shd w:val="clear" w:color="auto" w:fill="FFFFFF"/>
                  <w:noWrap w:val="0"/>
                  <w:vAlign w:val="center"/>
                </w:tcPr>
                <w:p w14:paraId="198C20FE">
                  <w:pPr>
                    <w:jc w:val="center"/>
                    <w:rPr>
                      <w:rFonts w:eastAsia="宋体"/>
                      <w:sz w:val="21"/>
                      <w:szCs w:val="21"/>
                    </w:rPr>
                  </w:pPr>
                  <w:r>
                    <w:rPr>
                      <w:rFonts w:eastAsia="宋体"/>
                      <w:sz w:val="21"/>
                      <w:szCs w:val="21"/>
                    </w:rPr>
                    <w:t>EG精馏尾气洗涤塔</w:t>
                  </w:r>
                </w:p>
              </w:tc>
              <w:tc>
                <w:tcPr>
                  <w:tcW w:w="2920" w:type="pct"/>
                  <w:shd w:val="clear" w:color="auto" w:fill="FFFFFF"/>
                  <w:noWrap w:val="0"/>
                  <w:vAlign w:val="center"/>
                </w:tcPr>
                <w:p w14:paraId="70436936">
                  <w:pPr>
                    <w:rPr>
                      <w:rFonts w:eastAsia="宋体"/>
                      <w:sz w:val="21"/>
                      <w:szCs w:val="21"/>
                    </w:rPr>
                  </w:pPr>
                  <w:r>
                    <w:rPr>
                      <w:rFonts w:eastAsia="宋体"/>
                      <w:sz w:val="21"/>
                      <w:szCs w:val="21"/>
                    </w:rPr>
                    <w:t>水洗回收作为原料</w:t>
                  </w:r>
                  <w:r>
                    <w:rPr>
                      <w:rFonts w:hint="eastAsia" w:eastAsia="宋体"/>
                      <w:sz w:val="21"/>
                      <w:szCs w:val="21"/>
                    </w:rPr>
                    <w:t>，</w:t>
                  </w:r>
                  <w:r>
                    <w:rPr>
                      <w:rFonts w:eastAsia="宋体"/>
                      <w:sz w:val="21"/>
                      <w:szCs w:val="21"/>
                    </w:rPr>
                    <w:t>经1根排气筒外排</w:t>
                  </w:r>
                </w:p>
              </w:tc>
              <w:tc>
                <w:tcPr>
                  <w:tcW w:w="391" w:type="pct"/>
                  <w:vMerge w:val="continue"/>
                  <w:shd w:val="clear" w:color="auto" w:fill="FFFFFF"/>
                  <w:noWrap w:val="0"/>
                  <w:vAlign w:val="center"/>
                </w:tcPr>
                <w:p w14:paraId="651DC26C">
                  <w:pPr>
                    <w:jc w:val="center"/>
                    <w:rPr>
                      <w:rFonts w:eastAsia="宋体"/>
                      <w:sz w:val="21"/>
                      <w:szCs w:val="21"/>
                    </w:rPr>
                  </w:pPr>
                </w:p>
              </w:tc>
            </w:tr>
            <w:tr w14:paraId="09F9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0C3861C">
                  <w:pPr>
                    <w:rPr>
                      <w:rFonts w:eastAsia="宋体"/>
                      <w:sz w:val="21"/>
                      <w:szCs w:val="21"/>
                    </w:rPr>
                  </w:pPr>
                </w:p>
              </w:tc>
              <w:tc>
                <w:tcPr>
                  <w:tcW w:w="503" w:type="pct"/>
                  <w:vMerge w:val="continue"/>
                  <w:shd w:val="clear" w:color="auto" w:fill="FFFFFF"/>
                  <w:noWrap w:val="0"/>
                  <w:vAlign w:val="center"/>
                </w:tcPr>
                <w:p w14:paraId="07C880BA">
                  <w:pPr>
                    <w:rPr>
                      <w:rFonts w:eastAsia="宋体"/>
                      <w:sz w:val="21"/>
                      <w:szCs w:val="21"/>
                    </w:rPr>
                  </w:pPr>
                </w:p>
              </w:tc>
              <w:tc>
                <w:tcPr>
                  <w:tcW w:w="833" w:type="pct"/>
                  <w:shd w:val="clear" w:color="auto" w:fill="FFFFFF"/>
                  <w:noWrap w:val="0"/>
                  <w:vAlign w:val="center"/>
                </w:tcPr>
                <w:p w14:paraId="607A0DB4">
                  <w:pPr>
                    <w:jc w:val="center"/>
                    <w:rPr>
                      <w:rFonts w:eastAsia="宋体"/>
                      <w:sz w:val="21"/>
                      <w:szCs w:val="21"/>
                    </w:rPr>
                  </w:pPr>
                  <w:r>
                    <w:rPr>
                      <w:rFonts w:eastAsia="宋体"/>
                      <w:sz w:val="21"/>
                      <w:szCs w:val="21"/>
                    </w:rPr>
                    <w:t>乙二醇罐区尾气吸收塔</w:t>
                  </w:r>
                </w:p>
              </w:tc>
              <w:tc>
                <w:tcPr>
                  <w:tcW w:w="2920" w:type="pct"/>
                  <w:shd w:val="clear" w:color="auto" w:fill="FFFFFF"/>
                  <w:noWrap w:val="0"/>
                  <w:vAlign w:val="center"/>
                </w:tcPr>
                <w:p w14:paraId="7FD4A750">
                  <w:pPr>
                    <w:rPr>
                      <w:rFonts w:eastAsia="宋体"/>
                      <w:sz w:val="21"/>
                      <w:szCs w:val="21"/>
                    </w:rPr>
                  </w:pPr>
                  <w:r>
                    <w:rPr>
                      <w:rFonts w:eastAsia="宋体"/>
                      <w:sz w:val="21"/>
                      <w:szCs w:val="21"/>
                    </w:rPr>
                    <w:t>水洗喷淋后通过排气筒排放（2根）</w:t>
                  </w:r>
                </w:p>
              </w:tc>
              <w:tc>
                <w:tcPr>
                  <w:tcW w:w="391" w:type="pct"/>
                  <w:vMerge w:val="continue"/>
                  <w:shd w:val="clear" w:color="auto" w:fill="FFFFFF"/>
                  <w:noWrap w:val="0"/>
                  <w:vAlign w:val="center"/>
                </w:tcPr>
                <w:p w14:paraId="71AB9B69">
                  <w:pPr>
                    <w:jc w:val="center"/>
                    <w:rPr>
                      <w:rFonts w:eastAsia="宋体"/>
                      <w:sz w:val="21"/>
                      <w:szCs w:val="21"/>
                    </w:rPr>
                  </w:pPr>
                </w:p>
              </w:tc>
            </w:tr>
            <w:tr w14:paraId="1D4A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05C3A96">
                  <w:pPr>
                    <w:rPr>
                      <w:rFonts w:eastAsia="宋体"/>
                      <w:sz w:val="21"/>
                      <w:szCs w:val="21"/>
                    </w:rPr>
                  </w:pPr>
                </w:p>
              </w:tc>
              <w:tc>
                <w:tcPr>
                  <w:tcW w:w="503" w:type="pct"/>
                  <w:vMerge w:val="continue"/>
                  <w:shd w:val="clear" w:color="auto" w:fill="FFFFFF"/>
                  <w:noWrap w:val="0"/>
                  <w:vAlign w:val="center"/>
                </w:tcPr>
                <w:p w14:paraId="235019C6">
                  <w:pPr>
                    <w:rPr>
                      <w:rFonts w:eastAsia="宋体"/>
                      <w:sz w:val="21"/>
                      <w:szCs w:val="21"/>
                    </w:rPr>
                  </w:pPr>
                </w:p>
              </w:tc>
              <w:tc>
                <w:tcPr>
                  <w:tcW w:w="833" w:type="pct"/>
                  <w:shd w:val="clear" w:color="auto" w:fill="FFFFFF"/>
                  <w:noWrap w:val="0"/>
                  <w:vAlign w:val="center"/>
                </w:tcPr>
                <w:p w14:paraId="57EC32A5">
                  <w:pPr>
                    <w:jc w:val="center"/>
                    <w:rPr>
                      <w:rFonts w:eastAsia="宋体"/>
                      <w:sz w:val="21"/>
                      <w:szCs w:val="21"/>
                    </w:rPr>
                  </w:pPr>
                  <w:r>
                    <w:rPr>
                      <w:rFonts w:eastAsia="宋体"/>
                      <w:sz w:val="21"/>
                      <w:szCs w:val="21"/>
                    </w:rPr>
                    <w:t>甲醇2#装置加热炉尾气</w:t>
                  </w:r>
                </w:p>
              </w:tc>
              <w:tc>
                <w:tcPr>
                  <w:tcW w:w="2920" w:type="pct"/>
                  <w:shd w:val="clear" w:color="auto" w:fill="FFFFFF"/>
                  <w:noWrap w:val="0"/>
                  <w:vAlign w:val="center"/>
                </w:tcPr>
                <w:p w14:paraId="4B070CE0">
                  <w:pPr>
                    <w:rPr>
                      <w:rFonts w:eastAsia="宋体"/>
                      <w:sz w:val="21"/>
                      <w:szCs w:val="21"/>
                    </w:rPr>
                  </w:pPr>
                  <w:r>
                    <w:rPr>
                      <w:rFonts w:eastAsia="宋体"/>
                      <w:sz w:val="21"/>
                      <w:szCs w:val="21"/>
                    </w:rPr>
                    <w:t>经SCR处理后，通过</w:t>
                  </w:r>
                  <w:r>
                    <w:rPr>
                      <w:rFonts w:hint="eastAsia" w:eastAsia="宋体"/>
                      <w:sz w:val="21"/>
                      <w:szCs w:val="21"/>
                    </w:rPr>
                    <w:t>60</w:t>
                  </w:r>
                  <w:r>
                    <w:rPr>
                      <w:rFonts w:eastAsia="宋体"/>
                      <w:sz w:val="21"/>
                      <w:szCs w:val="21"/>
                    </w:rPr>
                    <w:t>m烟囱外排</w:t>
                  </w:r>
                </w:p>
              </w:tc>
              <w:tc>
                <w:tcPr>
                  <w:tcW w:w="391" w:type="pct"/>
                  <w:vMerge w:val="restart"/>
                  <w:shd w:val="clear" w:color="auto" w:fill="FFFFFF"/>
                  <w:noWrap w:val="0"/>
                  <w:vAlign w:val="center"/>
                </w:tcPr>
                <w:p w14:paraId="4518E609">
                  <w:pPr>
                    <w:jc w:val="center"/>
                    <w:rPr>
                      <w:rFonts w:eastAsia="宋体"/>
                      <w:sz w:val="21"/>
                      <w:szCs w:val="21"/>
                    </w:rPr>
                  </w:pPr>
                  <w:r>
                    <w:rPr>
                      <w:rFonts w:hint="eastAsia" w:eastAsia="宋体"/>
                      <w:sz w:val="21"/>
                      <w:szCs w:val="21"/>
                    </w:rPr>
                    <w:t>合成气综合利用</w:t>
                  </w:r>
                </w:p>
              </w:tc>
            </w:tr>
            <w:tr w14:paraId="7C6E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EBA98B5">
                  <w:pPr>
                    <w:rPr>
                      <w:rFonts w:eastAsia="宋体"/>
                      <w:sz w:val="21"/>
                      <w:szCs w:val="21"/>
                    </w:rPr>
                  </w:pPr>
                </w:p>
              </w:tc>
              <w:tc>
                <w:tcPr>
                  <w:tcW w:w="503" w:type="pct"/>
                  <w:vMerge w:val="continue"/>
                  <w:shd w:val="clear" w:color="auto" w:fill="FFFFFF"/>
                  <w:noWrap w:val="0"/>
                  <w:vAlign w:val="center"/>
                </w:tcPr>
                <w:p w14:paraId="0F1CC142">
                  <w:pPr>
                    <w:rPr>
                      <w:rFonts w:eastAsia="宋体"/>
                      <w:sz w:val="21"/>
                      <w:szCs w:val="21"/>
                    </w:rPr>
                  </w:pPr>
                </w:p>
              </w:tc>
              <w:tc>
                <w:tcPr>
                  <w:tcW w:w="833" w:type="pct"/>
                  <w:shd w:val="clear" w:color="auto" w:fill="FFFFFF"/>
                  <w:noWrap w:val="0"/>
                  <w:vAlign w:val="center"/>
                </w:tcPr>
                <w:p w14:paraId="077040EA">
                  <w:pPr>
                    <w:jc w:val="center"/>
                    <w:rPr>
                      <w:rFonts w:eastAsia="宋体"/>
                      <w:sz w:val="21"/>
                      <w:szCs w:val="21"/>
                    </w:rPr>
                  </w:pPr>
                  <w:r>
                    <w:rPr>
                      <w:rFonts w:eastAsia="宋体"/>
                      <w:sz w:val="21"/>
                      <w:szCs w:val="21"/>
                    </w:rPr>
                    <w:t>甲醇2#装置精馏放空尾气</w:t>
                  </w:r>
                </w:p>
              </w:tc>
              <w:tc>
                <w:tcPr>
                  <w:tcW w:w="2920" w:type="pct"/>
                  <w:shd w:val="clear" w:color="auto" w:fill="FFFFFF"/>
                  <w:noWrap w:val="0"/>
                  <w:vAlign w:val="center"/>
                </w:tcPr>
                <w:p w14:paraId="075F3D52">
                  <w:pPr>
                    <w:rPr>
                      <w:rFonts w:eastAsia="宋体"/>
                      <w:sz w:val="21"/>
                      <w:szCs w:val="21"/>
                    </w:rPr>
                  </w:pPr>
                  <w:r>
                    <w:rPr>
                      <w:rFonts w:eastAsia="宋体"/>
                      <w:sz w:val="21"/>
                      <w:szCs w:val="21"/>
                    </w:rPr>
                    <w:t>经水洗塔处理后，通过30m排气筒外排</w:t>
                  </w:r>
                </w:p>
              </w:tc>
              <w:tc>
                <w:tcPr>
                  <w:tcW w:w="391" w:type="pct"/>
                  <w:vMerge w:val="continue"/>
                  <w:shd w:val="clear" w:color="auto" w:fill="FFFFFF"/>
                  <w:noWrap w:val="0"/>
                  <w:vAlign w:val="center"/>
                </w:tcPr>
                <w:p w14:paraId="026431AA">
                  <w:pPr>
                    <w:jc w:val="center"/>
                    <w:rPr>
                      <w:rFonts w:eastAsia="宋体"/>
                      <w:sz w:val="21"/>
                      <w:szCs w:val="21"/>
                    </w:rPr>
                  </w:pPr>
                </w:p>
              </w:tc>
            </w:tr>
            <w:tr w14:paraId="7110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0AF1577">
                  <w:pPr>
                    <w:rPr>
                      <w:rFonts w:eastAsia="宋体"/>
                      <w:sz w:val="21"/>
                      <w:szCs w:val="21"/>
                    </w:rPr>
                  </w:pPr>
                </w:p>
              </w:tc>
              <w:tc>
                <w:tcPr>
                  <w:tcW w:w="503" w:type="pct"/>
                  <w:vMerge w:val="continue"/>
                  <w:shd w:val="clear" w:color="auto" w:fill="FFFFFF"/>
                  <w:noWrap w:val="0"/>
                  <w:vAlign w:val="center"/>
                </w:tcPr>
                <w:p w14:paraId="31AE5EE3">
                  <w:pPr>
                    <w:rPr>
                      <w:rFonts w:eastAsia="宋体"/>
                      <w:sz w:val="21"/>
                      <w:szCs w:val="21"/>
                    </w:rPr>
                  </w:pPr>
                </w:p>
              </w:tc>
              <w:tc>
                <w:tcPr>
                  <w:tcW w:w="833" w:type="pct"/>
                  <w:shd w:val="clear" w:color="auto" w:fill="auto"/>
                  <w:noWrap w:val="0"/>
                  <w:vAlign w:val="center"/>
                </w:tcPr>
                <w:p w14:paraId="5F45E0C8">
                  <w:pPr>
                    <w:jc w:val="center"/>
                    <w:rPr>
                      <w:rFonts w:eastAsia="宋体"/>
                      <w:sz w:val="21"/>
                      <w:szCs w:val="21"/>
                    </w:rPr>
                  </w:pPr>
                  <w:r>
                    <w:rPr>
                      <w:rFonts w:eastAsia="宋体"/>
                      <w:sz w:val="21"/>
                      <w:szCs w:val="21"/>
                    </w:rPr>
                    <w:t>醋酸中间罐区洗涤</w:t>
                  </w:r>
                </w:p>
              </w:tc>
              <w:tc>
                <w:tcPr>
                  <w:tcW w:w="2920" w:type="pct"/>
                  <w:shd w:val="clear" w:color="auto" w:fill="auto"/>
                  <w:noWrap w:val="0"/>
                  <w:vAlign w:val="center"/>
                </w:tcPr>
                <w:p w14:paraId="56315B07">
                  <w:pPr>
                    <w:rPr>
                      <w:rFonts w:eastAsia="宋体"/>
                      <w:sz w:val="21"/>
                      <w:szCs w:val="21"/>
                    </w:rPr>
                  </w:pPr>
                  <w:r>
                    <w:rPr>
                      <w:rFonts w:eastAsia="宋体"/>
                      <w:sz w:val="21"/>
                      <w:szCs w:val="21"/>
                    </w:rPr>
                    <w:t>3座洗涤塔</w:t>
                  </w:r>
                </w:p>
              </w:tc>
              <w:tc>
                <w:tcPr>
                  <w:tcW w:w="391" w:type="pct"/>
                  <w:vMerge w:val="continue"/>
                  <w:shd w:val="clear" w:color="auto" w:fill="auto"/>
                  <w:noWrap w:val="0"/>
                  <w:vAlign w:val="center"/>
                </w:tcPr>
                <w:p w14:paraId="513EA9C1">
                  <w:pPr>
                    <w:jc w:val="center"/>
                    <w:rPr>
                      <w:rFonts w:eastAsia="宋体"/>
                      <w:sz w:val="21"/>
                      <w:szCs w:val="21"/>
                    </w:rPr>
                  </w:pPr>
                </w:p>
              </w:tc>
            </w:tr>
            <w:tr w14:paraId="424B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3E45BC53">
                  <w:pPr>
                    <w:rPr>
                      <w:rFonts w:eastAsia="宋体"/>
                      <w:sz w:val="21"/>
                      <w:szCs w:val="21"/>
                    </w:rPr>
                  </w:pPr>
                </w:p>
              </w:tc>
              <w:tc>
                <w:tcPr>
                  <w:tcW w:w="503" w:type="pct"/>
                  <w:vMerge w:val="continue"/>
                  <w:shd w:val="clear" w:color="auto" w:fill="FFFFFF"/>
                  <w:noWrap w:val="0"/>
                  <w:vAlign w:val="center"/>
                </w:tcPr>
                <w:p w14:paraId="0D108D2B">
                  <w:pPr>
                    <w:rPr>
                      <w:rFonts w:eastAsia="宋体"/>
                      <w:sz w:val="21"/>
                      <w:szCs w:val="21"/>
                    </w:rPr>
                  </w:pPr>
                </w:p>
              </w:tc>
              <w:tc>
                <w:tcPr>
                  <w:tcW w:w="833" w:type="pct"/>
                  <w:shd w:val="clear" w:color="auto" w:fill="auto"/>
                  <w:noWrap w:val="0"/>
                  <w:vAlign w:val="center"/>
                </w:tcPr>
                <w:p w14:paraId="24406E01">
                  <w:pPr>
                    <w:jc w:val="center"/>
                    <w:rPr>
                      <w:rFonts w:eastAsia="宋体"/>
                      <w:sz w:val="21"/>
                      <w:szCs w:val="21"/>
                    </w:rPr>
                  </w:pPr>
                  <w:r>
                    <w:rPr>
                      <w:rFonts w:eastAsia="宋体"/>
                      <w:sz w:val="21"/>
                      <w:szCs w:val="21"/>
                    </w:rPr>
                    <w:t>甲醇中间罐区洗涤塔</w:t>
                  </w:r>
                </w:p>
              </w:tc>
              <w:tc>
                <w:tcPr>
                  <w:tcW w:w="2920" w:type="pct"/>
                  <w:shd w:val="clear" w:color="auto" w:fill="auto"/>
                  <w:noWrap w:val="0"/>
                  <w:vAlign w:val="center"/>
                </w:tcPr>
                <w:p w14:paraId="5034926D">
                  <w:pPr>
                    <w:rPr>
                      <w:rFonts w:hint="eastAsia" w:eastAsia="宋体"/>
                      <w:sz w:val="21"/>
                      <w:szCs w:val="21"/>
                    </w:rPr>
                  </w:pPr>
                  <w:r>
                    <w:rPr>
                      <w:rFonts w:hint="eastAsia" w:eastAsia="宋体"/>
                      <w:sz w:val="21"/>
                      <w:szCs w:val="21"/>
                    </w:rPr>
                    <w:t>依托工业气体岛</w:t>
                  </w:r>
                  <w:r>
                    <w:rPr>
                      <w:rFonts w:eastAsia="宋体"/>
                      <w:sz w:val="21"/>
                      <w:szCs w:val="21"/>
                    </w:rPr>
                    <w:t>甲醇中间罐区洗涤塔</w:t>
                  </w:r>
                </w:p>
              </w:tc>
              <w:tc>
                <w:tcPr>
                  <w:tcW w:w="391" w:type="pct"/>
                  <w:vMerge w:val="continue"/>
                  <w:shd w:val="clear" w:color="auto" w:fill="auto"/>
                  <w:noWrap w:val="0"/>
                  <w:vAlign w:val="center"/>
                </w:tcPr>
                <w:p w14:paraId="589A61D5">
                  <w:pPr>
                    <w:jc w:val="center"/>
                    <w:rPr>
                      <w:rFonts w:eastAsia="宋体"/>
                      <w:sz w:val="21"/>
                      <w:szCs w:val="21"/>
                    </w:rPr>
                  </w:pPr>
                </w:p>
              </w:tc>
            </w:tr>
            <w:tr w14:paraId="6B81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DEA72AE">
                  <w:pPr>
                    <w:rPr>
                      <w:rFonts w:eastAsia="宋体"/>
                      <w:sz w:val="21"/>
                      <w:szCs w:val="21"/>
                    </w:rPr>
                  </w:pPr>
                </w:p>
              </w:tc>
              <w:tc>
                <w:tcPr>
                  <w:tcW w:w="503" w:type="pct"/>
                  <w:vMerge w:val="continue"/>
                  <w:shd w:val="clear" w:color="auto" w:fill="FFFFFF"/>
                  <w:noWrap w:val="0"/>
                  <w:vAlign w:val="center"/>
                </w:tcPr>
                <w:p w14:paraId="7E58B8B3">
                  <w:pPr>
                    <w:rPr>
                      <w:rFonts w:eastAsia="宋体"/>
                      <w:sz w:val="21"/>
                      <w:szCs w:val="21"/>
                    </w:rPr>
                  </w:pPr>
                </w:p>
              </w:tc>
              <w:tc>
                <w:tcPr>
                  <w:tcW w:w="833" w:type="pct"/>
                  <w:shd w:val="clear" w:color="auto" w:fill="auto"/>
                  <w:noWrap w:val="0"/>
                  <w:vAlign w:val="center"/>
                </w:tcPr>
                <w:p w14:paraId="16619625">
                  <w:pPr>
                    <w:jc w:val="center"/>
                    <w:rPr>
                      <w:rFonts w:eastAsia="宋体"/>
                      <w:sz w:val="21"/>
                      <w:szCs w:val="21"/>
                    </w:rPr>
                  </w:pPr>
                  <w:r>
                    <w:rPr>
                      <w:rFonts w:eastAsia="宋体"/>
                      <w:sz w:val="21"/>
                      <w:szCs w:val="21"/>
                    </w:rPr>
                    <w:t>杂醇洗涤塔</w:t>
                  </w:r>
                </w:p>
              </w:tc>
              <w:tc>
                <w:tcPr>
                  <w:tcW w:w="2920" w:type="pct"/>
                  <w:shd w:val="clear" w:color="auto" w:fill="auto"/>
                  <w:noWrap w:val="0"/>
                  <w:vAlign w:val="center"/>
                </w:tcPr>
                <w:p w14:paraId="2A4FFCEF">
                  <w:pPr>
                    <w:rPr>
                      <w:rFonts w:eastAsia="宋体"/>
                      <w:sz w:val="21"/>
                      <w:szCs w:val="21"/>
                    </w:rPr>
                  </w:pPr>
                  <w:r>
                    <w:rPr>
                      <w:rFonts w:hint="eastAsia" w:eastAsia="宋体"/>
                      <w:sz w:val="21"/>
                      <w:szCs w:val="21"/>
                    </w:rPr>
                    <w:t>依托工业气体岛</w:t>
                  </w:r>
                  <w:r>
                    <w:rPr>
                      <w:rFonts w:eastAsia="宋体"/>
                      <w:sz w:val="21"/>
                      <w:szCs w:val="21"/>
                    </w:rPr>
                    <w:t>EG精馏尾气洗涤塔</w:t>
                  </w:r>
                </w:p>
              </w:tc>
              <w:tc>
                <w:tcPr>
                  <w:tcW w:w="391" w:type="pct"/>
                  <w:vMerge w:val="continue"/>
                  <w:shd w:val="clear" w:color="auto" w:fill="auto"/>
                  <w:noWrap w:val="0"/>
                  <w:vAlign w:val="center"/>
                </w:tcPr>
                <w:p w14:paraId="162E8E80">
                  <w:pPr>
                    <w:jc w:val="center"/>
                    <w:rPr>
                      <w:rFonts w:eastAsia="宋体"/>
                      <w:sz w:val="21"/>
                      <w:szCs w:val="21"/>
                    </w:rPr>
                  </w:pPr>
                </w:p>
              </w:tc>
            </w:tr>
            <w:tr w14:paraId="6D2C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A367C09">
                  <w:pPr>
                    <w:rPr>
                      <w:rFonts w:eastAsia="宋体"/>
                      <w:sz w:val="21"/>
                      <w:szCs w:val="21"/>
                    </w:rPr>
                  </w:pPr>
                </w:p>
              </w:tc>
              <w:tc>
                <w:tcPr>
                  <w:tcW w:w="503" w:type="pct"/>
                  <w:vMerge w:val="continue"/>
                  <w:shd w:val="clear" w:color="auto" w:fill="FFFFFF"/>
                  <w:noWrap w:val="0"/>
                  <w:vAlign w:val="center"/>
                </w:tcPr>
                <w:p w14:paraId="18F3756A">
                  <w:pPr>
                    <w:rPr>
                      <w:rFonts w:eastAsia="宋体"/>
                      <w:sz w:val="21"/>
                      <w:szCs w:val="21"/>
                    </w:rPr>
                  </w:pPr>
                </w:p>
              </w:tc>
              <w:tc>
                <w:tcPr>
                  <w:tcW w:w="833" w:type="pct"/>
                  <w:shd w:val="clear" w:color="auto" w:fill="auto"/>
                  <w:noWrap w:val="0"/>
                  <w:vAlign w:val="center"/>
                </w:tcPr>
                <w:p w14:paraId="3C65AE97">
                  <w:pPr>
                    <w:jc w:val="center"/>
                    <w:rPr>
                      <w:rFonts w:eastAsia="宋体"/>
                      <w:sz w:val="21"/>
                      <w:szCs w:val="21"/>
                    </w:rPr>
                  </w:pPr>
                  <w:r>
                    <w:rPr>
                      <w:rFonts w:hint="eastAsia" w:eastAsia="宋体"/>
                      <w:sz w:val="21"/>
                      <w:szCs w:val="21"/>
                    </w:rPr>
                    <w:t>分解塔废气</w:t>
                  </w:r>
                </w:p>
              </w:tc>
              <w:tc>
                <w:tcPr>
                  <w:tcW w:w="2920" w:type="pct"/>
                  <w:shd w:val="clear" w:color="auto" w:fill="auto"/>
                  <w:noWrap w:val="0"/>
                  <w:vAlign w:val="center"/>
                </w:tcPr>
                <w:p w14:paraId="43169C39">
                  <w:pPr>
                    <w:rPr>
                      <w:rFonts w:eastAsia="宋体"/>
                      <w:sz w:val="21"/>
                      <w:szCs w:val="21"/>
                    </w:rPr>
                  </w:pPr>
                  <w:r>
                    <w:rPr>
                      <w:rFonts w:hint="eastAsia" w:eastAsia="宋体"/>
                      <w:sz w:val="21"/>
                      <w:szCs w:val="21"/>
                    </w:rPr>
                    <w:t>送入硫回收装置</w:t>
                  </w:r>
                </w:p>
              </w:tc>
              <w:tc>
                <w:tcPr>
                  <w:tcW w:w="391" w:type="pct"/>
                  <w:vMerge w:val="restart"/>
                  <w:shd w:val="clear" w:color="auto" w:fill="auto"/>
                  <w:noWrap w:val="0"/>
                  <w:vAlign w:val="center"/>
                </w:tcPr>
                <w:p w14:paraId="2E59FD32">
                  <w:pPr>
                    <w:jc w:val="center"/>
                    <w:rPr>
                      <w:rFonts w:eastAsia="宋体"/>
                      <w:sz w:val="21"/>
                      <w:szCs w:val="21"/>
                    </w:rPr>
                  </w:pPr>
                  <w:r>
                    <w:rPr>
                      <w:rFonts w:hint="eastAsia" w:eastAsia="宋体"/>
                      <w:sz w:val="21"/>
                      <w:szCs w:val="21"/>
                    </w:rPr>
                    <w:t>氨回收</w:t>
                  </w:r>
                </w:p>
              </w:tc>
            </w:tr>
            <w:tr w14:paraId="229C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E2E6928">
                  <w:pPr>
                    <w:rPr>
                      <w:rFonts w:eastAsia="宋体"/>
                      <w:sz w:val="21"/>
                      <w:szCs w:val="21"/>
                    </w:rPr>
                  </w:pPr>
                </w:p>
              </w:tc>
              <w:tc>
                <w:tcPr>
                  <w:tcW w:w="503" w:type="pct"/>
                  <w:vMerge w:val="continue"/>
                  <w:shd w:val="clear" w:color="auto" w:fill="FFFFFF"/>
                  <w:noWrap w:val="0"/>
                  <w:vAlign w:val="center"/>
                </w:tcPr>
                <w:p w14:paraId="2A2BD960">
                  <w:pPr>
                    <w:rPr>
                      <w:rFonts w:eastAsia="宋体"/>
                      <w:sz w:val="21"/>
                      <w:szCs w:val="21"/>
                    </w:rPr>
                  </w:pPr>
                </w:p>
              </w:tc>
              <w:tc>
                <w:tcPr>
                  <w:tcW w:w="833" w:type="pct"/>
                  <w:shd w:val="clear" w:color="auto" w:fill="auto"/>
                  <w:noWrap w:val="0"/>
                  <w:vAlign w:val="center"/>
                </w:tcPr>
                <w:p w14:paraId="195C66FE">
                  <w:pPr>
                    <w:jc w:val="center"/>
                    <w:rPr>
                      <w:rFonts w:hint="eastAsia" w:eastAsia="宋体"/>
                      <w:sz w:val="21"/>
                      <w:szCs w:val="21"/>
                    </w:rPr>
                  </w:pPr>
                  <w:r>
                    <w:rPr>
                      <w:rFonts w:hint="eastAsia" w:eastAsia="宋体"/>
                      <w:sz w:val="21"/>
                      <w:szCs w:val="21"/>
                    </w:rPr>
                    <w:t>氨吸收塔塔顶气</w:t>
                  </w:r>
                </w:p>
              </w:tc>
              <w:tc>
                <w:tcPr>
                  <w:tcW w:w="2920" w:type="pct"/>
                  <w:shd w:val="clear" w:color="auto" w:fill="auto"/>
                  <w:noWrap w:val="0"/>
                  <w:vAlign w:val="center"/>
                </w:tcPr>
                <w:p w14:paraId="2B9F67C7">
                  <w:pPr>
                    <w:rPr>
                      <w:rFonts w:hint="eastAsia" w:eastAsia="宋体"/>
                      <w:sz w:val="21"/>
                      <w:szCs w:val="21"/>
                    </w:rPr>
                  </w:pPr>
                  <w:r>
                    <w:rPr>
                      <w:rFonts w:hint="eastAsia" w:eastAsia="宋体"/>
                      <w:sz w:val="21"/>
                      <w:szCs w:val="21"/>
                    </w:rPr>
                    <w:t>去火炬</w:t>
                  </w:r>
                  <w:r>
                    <w:rPr>
                      <w:rFonts w:eastAsia="宋体"/>
                      <w:sz w:val="21"/>
                      <w:szCs w:val="21"/>
                    </w:rPr>
                    <w:t>燃烧高空排放</w:t>
                  </w:r>
                </w:p>
              </w:tc>
              <w:tc>
                <w:tcPr>
                  <w:tcW w:w="391" w:type="pct"/>
                  <w:vMerge w:val="continue"/>
                  <w:shd w:val="clear" w:color="auto" w:fill="auto"/>
                  <w:noWrap w:val="0"/>
                  <w:vAlign w:val="center"/>
                </w:tcPr>
                <w:p w14:paraId="58335D94">
                  <w:pPr>
                    <w:jc w:val="center"/>
                    <w:rPr>
                      <w:rFonts w:hint="eastAsia" w:eastAsia="宋体"/>
                      <w:sz w:val="21"/>
                      <w:szCs w:val="21"/>
                    </w:rPr>
                  </w:pPr>
                </w:p>
              </w:tc>
            </w:tr>
            <w:tr w14:paraId="7E71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27A7BC7">
                  <w:pPr>
                    <w:rPr>
                      <w:rFonts w:eastAsia="宋体"/>
                      <w:sz w:val="21"/>
                      <w:szCs w:val="21"/>
                    </w:rPr>
                  </w:pPr>
                </w:p>
              </w:tc>
              <w:tc>
                <w:tcPr>
                  <w:tcW w:w="503" w:type="pct"/>
                  <w:vMerge w:val="continue"/>
                  <w:shd w:val="clear" w:color="auto" w:fill="FFFFFF"/>
                  <w:noWrap w:val="0"/>
                  <w:vAlign w:val="center"/>
                </w:tcPr>
                <w:p w14:paraId="17488CCC">
                  <w:pPr>
                    <w:rPr>
                      <w:rFonts w:eastAsia="宋体"/>
                      <w:sz w:val="21"/>
                      <w:szCs w:val="21"/>
                    </w:rPr>
                  </w:pPr>
                </w:p>
              </w:tc>
              <w:tc>
                <w:tcPr>
                  <w:tcW w:w="833" w:type="pct"/>
                  <w:shd w:val="clear" w:color="auto" w:fill="auto"/>
                  <w:noWrap w:val="0"/>
                  <w:vAlign w:val="center"/>
                </w:tcPr>
                <w:p w14:paraId="09888C3D">
                  <w:pPr>
                    <w:jc w:val="center"/>
                    <w:rPr>
                      <w:rFonts w:hint="eastAsia" w:eastAsia="宋体"/>
                      <w:sz w:val="21"/>
                      <w:szCs w:val="21"/>
                    </w:rPr>
                  </w:pPr>
                  <w:r>
                    <w:rPr>
                      <w:rFonts w:hint="eastAsia" w:eastAsia="宋体"/>
                      <w:sz w:val="21"/>
                      <w:szCs w:val="21"/>
                    </w:rPr>
                    <w:t>无废气产生</w:t>
                  </w:r>
                </w:p>
              </w:tc>
              <w:tc>
                <w:tcPr>
                  <w:tcW w:w="2920" w:type="pct"/>
                  <w:shd w:val="clear" w:color="auto" w:fill="auto"/>
                  <w:noWrap w:val="0"/>
                  <w:vAlign w:val="center"/>
                </w:tcPr>
                <w:p w14:paraId="162BCBE5">
                  <w:pPr>
                    <w:jc w:val="center"/>
                    <w:rPr>
                      <w:rFonts w:hint="eastAsia" w:eastAsia="宋体"/>
                      <w:sz w:val="21"/>
                      <w:szCs w:val="21"/>
                    </w:rPr>
                  </w:pPr>
                  <w:r>
                    <w:rPr>
                      <w:rFonts w:hint="eastAsia" w:eastAsia="宋体"/>
                      <w:sz w:val="21"/>
                      <w:szCs w:val="21"/>
                    </w:rPr>
                    <w:t>/</w:t>
                  </w:r>
                </w:p>
              </w:tc>
              <w:tc>
                <w:tcPr>
                  <w:tcW w:w="391" w:type="pct"/>
                  <w:shd w:val="clear" w:color="auto" w:fill="auto"/>
                  <w:noWrap w:val="0"/>
                  <w:vAlign w:val="center"/>
                </w:tcPr>
                <w:p w14:paraId="4DEE9498">
                  <w:pPr>
                    <w:jc w:val="center"/>
                    <w:rPr>
                      <w:rFonts w:hint="eastAsia" w:eastAsia="宋体"/>
                      <w:sz w:val="21"/>
                      <w:szCs w:val="21"/>
                    </w:rPr>
                  </w:pPr>
                  <w:r>
                    <w:rPr>
                      <w:rFonts w:hint="eastAsia" w:eastAsia="宋体"/>
                      <w:sz w:val="21"/>
                      <w:szCs w:val="21"/>
                    </w:rPr>
                    <w:t>气化细渣脱水干化扩产</w:t>
                  </w:r>
                </w:p>
              </w:tc>
            </w:tr>
            <w:tr w14:paraId="03F4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19F69E3">
                  <w:pPr>
                    <w:rPr>
                      <w:rFonts w:eastAsia="宋体"/>
                      <w:sz w:val="21"/>
                      <w:szCs w:val="21"/>
                    </w:rPr>
                  </w:pPr>
                </w:p>
              </w:tc>
              <w:tc>
                <w:tcPr>
                  <w:tcW w:w="503" w:type="pct"/>
                  <w:vMerge w:val="continue"/>
                  <w:shd w:val="clear" w:color="auto" w:fill="FFFFFF"/>
                  <w:noWrap w:val="0"/>
                  <w:vAlign w:val="center"/>
                </w:tcPr>
                <w:p w14:paraId="4C6B6242">
                  <w:pPr>
                    <w:rPr>
                      <w:rFonts w:eastAsia="宋体"/>
                      <w:sz w:val="21"/>
                      <w:szCs w:val="21"/>
                    </w:rPr>
                  </w:pPr>
                </w:p>
              </w:tc>
              <w:tc>
                <w:tcPr>
                  <w:tcW w:w="833" w:type="pct"/>
                  <w:shd w:val="clear" w:color="auto" w:fill="auto"/>
                  <w:noWrap w:val="0"/>
                  <w:vAlign w:val="center"/>
                </w:tcPr>
                <w:p w14:paraId="154EB0D0">
                  <w:pPr>
                    <w:jc w:val="center"/>
                    <w:rPr>
                      <w:rFonts w:hint="eastAsia" w:eastAsia="宋体"/>
                      <w:sz w:val="21"/>
                      <w:szCs w:val="21"/>
                    </w:rPr>
                  </w:pPr>
                  <w:r>
                    <w:rPr>
                      <w:rFonts w:eastAsia="宋体"/>
                      <w:sz w:val="21"/>
                      <w:szCs w:val="21"/>
                    </w:rPr>
                    <w:t>脱轻塔分冷凝器</w:t>
                  </w:r>
                  <w:r>
                    <w:rPr>
                      <w:rFonts w:hint="eastAsia" w:eastAsia="宋体"/>
                      <w:sz w:val="21"/>
                      <w:szCs w:val="21"/>
                    </w:rPr>
                    <w:t>不凝</w:t>
                  </w:r>
                  <w:r>
                    <w:rPr>
                      <w:rFonts w:eastAsia="宋体"/>
                      <w:sz w:val="21"/>
                      <w:szCs w:val="21"/>
                    </w:rPr>
                    <w:t>气、加压塔轻馏分深冷冷凝器不凝气和常压塔分冷凝器不凝气</w:t>
                  </w:r>
                </w:p>
              </w:tc>
              <w:tc>
                <w:tcPr>
                  <w:tcW w:w="2920" w:type="pct"/>
                  <w:shd w:val="clear" w:color="auto" w:fill="auto"/>
                  <w:noWrap w:val="0"/>
                  <w:vAlign w:val="center"/>
                </w:tcPr>
                <w:p w14:paraId="7281EE41">
                  <w:pPr>
                    <w:rPr>
                      <w:rFonts w:hint="eastAsia" w:eastAsia="宋体"/>
                      <w:sz w:val="21"/>
                      <w:szCs w:val="21"/>
                    </w:rPr>
                  </w:pPr>
                  <w:r>
                    <w:rPr>
                      <w:rFonts w:hint="eastAsia" w:eastAsia="宋体"/>
                      <w:sz w:val="21"/>
                      <w:szCs w:val="21"/>
                    </w:rPr>
                    <w:t>进入现有硫回收焚烧炉进行焚烧</w:t>
                  </w:r>
                  <w:r>
                    <w:rPr>
                      <w:rFonts w:eastAsia="宋体"/>
                      <w:sz w:val="21"/>
                      <w:szCs w:val="21"/>
                    </w:rPr>
                    <w:t>，通过</w:t>
                  </w:r>
                  <w:r>
                    <w:rPr>
                      <w:rFonts w:hint="eastAsia" w:eastAsia="宋体"/>
                      <w:sz w:val="21"/>
                      <w:szCs w:val="21"/>
                    </w:rPr>
                    <w:t>60米</w:t>
                  </w:r>
                  <w:r>
                    <w:rPr>
                      <w:rFonts w:eastAsia="宋体"/>
                      <w:sz w:val="21"/>
                      <w:szCs w:val="21"/>
                    </w:rPr>
                    <w:t>高排气筒（DA0</w:t>
                  </w:r>
                  <w:r>
                    <w:rPr>
                      <w:rFonts w:hint="eastAsia" w:eastAsia="宋体"/>
                      <w:sz w:val="21"/>
                      <w:szCs w:val="21"/>
                    </w:rPr>
                    <w:t>44</w:t>
                  </w:r>
                  <w:r>
                    <w:rPr>
                      <w:rFonts w:eastAsia="宋体"/>
                      <w:sz w:val="21"/>
                      <w:szCs w:val="21"/>
                    </w:rPr>
                    <w:t>）排放</w:t>
                  </w:r>
                </w:p>
              </w:tc>
              <w:tc>
                <w:tcPr>
                  <w:tcW w:w="391" w:type="pct"/>
                  <w:vMerge w:val="restart"/>
                  <w:shd w:val="clear" w:color="auto" w:fill="auto"/>
                  <w:noWrap w:val="0"/>
                  <w:vAlign w:val="center"/>
                </w:tcPr>
                <w:p w14:paraId="42B97C4A">
                  <w:pPr>
                    <w:jc w:val="center"/>
                    <w:rPr>
                      <w:rFonts w:hint="eastAsia" w:eastAsia="宋体"/>
                      <w:sz w:val="21"/>
                      <w:szCs w:val="21"/>
                    </w:rPr>
                  </w:pPr>
                  <w:r>
                    <w:rPr>
                      <w:rFonts w:hint="eastAsia" w:eastAsia="宋体"/>
                      <w:sz w:val="21"/>
                      <w:szCs w:val="21"/>
                    </w:rPr>
                    <w:t>DMC回收</w:t>
                  </w:r>
                </w:p>
              </w:tc>
            </w:tr>
            <w:tr w14:paraId="23F1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20C4790A">
                  <w:pPr>
                    <w:rPr>
                      <w:rFonts w:eastAsia="宋体"/>
                      <w:sz w:val="21"/>
                      <w:szCs w:val="21"/>
                    </w:rPr>
                  </w:pPr>
                </w:p>
              </w:tc>
              <w:tc>
                <w:tcPr>
                  <w:tcW w:w="503" w:type="pct"/>
                  <w:vMerge w:val="continue"/>
                  <w:shd w:val="clear" w:color="auto" w:fill="FFFFFF"/>
                  <w:noWrap w:val="0"/>
                  <w:vAlign w:val="center"/>
                </w:tcPr>
                <w:p w14:paraId="1A34B22F">
                  <w:pPr>
                    <w:rPr>
                      <w:rFonts w:eastAsia="宋体"/>
                      <w:sz w:val="21"/>
                      <w:szCs w:val="21"/>
                    </w:rPr>
                  </w:pPr>
                </w:p>
              </w:tc>
              <w:tc>
                <w:tcPr>
                  <w:tcW w:w="833" w:type="pct"/>
                  <w:shd w:val="clear" w:color="auto" w:fill="auto"/>
                  <w:noWrap w:val="0"/>
                  <w:vAlign w:val="center"/>
                </w:tcPr>
                <w:p w14:paraId="63E443DA">
                  <w:pPr>
                    <w:jc w:val="center"/>
                    <w:rPr>
                      <w:rFonts w:hint="eastAsia" w:eastAsia="宋体"/>
                      <w:sz w:val="21"/>
                      <w:szCs w:val="21"/>
                    </w:rPr>
                  </w:pPr>
                  <w:r>
                    <w:rPr>
                      <w:rFonts w:eastAsia="宋体"/>
                      <w:sz w:val="21"/>
                      <w:szCs w:val="21"/>
                    </w:rPr>
                    <w:t>精制塔冷凝器不凝气</w:t>
                  </w:r>
                </w:p>
              </w:tc>
              <w:tc>
                <w:tcPr>
                  <w:tcW w:w="2920" w:type="pct"/>
                  <w:shd w:val="clear" w:color="auto" w:fill="auto"/>
                  <w:noWrap w:val="0"/>
                  <w:vAlign w:val="center"/>
                </w:tcPr>
                <w:p w14:paraId="2F59CB2A">
                  <w:pPr>
                    <w:rPr>
                      <w:rFonts w:eastAsia="宋体"/>
                      <w:sz w:val="21"/>
                      <w:szCs w:val="21"/>
                    </w:rPr>
                  </w:pPr>
                  <w:r>
                    <w:rPr>
                      <w:rFonts w:hint="eastAsia" w:eastAsia="宋体"/>
                      <w:sz w:val="21"/>
                      <w:szCs w:val="21"/>
                    </w:rPr>
                    <w:t>进入乙二醇装置的DMO精馏尾气塔洗涤后，</w:t>
                  </w:r>
                  <w:r>
                    <w:rPr>
                      <w:rFonts w:eastAsia="宋体"/>
                      <w:sz w:val="21"/>
                      <w:szCs w:val="21"/>
                    </w:rPr>
                    <w:t>通过</w:t>
                  </w:r>
                  <w:r>
                    <w:rPr>
                      <w:rFonts w:hint="eastAsia" w:eastAsia="宋体"/>
                      <w:sz w:val="21"/>
                      <w:szCs w:val="21"/>
                    </w:rPr>
                    <w:t>30米</w:t>
                  </w:r>
                  <w:r>
                    <w:rPr>
                      <w:rFonts w:eastAsia="宋体"/>
                      <w:sz w:val="21"/>
                      <w:szCs w:val="21"/>
                    </w:rPr>
                    <w:t>高排气筒（</w:t>
                  </w:r>
                  <w:r>
                    <w:rPr>
                      <w:rFonts w:hint="eastAsia" w:eastAsia="宋体"/>
                      <w:sz w:val="21"/>
                      <w:szCs w:val="21"/>
                    </w:rPr>
                    <w:t>DA035</w:t>
                  </w:r>
                  <w:r>
                    <w:rPr>
                      <w:rFonts w:eastAsia="宋体"/>
                      <w:sz w:val="21"/>
                      <w:szCs w:val="21"/>
                    </w:rPr>
                    <w:t>）排放</w:t>
                  </w:r>
                </w:p>
              </w:tc>
              <w:tc>
                <w:tcPr>
                  <w:tcW w:w="391" w:type="pct"/>
                  <w:vMerge w:val="continue"/>
                  <w:shd w:val="clear" w:color="auto" w:fill="auto"/>
                  <w:noWrap w:val="0"/>
                  <w:vAlign w:val="center"/>
                </w:tcPr>
                <w:p w14:paraId="65C277AF">
                  <w:pPr>
                    <w:jc w:val="center"/>
                    <w:rPr>
                      <w:rFonts w:eastAsia="宋体"/>
                      <w:sz w:val="21"/>
                      <w:szCs w:val="21"/>
                    </w:rPr>
                  </w:pPr>
                </w:p>
              </w:tc>
            </w:tr>
            <w:tr w14:paraId="322E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552E692">
                  <w:pPr>
                    <w:rPr>
                      <w:rFonts w:eastAsia="宋体"/>
                      <w:sz w:val="21"/>
                      <w:szCs w:val="21"/>
                    </w:rPr>
                  </w:pPr>
                </w:p>
              </w:tc>
              <w:tc>
                <w:tcPr>
                  <w:tcW w:w="503" w:type="pct"/>
                  <w:vMerge w:val="continue"/>
                  <w:shd w:val="clear" w:color="auto" w:fill="FFFFFF"/>
                  <w:noWrap w:val="0"/>
                  <w:vAlign w:val="center"/>
                </w:tcPr>
                <w:p w14:paraId="6BFF2E45">
                  <w:pPr>
                    <w:rPr>
                      <w:rFonts w:eastAsia="宋体"/>
                      <w:sz w:val="21"/>
                      <w:szCs w:val="21"/>
                    </w:rPr>
                  </w:pPr>
                </w:p>
              </w:tc>
              <w:tc>
                <w:tcPr>
                  <w:tcW w:w="833" w:type="pct"/>
                  <w:shd w:val="clear" w:color="auto" w:fill="auto"/>
                  <w:noWrap w:val="0"/>
                  <w:vAlign w:val="center"/>
                </w:tcPr>
                <w:p w14:paraId="7A1609DF">
                  <w:pPr>
                    <w:jc w:val="center"/>
                    <w:rPr>
                      <w:rFonts w:hint="default" w:eastAsia="宋体"/>
                      <w:sz w:val="21"/>
                      <w:szCs w:val="21"/>
                      <w:lang w:val="en-US" w:eastAsia="zh-CN"/>
                    </w:rPr>
                  </w:pPr>
                  <w:r>
                    <w:rPr>
                      <w:rFonts w:hint="eastAsia"/>
                      <w:sz w:val="21"/>
                      <w:szCs w:val="21"/>
                      <w:lang w:val="en-US" w:eastAsia="zh-CN"/>
                    </w:rPr>
                    <w:t>创新中心研发楼排气筒</w:t>
                  </w:r>
                </w:p>
              </w:tc>
              <w:tc>
                <w:tcPr>
                  <w:tcW w:w="2920" w:type="pct"/>
                  <w:shd w:val="clear" w:color="auto" w:fill="auto"/>
                  <w:noWrap w:val="0"/>
                  <w:vAlign w:val="center"/>
                </w:tcPr>
                <w:p w14:paraId="3A03DCD2">
                  <w:pPr>
                    <w:rPr>
                      <w:rFonts w:hint="eastAsia" w:eastAsia="宋体"/>
                      <w:sz w:val="21"/>
                      <w:szCs w:val="21"/>
                    </w:rPr>
                  </w:pPr>
                  <w:r>
                    <w:rPr>
                      <w:rFonts w:hint="eastAsia" w:eastAsia="宋体"/>
                      <w:sz w:val="21"/>
                      <w:szCs w:val="21"/>
                    </w:rPr>
                    <w:t>实验室产生的废气经通风橱收集后进入1套'二级活性炭吸附”处理装置处理达标后通过22m 排</w:t>
                  </w:r>
                  <w:r>
                    <w:rPr>
                      <w:rFonts w:hint="eastAsia"/>
                      <w:sz w:val="21"/>
                      <w:szCs w:val="21"/>
                      <w:lang w:eastAsia="zh-CN"/>
                    </w:rPr>
                    <w:t>气筒（</w:t>
                  </w:r>
                  <w:r>
                    <w:rPr>
                      <w:rFonts w:hint="eastAsia"/>
                      <w:sz w:val="21"/>
                      <w:szCs w:val="21"/>
                      <w:lang w:val="en-US" w:eastAsia="zh-CN"/>
                    </w:rPr>
                    <w:t>DA050</w:t>
                  </w:r>
                  <w:r>
                    <w:rPr>
                      <w:rFonts w:hint="eastAsia"/>
                      <w:sz w:val="21"/>
                      <w:szCs w:val="21"/>
                      <w:lang w:eastAsia="zh-CN"/>
                    </w:rPr>
                    <w:t>）</w:t>
                  </w:r>
                  <w:r>
                    <w:rPr>
                      <w:rFonts w:hint="eastAsia" w:eastAsia="宋体"/>
                      <w:sz w:val="21"/>
                      <w:szCs w:val="21"/>
                    </w:rPr>
                    <w:t>排放</w:t>
                  </w:r>
                </w:p>
              </w:tc>
              <w:tc>
                <w:tcPr>
                  <w:tcW w:w="391" w:type="pct"/>
                  <w:shd w:val="clear" w:color="auto" w:fill="auto"/>
                  <w:noWrap w:val="0"/>
                  <w:vAlign w:val="center"/>
                </w:tcPr>
                <w:p w14:paraId="78F900A9">
                  <w:pPr>
                    <w:jc w:val="center"/>
                    <w:rPr>
                      <w:rFonts w:eastAsia="宋体"/>
                      <w:sz w:val="21"/>
                      <w:szCs w:val="21"/>
                    </w:rPr>
                  </w:pPr>
                  <w:r>
                    <w:rPr>
                      <w:rFonts w:hint="eastAsia" w:eastAsia="宋体"/>
                      <w:sz w:val="21"/>
                      <w:szCs w:val="21"/>
                    </w:rPr>
                    <w:t>华谊钦州创新中心科技研发楼</w:t>
                  </w:r>
                </w:p>
              </w:tc>
            </w:tr>
            <w:tr w14:paraId="23399288">
              <w:tblPrEx>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433DF20">
                  <w:pPr>
                    <w:rPr>
                      <w:rFonts w:eastAsia="宋体"/>
                      <w:sz w:val="21"/>
                      <w:szCs w:val="21"/>
                    </w:rPr>
                  </w:pPr>
                </w:p>
              </w:tc>
              <w:tc>
                <w:tcPr>
                  <w:tcW w:w="503" w:type="pct"/>
                  <w:vMerge w:val="continue"/>
                  <w:shd w:val="clear" w:color="auto" w:fill="FFFFFF"/>
                  <w:noWrap w:val="0"/>
                  <w:vAlign w:val="center"/>
                </w:tcPr>
                <w:p w14:paraId="286FC88E">
                  <w:pPr>
                    <w:rPr>
                      <w:rFonts w:eastAsia="宋体"/>
                      <w:sz w:val="21"/>
                      <w:szCs w:val="21"/>
                    </w:rPr>
                  </w:pPr>
                </w:p>
              </w:tc>
              <w:tc>
                <w:tcPr>
                  <w:tcW w:w="833" w:type="pct"/>
                  <w:shd w:val="clear" w:color="auto" w:fill="FFFFFF"/>
                  <w:noWrap w:val="0"/>
                  <w:vAlign w:val="center"/>
                </w:tcPr>
                <w:p w14:paraId="27C97617">
                  <w:pPr>
                    <w:widowControl/>
                    <w:spacing w:line="240" w:lineRule="exact"/>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水洗塔尾气</w:t>
                  </w:r>
                </w:p>
              </w:tc>
              <w:tc>
                <w:tcPr>
                  <w:tcW w:w="2920" w:type="pct"/>
                  <w:shd w:val="clear" w:color="auto" w:fill="FFFFFF"/>
                  <w:noWrap w:val="0"/>
                  <w:vAlign w:val="center"/>
                </w:tcPr>
                <w:p w14:paraId="51239D23">
                  <w:pPr>
                    <w:widowControl/>
                    <w:spacing w:line="240" w:lineRule="exact"/>
                    <w:rPr>
                      <w:rFonts w:hint="eastAsia" w:ascii="Times New Roman" w:hAnsi="Times New Roman" w:eastAsia="宋体" w:cs="Times New Roman"/>
                      <w:kern w:val="2"/>
                      <w:sz w:val="21"/>
                      <w:szCs w:val="21"/>
                      <w:lang w:val="en-US" w:eastAsia="zh-CN" w:bidi="ar-SA"/>
                    </w:rPr>
                  </w:pPr>
                  <w:r>
                    <w:rPr>
                      <w:rFonts w:hint="eastAsia" w:eastAsia="宋体"/>
                      <w:sz w:val="21"/>
                      <w:szCs w:val="21"/>
                    </w:rPr>
                    <w:t>经过冷凝+水喷淋后</w:t>
                  </w:r>
                  <w:r>
                    <w:rPr>
                      <w:rFonts w:eastAsia="宋体"/>
                      <w:sz w:val="21"/>
                      <w:szCs w:val="21"/>
                    </w:rPr>
                    <w:t>，</w:t>
                  </w:r>
                  <w:r>
                    <w:rPr>
                      <w:rFonts w:hint="eastAsia" w:eastAsia="宋体"/>
                      <w:sz w:val="21"/>
                      <w:szCs w:val="21"/>
                    </w:rPr>
                    <w:t>通过15</w:t>
                  </w:r>
                  <w:r>
                    <w:rPr>
                      <w:rFonts w:eastAsia="宋体"/>
                      <w:sz w:val="21"/>
                      <w:szCs w:val="21"/>
                    </w:rPr>
                    <w:t>m（DA05</w:t>
                  </w:r>
                  <w:r>
                    <w:rPr>
                      <w:rFonts w:hint="eastAsia"/>
                      <w:sz w:val="21"/>
                      <w:szCs w:val="21"/>
                      <w:lang w:val="en-US" w:eastAsia="zh-CN"/>
                    </w:rPr>
                    <w:t>1</w:t>
                  </w:r>
                  <w:r>
                    <w:rPr>
                      <w:rFonts w:eastAsia="宋体"/>
                      <w:sz w:val="21"/>
                      <w:szCs w:val="21"/>
                    </w:rPr>
                    <w:t>）排气筒排放</w:t>
                  </w:r>
                </w:p>
              </w:tc>
              <w:tc>
                <w:tcPr>
                  <w:tcW w:w="391" w:type="pct"/>
                  <w:vMerge w:val="restart"/>
                  <w:shd w:val="clear" w:color="auto" w:fill="auto"/>
                  <w:noWrap w:val="0"/>
                  <w:vAlign w:val="center"/>
                </w:tcPr>
                <w:p w14:paraId="2377BFC9">
                  <w:pPr>
                    <w:jc w:val="center"/>
                    <w:rPr>
                      <w:rFonts w:eastAsia="宋体"/>
                      <w:sz w:val="21"/>
                      <w:szCs w:val="21"/>
                    </w:rPr>
                  </w:pPr>
                  <w:r>
                    <w:rPr>
                      <w:rFonts w:hint="eastAsia" w:eastAsia="宋体"/>
                      <w:kern w:val="0"/>
                      <w:sz w:val="21"/>
                      <w:szCs w:val="21"/>
                    </w:rPr>
                    <w:t>22万吨/年草酸项目</w:t>
                  </w:r>
                </w:p>
              </w:tc>
            </w:tr>
            <w:tr w14:paraId="4312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1718A418">
                  <w:pPr>
                    <w:rPr>
                      <w:rFonts w:eastAsia="宋体"/>
                      <w:sz w:val="21"/>
                      <w:szCs w:val="21"/>
                    </w:rPr>
                  </w:pPr>
                </w:p>
              </w:tc>
              <w:tc>
                <w:tcPr>
                  <w:tcW w:w="503" w:type="pct"/>
                  <w:vMerge w:val="continue"/>
                  <w:shd w:val="clear" w:color="auto" w:fill="FFFFFF"/>
                  <w:noWrap w:val="0"/>
                  <w:vAlign w:val="center"/>
                </w:tcPr>
                <w:p w14:paraId="223EE3DB">
                  <w:pPr>
                    <w:rPr>
                      <w:rFonts w:eastAsia="宋体"/>
                      <w:sz w:val="21"/>
                      <w:szCs w:val="21"/>
                    </w:rPr>
                  </w:pPr>
                </w:p>
              </w:tc>
              <w:tc>
                <w:tcPr>
                  <w:tcW w:w="833" w:type="pct"/>
                  <w:shd w:val="clear" w:color="auto" w:fill="FFFFFF"/>
                  <w:noWrap w:val="0"/>
                  <w:vAlign w:val="center"/>
                </w:tcPr>
                <w:p w14:paraId="1868E666">
                  <w:pPr>
                    <w:widowControl/>
                    <w:spacing w:line="240" w:lineRule="exact"/>
                    <w:jc w:val="center"/>
                    <w:rPr>
                      <w:rFonts w:ascii="Times New Roman" w:hAnsi="Times New Roman" w:eastAsia="宋体" w:cs="Times New Roman"/>
                      <w:kern w:val="2"/>
                      <w:sz w:val="21"/>
                      <w:szCs w:val="21"/>
                      <w:lang w:val="en-US" w:eastAsia="zh-CN" w:bidi="ar-SA"/>
                    </w:rPr>
                  </w:pPr>
                  <w:r>
                    <w:rPr>
                      <w:rFonts w:hint="eastAsia" w:eastAsia="宋体"/>
                      <w:sz w:val="21"/>
                      <w:szCs w:val="21"/>
                    </w:rPr>
                    <w:t>干燥系统尾气</w:t>
                  </w:r>
                </w:p>
              </w:tc>
              <w:tc>
                <w:tcPr>
                  <w:tcW w:w="2920" w:type="pct"/>
                  <w:shd w:val="clear" w:color="auto" w:fill="FFFFFF"/>
                  <w:noWrap w:val="0"/>
                  <w:vAlign w:val="center"/>
                </w:tcPr>
                <w:p w14:paraId="3A7A504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kern w:val="2"/>
                    </w:rPr>
                    <w:t>经过旋风除尘+布袋除尘+水膜除尘后</w:t>
                  </w:r>
                  <w:r>
                    <w:rPr>
                      <w:rFonts w:ascii="Times New Roman" w:hAnsi="Times New Roman"/>
                      <w:kern w:val="2"/>
                    </w:rPr>
                    <w:t>，</w:t>
                  </w:r>
                  <w:r>
                    <w:rPr>
                      <w:rFonts w:hint="eastAsia" w:ascii="Times New Roman" w:hAnsi="Times New Roman"/>
                      <w:kern w:val="2"/>
                    </w:rPr>
                    <w:t>通过15</w:t>
                  </w:r>
                  <w:r>
                    <w:rPr>
                      <w:rFonts w:ascii="Times New Roman" w:hAnsi="Times New Roman"/>
                      <w:kern w:val="2"/>
                    </w:rPr>
                    <w:t>m（DA05</w:t>
                  </w:r>
                  <w:r>
                    <w:rPr>
                      <w:rFonts w:hint="eastAsia" w:ascii="Times New Roman" w:hAnsi="Times New Roman"/>
                      <w:kern w:val="2"/>
                      <w:lang w:val="en-US" w:eastAsia="zh-CN"/>
                    </w:rPr>
                    <w:t>2</w:t>
                  </w:r>
                  <w:r>
                    <w:rPr>
                      <w:rFonts w:ascii="Times New Roman" w:hAnsi="Times New Roman"/>
                      <w:kern w:val="2"/>
                    </w:rPr>
                    <w:t>）排气筒排放</w:t>
                  </w:r>
                </w:p>
              </w:tc>
              <w:tc>
                <w:tcPr>
                  <w:tcW w:w="391" w:type="pct"/>
                  <w:vMerge w:val="continue"/>
                  <w:shd w:val="clear" w:color="auto" w:fill="auto"/>
                  <w:noWrap w:val="0"/>
                  <w:vAlign w:val="center"/>
                </w:tcPr>
                <w:p w14:paraId="65E644A6">
                  <w:pPr>
                    <w:jc w:val="center"/>
                    <w:rPr>
                      <w:rFonts w:eastAsia="宋体"/>
                      <w:sz w:val="21"/>
                      <w:szCs w:val="21"/>
                    </w:rPr>
                  </w:pPr>
                </w:p>
              </w:tc>
            </w:tr>
            <w:tr w14:paraId="447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4D926067">
                  <w:pPr>
                    <w:rPr>
                      <w:rFonts w:eastAsia="宋体"/>
                      <w:sz w:val="21"/>
                      <w:szCs w:val="21"/>
                    </w:rPr>
                  </w:pPr>
                </w:p>
              </w:tc>
              <w:tc>
                <w:tcPr>
                  <w:tcW w:w="503" w:type="pct"/>
                  <w:vMerge w:val="restart"/>
                  <w:shd w:val="clear" w:color="auto" w:fill="FFFFFF"/>
                  <w:noWrap w:val="0"/>
                  <w:vAlign w:val="center"/>
                </w:tcPr>
                <w:p w14:paraId="27F64B2E">
                  <w:pPr>
                    <w:jc w:val="center"/>
                    <w:rPr>
                      <w:rFonts w:eastAsia="宋体"/>
                      <w:sz w:val="21"/>
                      <w:szCs w:val="21"/>
                    </w:rPr>
                  </w:pPr>
                  <w:r>
                    <w:rPr>
                      <w:rFonts w:eastAsia="宋体"/>
                      <w:sz w:val="21"/>
                      <w:szCs w:val="21"/>
                    </w:rPr>
                    <w:t>废水</w:t>
                  </w:r>
                </w:p>
                <w:p w14:paraId="3C9FD5F5">
                  <w:pPr>
                    <w:jc w:val="center"/>
                    <w:rPr>
                      <w:rFonts w:eastAsia="宋体"/>
                      <w:sz w:val="21"/>
                      <w:szCs w:val="21"/>
                    </w:rPr>
                  </w:pPr>
                  <w:r>
                    <w:rPr>
                      <w:rFonts w:eastAsia="宋体"/>
                      <w:sz w:val="21"/>
                      <w:szCs w:val="21"/>
                    </w:rPr>
                    <w:t>处理</w:t>
                  </w:r>
                </w:p>
                <w:p w14:paraId="249AE9C0">
                  <w:pPr>
                    <w:jc w:val="center"/>
                    <w:rPr>
                      <w:rFonts w:eastAsia="宋体"/>
                      <w:sz w:val="21"/>
                      <w:szCs w:val="21"/>
                    </w:rPr>
                  </w:pPr>
                  <w:r>
                    <w:rPr>
                      <w:rFonts w:eastAsia="宋体"/>
                      <w:sz w:val="21"/>
                      <w:szCs w:val="21"/>
                    </w:rPr>
                    <w:t>系统</w:t>
                  </w:r>
                </w:p>
              </w:tc>
              <w:tc>
                <w:tcPr>
                  <w:tcW w:w="833" w:type="pct"/>
                  <w:shd w:val="clear" w:color="auto" w:fill="FFFFFF"/>
                  <w:noWrap w:val="0"/>
                  <w:vAlign w:val="center"/>
                </w:tcPr>
                <w:p w14:paraId="404ED038">
                  <w:pPr>
                    <w:jc w:val="center"/>
                    <w:rPr>
                      <w:rFonts w:eastAsia="宋体"/>
                      <w:sz w:val="21"/>
                      <w:szCs w:val="21"/>
                    </w:rPr>
                  </w:pPr>
                  <w:r>
                    <w:rPr>
                      <w:rFonts w:eastAsia="宋体"/>
                      <w:sz w:val="21"/>
                      <w:szCs w:val="21"/>
                    </w:rPr>
                    <w:t>初期雨水池</w:t>
                  </w:r>
                </w:p>
              </w:tc>
              <w:tc>
                <w:tcPr>
                  <w:tcW w:w="2920" w:type="pct"/>
                  <w:shd w:val="clear" w:color="auto" w:fill="FFFFFF"/>
                  <w:noWrap w:val="0"/>
                  <w:vAlign w:val="center"/>
                </w:tcPr>
                <w:p w14:paraId="4AF3150E">
                  <w:pPr>
                    <w:rPr>
                      <w:rFonts w:eastAsia="宋体"/>
                      <w:sz w:val="21"/>
                      <w:szCs w:val="21"/>
                    </w:rPr>
                  </w:pPr>
                  <w:r>
                    <w:rPr>
                      <w:rFonts w:eastAsia="宋体"/>
                      <w:sz w:val="21"/>
                      <w:szCs w:val="21"/>
                    </w:rPr>
                    <w:t>全厂总容积为4</w:t>
                  </w:r>
                  <w:r>
                    <w:rPr>
                      <w:rFonts w:hint="eastAsia"/>
                      <w:sz w:val="21"/>
                      <w:szCs w:val="21"/>
                      <w:lang w:val="en-US" w:eastAsia="zh-CN"/>
                    </w:rPr>
                    <w:t>6</w:t>
                  </w:r>
                  <w:r>
                    <w:rPr>
                      <w:rFonts w:eastAsia="宋体"/>
                      <w:sz w:val="21"/>
                      <w:szCs w:val="21"/>
                    </w:rPr>
                    <w:t>00m</w:t>
                  </w:r>
                  <w:r>
                    <w:rPr>
                      <w:rFonts w:eastAsia="宋体"/>
                      <w:sz w:val="21"/>
                      <w:szCs w:val="21"/>
                      <w:vertAlign w:val="superscript"/>
                    </w:rPr>
                    <w:t>3</w:t>
                  </w:r>
                  <w:r>
                    <w:rPr>
                      <w:rFonts w:eastAsia="宋体"/>
                      <w:sz w:val="21"/>
                      <w:szCs w:val="21"/>
                    </w:rPr>
                    <w:t xml:space="preserve">。初期雨水池14个 </w:t>
                  </w:r>
                  <w:r>
                    <w:rPr>
                      <w:rFonts w:hint="eastAsia" w:eastAsia="宋体"/>
                      <w:sz w:val="21"/>
                      <w:szCs w:val="21"/>
                    </w:rPr>
                    <w:t>（</w:t>
                  </w:r>
                  <w:r>
                    <w:rPr>
                      <w:rFonts w:eastAsia="宋体"/>
                      <w:sz w:val="21"/>
                      <w:szCs w:val="21"/>
                    </w:rPr>
                    <w:t>气化装置1个、变换热回收2个、低温甲醇洗2个、中间罐区3个、甲醇1#装置1个、甲醇2#装置1个、硫回收装置1个、4#醋酸装置1个、5#醋酸装置1个</w:t>
                  </w:r>
                  <w:r>
                    <w:rPr>
                      <w:rFonts w:hint="eastAsia"/>
                      <w:sz w:val="21"/>
                      <w:szCs w:val="21"/>
                      <w:lang w:eastAsia="zh-CN"/>
                    </w:rPr>
                    <w:t>、</w:t>
                  </w:r>
                  <w:r>
                    <w:rPr>
                      <w:rFonts w:hint="eastAsia" w:eastAsia="宋体"/>
                      <w:sz w:val="21"/>
                      <w:szCs w:val="21"/>
                    </w:rPr>
                    <w:t>草酸生产装置</w:t>
                  </w:r>
                  <w:r>
                    <w:rPr>
                      <w:rFonts w:hint="eastAsia" w:eastAsia="宋体"/>
                      <w:sz w:val="21"/>
                      <w:szCs w:val="21"/>
                      <w:lang w:val="en-US" w:eastAsia="zh-CN"/>
                    </w:rPr>
                    <w:t>1个</w:t>
                  </w:r>
                  <w:r>
                    <w:rPr>
                      <w:rFonts w:hint="eastAsia" w:eastAsia="宋体"/>
                      <w:sz w:val="21"/>
                      <w:szCs w:val="21"/>
                    </w:rPr>
                    <w:t>）</w:t>
                  </w:r>
                </w:p>
              </w:tc>
              <w:tc>
                <w:tcPr>
                  <w:tcW w:w="391" w:type="pct"/>
                  <w:shd w:val="clear" w:color="auto" w:fill="FFFFFF"/>
                  <w:noWrap w:val="0"/>
                  <w:vAlign w:val="center"/>
                </w:tcPr>
                <w:p w14:paraId="51D727FC">
                  <w:pPr>
                    <w:jc w:val="center"/>
                    <w:rPr>
                      <w:rFonts w:hint="eastAsia" w:eastAsia="宋体"/>
                      <w:sz w:val="21"/>
                      <w:szCs w:val="21"/>
                      <w:lang w:val="en-US" w:eastAsia="zh-CN"/>
                    </w:rPr>
                  </w:pPr>
                  <w:r>
                    <w:rPr>
                      <w:rFonts w:hint="eastAsia"/>
                      <w:sz w:val="21"/>
                      <w:szCs w:val="21"/>
                      <w:lang w:val="en-US" w:eastAsia="zh-CN"/>
                    </w:rPr>
                    <w:t>/</w:t>
                  </w:r>
                </w:p>
              </w:tc>
            </w:tr>
            <w:tr w14:paraId="76D9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D7DFA0C">
                  <w:pPr>
                    <w:rPr>
                      <w:rFonts w:eastAsia="宋体"/>
                      <w:sz w:val="21"/>
                      <w:szCs w:val="21"/>
                    </w:rPr>
                  </w:pPr>
                </w:p>
              </w:tc>
              <w:tc>
                <w:tcPr>
                  <w:tcW w:w="503" w:type="pct"/>
                  <w:vMerge w:val="continue"/>
                  <w:shd w:val="clear" w:color="auto" w:fill="FFFFFF"/>
                  <w:noWrap w:val="0"/>
                  <w:vAlign w:val="center"/>
                </w:tcPr>
                <w:p w14:paraId="4A6A2785">
                  <w:pPr>
                    <w:rPr>
                      <w:rFonts w:eastAsia="宋体"/>
                      <w:sz w:val="21"/>
                      <w:szCs w:val="21"/>
                    </w:rPr>
                  </w:pPr>
                </w:p>
              </w:tc>
              <w:tc>
                <w:tcPr>
                  <w:tcW w:w="833" w:type="pct"/>
                  <w:shd w:val="clear" w:color="auto" w:fill="FFFFFF"/>
                  <w:noWrap w:val="0"/>
                  <w:vAlign w:val="center"/>
                </w:tcPr>
                <w:p w14:paraId="6B932444">
                  <w:pPr>
                    <w:jc w:val="center"/>
                    <w:rPr>
                      <w:rFonts w:eastAsia="宋体"/>
                      <w:sz w:val="21"/>
                      <w:szCs w:val="21"/>
                    </w:rPr>
                  </w:pPr>
                  <w:r>
                    <w:rPr>
                      <w:rFonts w:eastAsia="宋体"/>
                      <w:sz w:val="21"/>
                      <w:szCs w:val="21"/>
                    </w:rPr>
                    <w:t>废水缓冲设施</w:t>
                  </w:r>
                </w:p>
              </w:tc>
              <w:tc>
                <w:tcPr>
                  <w:tcW w:w="2920" w:type="pct"/>
                  <w:shd w:val="clear" w:color="auto" w:fill="FFFFFF"/>
                  <w:noWrap w:val="0"/>
                  <w:vAlign w:val="center"/>
                </w:tcPr>
                <w:p w14:paraId="5FDB938F">
                  <w:pPr>
                    <w:rPr>
                      <w:rFonts w:eastAsia="宋体"/>
                      <w:sz w:val="21"/>
                      <w:szCs w:val="21"/>
                    </w:rPr>
                  </w:pPr>
                  <w:r>
                    <w:rPr>
                      <w:rFonts w:eastAsia="宋体"/>
                      <w:sz w:val="21"/>
                      <w:szCs w:val="21"/>
                    </w:rPr>
                    <w:t>设有 1 座有效容积为 18000m³的应急事故池</w:t>
                  </w:r>
                </w:p>
              </w:tc>
              <w:tc>
                <w:tcPr>
                  <w:tcW w:w="391" w:type="pct"/>
                  <w:shd w:val="clear" w:color="auto" w:fill="FFFFFF"/>
                  <w:noWrap w:val="0"/>
                  <w:vAlign w:val="center"/>
                </w:tcPr>
                <w:p w14:paraId="7FF80315">
                  <w:pPr>
                    <w:jc w:val="center"/>
                    <w:rPr>
                      <w:rFonts w:hint="eastAsia" w:eastAsia="宋体"/>
                      <w:sz w:val="21"/>
                      <w:szCs w:val="21"/>
                      <w:lang w:val="en-US" w:eastAsia="zh-CN"/>
                    </w:rPr>
                  </w:pPr>
                  <w:r>
                    <w:rPr>
                      <w:rFonts w:hint="eastAsia"/>
                      <w:sz w:val="21"/>
                      <w:szCs w:val="21"/>
                      <w:lang w:val="en-US" w:eastAsia="zh-CN"/>
                    </w:rPr>
                    <w:t>/</w:t>
                  </w:r>
                </w:p>
              </w:tc>
            </w:tr>
            <w:tr w14:paraId="56A8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0D6729A">
                  <w:pPr>
                    <w:rPr>
                      <w:rFonts w:eastAsia="宋体"/>
                      <w:sz w:val="21"/>
                      <w:szCs w:val="21"/>
                    </w:rPr>
                  </w:pPr>
                </w:p>
              </w:tc>
              <w:tc>
                <w:tcPr>
                  <w:tcW w:w="503" w:type="pct"/>
                  <w:vMerge w:val="continue"/>
                  <w:shd w:val="clear" w:color="auto" w:fill="FFFFFF"/>
                  <w:noWrap w:val="0"/>
                  <w:vAlign w:val="center"/>
                </w:tcPr>
                <w:p w14:paraId="70D8EDA1">
                  <w:pPr>
                    <w:rPr>
                      <w:rFonts w:eastAsia="宋体"/>
                      <w:sz w:val="21"/>
                      <w:szCs w:val="21"/>
                    </w:rPr>
                  </w:pPr>
                </w:p>
              </w:tc>
              <w:tc>
                <w:tcPr>
                  <w:tcW w:w="833" w:type="pct"/>
                  <w:shd w:val="clear" w:color="auto" w:fill="FFFFFF"/>
                  <w:noWrap w:val="0"/>
                  <w:vAlign w:val="center"/>
                </w:tcPr>
                <w:p w14:paraId="3DB8E403">
                  <w:pPr>
                    <w:jc w:val="center"/>
                    <w:rPr>
                      <w:rFonts w:eastAsia="宋体"/>
                      <w:sz w:val="21"/>
                      <w:szCs w:val="21"/>
                    </w:rPr>
                  </w:pPr>
                  <w:r>
                    <w:rPr>
                      <w:rFonts w:eastAsia="宋体"/>
                      <w:sz w:val="21"/>
                      <w:szCs w:val="21"/>
                    </w:rPr>
                    <w:t>生产生活污水处理</w:t>
                  </w:r>
                </w:p>
              </w:tc>
              <w:tc>
                <w:tcPr>
                  <w:tcW w:w="2920" w:type="pct"/>
                  <w:shd w:val="clear" w:color="auto" w:fill="FFFFFF"/>
                  <w:noWrap w:val="0"/>
                  <w:vAlign w:val="center"/>
                </w:tcPr>
                <w:p w14:paraId="206DF81F">
                  <w:pPr>
                    <w:rPr>
                      <w:rFonts w:eastAsia="宋体"/>
                      <w:sz w:val="21"/>
                      <w:szCs w:val="21"/>
                    </w:rPr>
                  </w:pPr>
                  <w:r>
                    <w:rPr>
                      <w:rFonts w:eastAsia="宋体"/>
                      <w:sz w:val="21"/>
                      <w:szCs w:val="21"/>
                    </w:rPr>
                    <w:t>各生产单元产生废水分水质设单独管道进入天宜污水处理厂一期处理</w:t>
                  </w:r>
                </w:p>
              </w:tc>
              <w:tc>
                <w:tcPr>
                  <w:tcW w:w="391" w:type="pct"/>
                  <w:shd w:val="clear" w:color="auto" w:fill="FFFFFF"/>
                  <w:noWrap w:val="0"/>
                  <w:vAlign w:val="center"/>
                </w:tcPr>
                <w:p w14:paraId="0EEF93A5">
                  <w:pPr>
                    <w:jc w:val="center"/>
                    <w:rPr>
                      <w:rFonts w:hint="eastAsia" w:eastAsia="宋体"/>
                      <w:sz w:val="21"/>
                      <w:szCs w:val="21"/>
                      <w:lang w:val="en-US" w:eastAsia="zh-CN"/>
                    </w:rPr>
                  </w:pPr>
                  <w:r>
                    <w:rPr>
                      <w:rFonts w:hint="eastAsia"/>
                      <w:sz w:val="21"/>
                      <w:szCs w:val="21"/>
                      <w:lang w:val="en-US" w:eastAsia="zh-CN"/>
                    </w:rPr>
                    <w:t>/</w:t>
                  </w:r>
                </w:p>
              </w:tc>
            </w:tr>
            <w:tr w14:paraId="354F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6ECE7159">
                  <w:pPr>
                    <w:rPr>
                      <w:rFonts w:eastAsia="宋体"/>
                      <w:sz w:val="21"/>
                      <w:szCs w:val="21"/>
                    </w:rPr>
                  </w:pPr>
                </w:p>
              </w:tc>
              <w:tc>
                <w:tcPr>
                  <w:tcW w:w="503" w:type="pct"/>
                  <w:vMerge w:val="continue"/>
                  <w:shd w:val="clear" w:color="auto" w:fill="FFFFFF"/>
                  <w:noWrap w:val="0"/>
                  <w:vAlign w:val="center"/>
                </w:tcPr>
                <w:p w14:paraId="0911F74C">
                  <w:pPr>
                    <w:rPr>
                      <w:rFonts w:eastAsia="宋体"/>
                      <w:sz w:val="21"/>
                      <w:szCs w:val="21"/>
                    </w:rPr>
                  </w:pPr>
                </w:p>
              </w:tc>
              <w:tc>
                <w:tcPr>
                  <w:tcW w:w="833" w:type="pct"/>
                  <w:shd w:val="clear" w:color="auto" w:fill="FFFFFF"/>
                  <w:noWrap w:val="0"/>
                  <w:vAlign w:val="center"/>
                </w:tcPr>
                <w:p w14:paraId="2F2F99FD">
                  <w:pPr>
                    <w:jc w:val="center"/>
                    <w:rPr>
                      <w:rFonts w:eastAsia="宋体"/>
                      <w:sz w:val="21"/>
                      <w:szCs w:val="21"/>
                    </w:rPr>
                  </w:pPr>
                  <w:r>
                    <w:rPr>
                      <w:rFonts w:eastAsia="宋体"/>
                      <w:sz w:val="21"/>
                      <w:szCs w:val="21"/>
                    </w:rPr>
                    <w:t>雨水监测池</w:t>
                  </w:r>
                </w:p>
              </w:tc>
              <w:tc>
                <w:tcPr>
                  <w:tcW w:w="2920" w:type="pct"/>
                  <w:shd w:val="clear" w:color="auto" w:fill="FFFFFF"/>
                  <w:noWrap w:val="0"/>
                  <w:vAlign w:val="center"/>
                </w:tcPr>
                <w:p w14:paraId="04FA9416">
                  <w:pPr>
                    <w:rPr>
                      <w:rFonts w:hint="eastAsia" w:eastAsia="宋体"/>
                      <w:sz w:val="21"/>
                      <w:szCs w:val="21"/>
                    </w:rPr>
                  </w:pPr>
                  <w:r>
                    <w:rPr>
                      <w:rFonts w:eastAsia="宋体"/>
                      <w:sz w:val="21"/>
                      <w:szCs w:val="21"/>
                    </w:rPr>
                    <w:t>位于厂区西南角，容积2000m</w:t>
                  </w:r>
                  <w:r>
                    <w:rPr>
                      <w:rFonts w:eastAsia="宋体"/>
                      <w:sz w:val="21"/>
                      <w:szCs w:val="21"/>
                      <w:vertAlign w:val="superscript"/>
                    </w:rPr>
                    <w:t>3</w:t>
                  </w:r>
                </w:p>
              </w:tc>
              <w:tc>
                <w:tcPr>
                  <w:tcW w:w="391" w:type="pct"/>
                  <w:shd w:val="clear" w:color="auto" w:fill="FFFFFF"/>
                  <w:noWrap w:val="0"/>
                  <w:vAlign w:val="center"/>
                </w:tcPr>
                <w:p w14:paraId="22AADA24">
                  <w:pPr>
                    <w:jc w:val="center"/>
                    <w:rPr>
                      <w:rFonts w:hint="eastAsia" w:eastAsia="宋体"/>
                      <w:sz w:val="21"/>
                      <w:szCs w:val="21"/>
                      <w:lang w:val="en-US" w:eastAsia="zh-CN"/>
                    </w:rPr>
                  </w:pPr>
                  <w:r>
                    <w:rPr>
                      <w:rFonts w:hint="eastAsia"/>
                      <w:sz w:val="21"/>
                      <w:szCs w:val="21"/>
                      <w:lang w:val="en-US" w:eastAsia="zh-CN"/>
                    </w:rPr>
                    <w:t>/</w:t>
                  </w:r>
                </w:p>
              </w:tc>
            </w:tr>
            <w:tr w14:paraId="3254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E46C250">
                  <w:pPr>
                    <w:rPr>
                      <w:rFonts w:eastAsia="宋体"/>
                      <w:sz w:val="21"/>
                      <w:szCs w:val="21"/>
                    </w:rPr>
                  </w:pPr>
                </w:p>
              </w:tc>
              <w:tc>
                <w:tcPr>
                  <w:tcW w:w="1336" w:type="pct"/>
                  <w:gridSpan w:val="2"/>
                  <w:shd w:val="clear" w:color="auto" w:fill="FFFFFF"/>
                  <w:noWrap w:val="0"/>
                  <w:vAlign w:val="center"/>
                </w:tcPr>
                <w:p w14:paraId="33E34D73">
                  <w:pPr>
                    <w:jc w:val="center"/>
                    <w:rPr>
                      <w:rFonts w:eastAsia="宋体"/>
                      <w:sz w:val="21"/>
                      <w:szCs w:val="21"/>
                    </w:rPr>
                  </w:pPr>
                  <w:r>
                    <w:rPr>
                      <w:rFonts w:eastAsia="宋体"/>
                      <w:sz w:val="21"/>
                      <w:szCs w:val="21"/>
                    </w:rPr>
                    <w:t>噪声防治措施</w:t>
                  </w:r>
                </w:p>
              </w:tc>
              <w:tc>
                <w:tcPr>
                  <w:tcW w:w="2920" w:type="pct"/>
                  <w:shd w:val="clear" w:color="auto" w:fill="FFFFFF"/>
                  <w:noWrap w:val="0"/>
                  <w:vAlign w:val="center"/>
                </w:tcPr>
                <w:p w14:paraId="71BA5711">
                  <w:pPr>
                    <w:rPr>
                      <w:rFonts w:eastAsia="宋体"/>
                      <w:sz w:val="21"/>
                      <w:szCs w:val="21"/>
                    </w:rPr>
                  </w:pPr>
                  <w:r>
                    <w:rPr>
                      <w:rFonts w:eastAsia="宋体"/>
                      <w:sz w:val="21"/>
                      <w:szCs w:val="21"/>
                    </w:rPr>
                    <w:t>合理布置高噪声设备，选用低噪声设备，降低设备噪声源强，对高噪声设备采取有效的减振、隔声、消声、绿化等降噪措施，加强运行管理</w:t>
                  </w:r>
                </w:p>
              </w:tc>
              <w:tc>
                <w:tcPr>
                  <w:tcW w:w="391" w:type="pct"/>
                  <w:shd w:val="clear" w:color="auto" w:fill="FFFFFF"/>
                  <w:noWrap w:val="0"/>
                  <w:vAlign w:val="center"/>
                </w:tcPr>
                <w:p w14:paraId="1635DDD0">
                  <w:pPr>
                    <w:jc w:val="center"/>
                    <w:rPr>
                      <w:rFonts w:hint="eastAsia" w:eastAsia="宋体"/>
                      <w:sz w:val="21"/>
                      <w:szCs w:val="21"/>
                      <w:lang w:val="en-US" w:eastAsia="zh-CN"/>
                    </w:rPr>
                  </w:pPr>
                  <w:r>
                    <w:rPr>
                      <w:rFonts w:hint="eastAsia"/>
                      <w:sz w:val="21"/>
                      <w:szCs w:val="21"/>
                      <w:lang w:val="en-US" w:eastAsia="zh-CN"/>
                    </w:rPr>
                    <w:t>/</w:t>
                  </w:r>
                </w:p>
              </w:tc>
            </w:tr>
            <w:tr w14:paraId="5848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E396089">
                  <w:pPr>
                    <w:rPr>
                      <w:rFonts w:eastAsia="宋体"/>
                      <w:sz w:val="21"/>
                      <w:szCs w:val="21"/>
                    </w:rPr>
                  </w:pPr>
                </w:p>
              </w:tc>
              <w:tc>
                <w:tcPr>
                  <w:tcW w:w="503" w:type="pct"/>
                  <w:vMerge w:val="restart"/>
                  <w:shd w:val="clear" w:color="auto" w:fill="FFFFFF"/>
                  <w:noWrap w:val="0"/>
                  <w:vAlign w:val="center"/>
                </w:tcPr>
                <w:p w14:paraId="78F4511C">
                  <w:pPr>
                    <w:jc w:val="center"/>
                    <w:rPr>
                      <w:rFonts w:eastAsia="宋体"/>
                      <w:sz w:val="21"/>
                      <w:szCs w:val="21"/>
                    </w:rPr>
                  </w:pPr>
                  <w:r>
                    <w:rPr>
                      <w:rFonts w:eastAsia="宋体"/>
                      <w:sz w:val="21"/>
                      <w:szCs w:val="21"/>
                    </w:rPr>
                    <w:t>固体</w:t>
                  </w:r>
                </w:p>
                <w:p w14:paraId="0BD72E5B">
                  <w:pPr>
                    <w:jc w:val="center"/>
                    <w:rPr>
                      <w:rFonts w:eastAsia="宋体"/>
                      <w:sz w:val="21"/>
                      <w:szCs w:val="21"/>
                    </w:rPr>
                  </w:pPr>
                  <w:r>
                    <w:rPr>
                      <w:rFonts w:eastAsia="宋体"/>
                      <w:sz w:val="21"/>
                      <w:szCs w:val="21"/>
                    </w:rPr>
                    <w:t>废物</w:t>
                  </w:r>
                </w:p>
                <w:p w14:paraId="3DD9ED5B">
                  <w:pPr>
                    <w:jc w:val="center"/>
                    <w:rPr>
                      <w:rFonts w:eastAsia="宋体"/>
                      <w:sz w:val="21"/>
                      <w:szCs w:val="21"/>
                    </w:rPr>
                  </w:pPr>
                  <w:r>
                    <w:rPr>
                      <w:rFonts w:eastAsia="宋体"/>
                      <w:sz w:val="21"/>
                      <w:szCs w:val="21"/>
                    </w:rPr>
                    <w:t>处理</w:t>
                  </w:r>
                </w:p>
                <w:p w14:paraId="68B59727">
                  <w:pPr>
                    <w:jc w:val="center"/>
                    <w:rPr>
                      <w:rFonts w:eastAsia="宋体"/>
                      <w:sz w:val="21"/>
                      <w:szCs w:val="21"/>
                    </w:rPr>
                  </w:pPr>
                  <w:r>
                    <w:rPr>
                      <w:rFonts w:eastAsia="宋体"/>
                      <w:sz w:val="21"/>
                      <w:szCs w:val="21"/>
                    </w:rPr>
                    <w:t>系统</w:t>
                  </w:r>
                </w:p>
              </w:tc>
              <w:tc>
                <w:tcPr>
                  <w:tcW w:w="833" w:type="pct"/>
                  <w:shd w:val="clear" w:color="auto" w:fill="FFFFFF"/>
                  <w:noWrap w:val="0"/>
                  <w:vAlign w:val="center"/>
                </w:tcPr>
                <w:p w14:paraId="5351EFD3">
                  <w:pPr>
                    <w:jc w:val="center"/>
                    <w:rPr>
                      <w:rFonts w:eastAsia="宋体"/>
                      <w:sz w:val="21"/>
                      <w:szCs w:val="21"/>
                    </w:rPr>
                  </w:pPr>
                  <w:r>
                    <w:rPr>
                      <w:rFonts w:eastAsia="宋体"/>
                      <w:sz w:val="21"/>
                      <w:szCs w:val="21"/>
                    </w:rPr>
                    <w:t>一般固废贮存设施</w:t>
                  </w:r>
                </w:p>
              </w:tc>
              <w:tc>
                <w:tcPr>
                  <w:tcW w:w="2920" w:type="pct"/>
                  <w:shd w:val="clear" w:color="auto" w:fill="FFFFFF"/>
                  <w:noWrap w:val="0"/>
                  <w:vAlign w:val="center"/>
                </w:tcPr>
                <w:p w14:paraId="4BA5B696">
                  <w:pPr>
                    <w:rPr>
                      <w:rFonts w:hint="eastAsia" w:eastAsia="宋体"/>
                      <w:sz w:val="21"/>
                      <w:szCs w:val="21"/>
                    </w:rPr>
                  </w:pPr>
                  <w:r>
                    <w:rPr>
                      <w:rFonts w:eastAsia="宋体"/>
                      <w:sz w:val="21"/>
                      <w:szCs w:val="21"/>
                    </w:rPr>
                    <w:t>中间渣场，面积为10200m</w:t>
                  </w:r>
                  <w:r>
                    <w:rPr>
                      <w:rFonts w:eastAsia="宋体"/>
                      <w:sz w:val="21"/>
                      <w:szCs w:val="21"/>
                      <w:vertAlign w:val="superscript"/>
                    </w:rPr>
                    <w:t>2</w:t>
                  </w:r>
                  <w:r>
                    <w:rPr>
                      <w:rFonts w:eastAsia="宋体"/>
                      <w:sz w:val="21"/>
                      <w:szCs w:val="21"/>
                    </w:rPr>
                    <w:t>临时渣场做硬化处理、设围堰、挡道；在厂区西北角火炬旁设一个气化渣棚，面积为12116m</w:t>
                  </w:r>
                  <w:r>
                    <w:rPr>
                      <w:rFonts w:eastAsia="宋体"/>
                      <w:sz w:val="21"/>
                      <w:szCs w:val="21"/>
                      <w:vertAlign w:val="superscript"/>
                    </w:rPr>
                    <w:t>2</w:t>
                  </w:r>
                  <w:r>
                    <w:rPr>
                      <w:rFonts w:hint="eastAsia" w:eastAsia="宋体"/>
                      <w:sz w:val="21"/>
                      <w:szCs w:val="21"/>
                    </w:rPr>
                    <w:t>；</w:t>
                  </w:r>
                  <w:r>
                    <w:rPr>
                      <w:rFonts w:eastAsia="宋体"/>
                      <w:sz w:val="21"/>
                      <w:szCs w:val="21"/>
                    </w:rPr>
                    <w:t>气化渣棚已硬化处理、设围堰、挡道</w:t>
                  </w:r>
                </w:p>
              </w:tc>
              <w:tc>
                <w:tcPr>
                  <w:tcW w:w="391" w:type="pct"/>
                  <w:shd w:val="clear" w:color="auto" w:fill="FFFFFF"/>
                  <w:noWrap w:val="0"/>
                  <w:vAlign w:val="center"/>
                </w:tcPr>
                <w:p w14:paraId="57334415">
                  <w:pPr>
                    <w:jc w:val="center"/>
                    <w:rPr>
                      <w:rFonts w:hint="eastAsia" w:eastAsia="宋体"/>
                      <w:sz w:val="21"/>
                      <w:szCs w:val="21"/>
                      <w:lang w:val="en-US" w:eastAsia="zh-CN"/>
                    </w:rPr>
                  </w:pPr>
                  <w:r>
                    <w:rPr>
                      <w:rFonts w:hint="eastAsia"/>
                      <w:sz w:val="21"/>
                      <w:szCs w:val="21"/>
                      <w:lang w:val="en-US" w:eastAsia="zh-CN"/>
                    </w:rPr>
                    <w:t>/</w:t>
                  </w:r>
                </w:p>
              </w:tc>
            </w:tr>
            <w:tr w14:paraId="04BF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05A4EEA6">
                  <w:pPr>
                    <w:rPr>
                      <w:rFonts w:eastAsia="宋体"/>
                      <w:sz w:val="21"/>
                      <w:szCs w:val="21"/>
                    </w:rPr>
                  </w:pPr>
                </w:p>
              </w:tc>
              <w:tc>
                <w:tcPr>
                  <w:tcW w:w="503" w:type="pct"/>
                  <w:vMerge w:val="continue"/>
                  <w:shd w:val="clear" w:color="auto" w:fill="FFFFFF"/>
                  <w:noWrap w:val="0"/>
                  <w:vAlign w:val="center"/>
                </w:tcPr>
                <w:p w14:paraId="0459F2A7">
                  <w:pPr>
                    <w:rPr>
                      <w:rFonts w:eastAsia="宋体"/>
                      <w:sz w:val="21"/>
                      <w:szCs w:val="21"/>
                    </w:rPr>
                  </w:pPr>
                </w:p>
              </w:tc>
              <w:tc>
                <w:tcPr>
                  <w:tcW w:w="833" w:type="pct"/>
                  <w:shd w:val="clear" w:color="auto" w:fill="FFFFFF"/>
                  <w:noWrap w:val="0"/>
                  <w:vAlign w:val="center"/>
                </w:tcPr>
                <w:p w14:paraId="74DA0A54">
                  <w:pPr>
                    <w:jc w:val="center"/>
                    <w:rPr>
                      <w:rFonts w:eastAsia="宋体"/>
                      <w:sz w:val="21"/>
                      <w:szCs w:val="21"/>
                    </w:rPr>
                  </w:pPr>
                  <w:r>
                    <w:rPr>
                      <w:rFonts w:eastAsia="宋体"/>
                      <w:sz w:val="21"/>
                      <w:szCs w:val="21"/>
                    </w:rPr>
                    <w:t>危险废物贮存设施</w:t>
                  </w:r>
                </w:p>
              </w:tc>
              <w:tc>
                <w:tcPr>
                  <w:tcW w:w="2920" w:type="pct"/>
                  <w:shd w:val="clear" w:color="auto" w:fill="FFFFFF"/>
                  <w:noWrap w:val="0"/>
                  <w:vAlign w:val="center"/>
                </w:tcPr>
                <w:p w14:paraId="047DF15D">
                  <w:pPr>
                    <w:rPr>
                      <w:rFonts w:eastAsia="宋体"/>
                      <w:sz w:val="21"/>
                      <w:szCs w:val="21"/>
                    </w:rPr>
                  </w:pPr>
                  <w:r>
                    <w:rPr>
                      <w:rFonts w:eastAsia="宋体"/>
                      <w:sz w:val="21"/>
                      <w:szCs w:val="21"/>
                    </w:rPr>
                    <w:t>危险废物暂存库1个，面积为490.29m</w:t>
                  </w:r>
                  <w:r>
                    <w:rPr>
                      <w:rFonts w:eastAsia="宋体"/>
                      <w:sz w:val="21"/>
                      <w:szCs w:val="21"/>
                      <w:vertAlign w:val="superscript"/>
                    </w:rPr>
                    <w:t>2</w:t>
                  </w:r>
                  <w:r>
                    <w:rPr>
                      <w:rFonts w:hint="eastAsia" w:eastAsia="宋体"/>
                      <w:sz w:val="21"/>
                      <w:szCs w:val="21"/>
                    </w:rPr>
                    <w:t>，</w:t>
                  </w:r>
                  <w:r>
                    <w:rPr>
                      <w:rFonts w:eastAsia="宋体"/>
                      <w:sz w:val="21"/>
                      <w:szCs w:val="21"/>
                    </w:rPr>
                    <w:t>按照《危险废物贮存污染控制标准》(GB18597-2023</w:t>
                  </w:r>
                  <w:r>
                    <w:rPr>
                      <w:rFonts w:hint="eastAsia" w:eastAsia="宋体"/>
                      <w:sz w:val="21"/>
                      <w:szCs w:val="21"/>
                    </w:rPr>
                    <w:t>）</w:t>
                  </w:r>
                  <w:r>
                    <w:rPr>
                      <w:rFonts w:eastAsia="宋体"/>
                      <w:sz w:val="21"/>
                      <w:szCs w:val="21"/>
                    </w:rPr>
                    <w:t>建造</w:t>
                  </w:r>
                </w:p>
              </w:tc>
              <w:tc>
                <w:tcPr>
                  <w:tcW w:w="391" w:type="pct"/>
                  <w:shd w:val="clear" w:color="auto" w:fill="FFFFFF"/>
                  <w:noWrap w:val="0"/>
                  <w:vAlign w:val="center"/>
                </w:tcPr>
                <w:p w14:paraId="5235D3D3">
                  <w:pPr>
                    <w:jc w:val="center"/>
                    <w:rPr>
                      <w:rFonts w:hint="eastAsia" w:eastAsia="宋体"/>
                      <w:sz w:val="21"/>
                      <w:szCs w:val="21"/>
                      <w:lang w:val="en-US" w:eastAsia="zh-CN"/>
                    </w:rPr>
                  </w:pPr>
                  <w:r>
                    <w:rPr>
                      <w:rFonts w:hint="eastAsia"/>
                      <w:sz w:val="21"/>
                      <w:szCs w:val="21"/>
                      <w:lang w:val="en-US" w:eastAsia="zh-CN"/>
                    </w:rPr>
                    <w:t>/</w:t>
                  </w:r>
                </w:p>
              </w:tc>
            </w:tr>
            <w:tr w14:paraId="40F0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1" w:type="pct"/>
                  <w:vMerge w:val="continue"/>
                  <w:shd w:val="clear" w:color="auto" w:fill="FFFFFF"/>
                  <w:noWrap w:val="0"/>
                  <w:vAlign w:val="center"/>
                </w:tcPr>
                <w:p w14:paraId="7263BE64">
                  <w:pPr>
                    <w:rPr>
                      <w:rFonts w:eastAsia="宋体"/>
                      <w:sz w:val="21"/>
                      <w:szCs w:val="21"/>
                    </w:rPr>
                  </w:pPr>
                </w:p>
              </w:tc>
              <w:tc>
                <w:tcPr>
                  <w:tcW w:w="503" w:type="pct"/>
                  <w:shd w:val="clear" w:color="auto" w:fill="FFFFFF"/>
                  <w:noWrap w:val="0"/>
                  <w:vAlign w:val="center"/>
                </w:tcPr>
                <w:p w14:paraId="352F9D97">
                  <w:pPr>
                    <w:jc w:val="center"/>
                    <w:rPr>
                      <w:rFonts w:eastAsia="宋体"/>
                      <w:sz w:val="21"/>
                      <w:szCs w:val="21"/>
                    </w:rPr>
                  </w:pPr>
                  <w:r>
                    <w:rPr>
                      <w:rFonts w:eastAsia="宋体"/>
                      <w:sz w:val="21"/>
                      <w:szCs w:val="21"/>
                    </w:rPr>
                    <w:t>风险</w:t>
                  </w:r>
                </w:p>
                <w:p w14:paraId="29688FDA">
                  <w:pPr>
                    <w:jc w:val="center"/>
                    <w:rPr>
                      <w:rFonts w:eastAsia="宋体"/>
                      <w:sz w:val="21"/>
                      <w:szCs w:val="21"/>
                    </w:rPr>
                  </w:pPr>
                  <w:r>
                    <w:rPr>
                      <w:rFonts w:eastAsia="宋体"/>
                      <w:sz w:val="21"/>
                      <w:szCs w:val="21"/>
                    </w:rPr>
                    <w:t>防范</w:t>
                  </w:r>
                </w:p>
                <w:p w14:paraId="579B2E48">
                  <w:pPr>
                    <w:jc w:val="center"/>
                    <w:rPr>
                      <w:rFonts w:eastAsia="宋体"/>
                      <w:sz w:val="21"/>
                      <w:szCs w:val="21"/>
                    </w:rPr>
                  </w:pPr>
                  <w:r>
                    <w:rPr>
                      <w:rFonts w:eastAsia="宋体"/>
                      <w:sz w:val="21"/>
                      <w:szCs w:val="21"/>
                    </w:rPr>
                    <w:t>措施</w:t>
                  </w:r>
                </w:p>
              </w:tc>
              <w:tc>
                <w:tcPr>
                  <w:tcW w:w="833" w:type="pct"/>
                  <w:shd w:val="clear" w:color="auto" w:fill="FFFFFF"/>
                  <w:noWrap w:val="0"/>
                  <w:vAlign w:val="center"/>
                </w:tcPr>
                <w:p w14:paraId="232DD9CC">
                  <w:pPr>
                    <w:jc w:val="center"/>
                    <w:rPr>
                      <w:rFonts w:eastAsia="宋体"/>
                      <w:sz w:val="21"/>
                      <w:szCs w:val="21"/>
                    </w:rPr>
                  </w:pPr>
                  <w:r>
                    <w:rPr>
                      <w:rFonts w:eastAsia="宋体"/>
                      <w:sz w:val="21"/>
                      <w:szCs w:val="21"/>
                    </w:rPr>
                    <w:t>消防废水池</w:t>
                  </w:r>
                </w:p>
              </w:tc>
              <w:tc>
                <w:tcPr>
                  <w:tcW w:w="2920" w:type="pct"/>
                  <w:shd w:val="clear" w:color="auto" w:fill="FFFFFF"/>
                  <w:noWrap w:val="0"/>
                  <w:vAlign w:val="center"/>
                </w:tcPr>
                <w:p w14:paraId="5866E1C4">
                  <w:pPr>
                    <w:rPr>
                      <w:rFonts w:eastAsia="宋体"/>
                      <w:sz w:val="21"/>
                      <w:szCs w:val="21"/>
                    </w:rPr>
                  </w:pPr>
                  <w:r>
                    <w:rPr>
                      <w:rFonts w:eastAsia="宋体"/>
                      <w:sz w:val="21"/>
                      <w:szCs w:val="21"/>
                    </w:rPr>
                    <w:t>1座，位于厂区西北角，容积为18000m</w:t>
                  </w:r>
                  <w:r>
                    <w:rPr>
                      <w:rFonts w:eastAsia="宋体"/>
                      <w:sz w:val="21"/>
                      <w:szCs w:val="21"/>
                      <w:vertAlign w:val="superscript"/>
                    </w:rPr>
                    <w:t>3</w:t>
                  </w:r>
                  <w:r>
                    <w:rPr>
                      <w:rFonts w:eastAsia="宋体"/>
                      <w:sz w:val="21"/>
                      <w:szCs w:val="21"/>
                    </w:rPr>
                    <w:t>。</w:t>
                  </w:r>
                </w:p>
              </w:tc>
              <w:tc>
                <w:tcPr>
                  <w:tcW w:w="391" w:type="pct"/>
                  <w:shd w:val="clear" w:color="auto" w:fill="FFFFFF"/>
                  <w:noWrap w:val="0"/>
                  <w:vAlign w:val="center"/>
                </w:tcPr>
                <w:p w14:paraId="57B49C82">
                  <w:pPr>
                    <w:jc w:val="center"/>
                    <w:rPr>
                      <w:rFonts w:hint="eastAsia" w:eastAsia="宋体"/>
                      <w:sz w:val="21"/>
                      <w:szCs w:val="21"/>
                      <w:lang w:val="en-US" w:eastAsia="zh-CN"/>
                    </w:rPr>
                  </w:pPr>
                  <w:r>
                    <w:rPr>
                      <w:rFonts w:hint="eastAsia"/>
                      <w:sz w:val="21"/>
                      <w:szCs w:val="21"/>
                      <w:lang w:val="en-US" w:eastAsia="zh-CN"/>
                    </w:rPr>
                    <w:t>/</w:t>
                  </w:r>
                </w:p>
              </w:tc>
            </w:tr>
            <w:bookmarkEnd w:id="14"/>
          </w:tbl>
          <w:p w14:paraId="19564F4D">
            <w:pPr>
              <w:spacing w:line="500" w:lineRule="atLeast"/>
              <w:ind w:firstLine="482" w:firstLineChars="200"/>
              <w:jc w:val="left"/>
              <w:rPr>
                <w:rFonts w:hint="default" w:eastAsia="宋体"/>
                <w:b w:val="0"/>
                <w:bCs w:val="0"/>
                <w:sz w:val="24"/>
                <w:lang w:val="en-US" w:eastAsia="zh-CN"/>
              </w:rPr>
            </w:pPr>
            <w:r>
              <w:rPr>
                <w:rFonts w:hint="eastAsia"/>
                <w:b/>
                <w:bCs/>
                <w:sz w:val="24"/>
                <w:lang w:val="en-US" w:eastAsia="zh-CN"/>
              </w:rPr>
              <w:t>四、现有工程生产工艺及产污环节</w:t>
            </w:r>
          </w:p>
          <w:p w14:paraId="2E646114">
            <w:pPr>
              <w:spacing w:line="500" w:lineRule="atLeast"/>
              <w:ind w:firstLine="482" w:firstLineChars="200"/>
              <w:jc w:val="left"/>
              <w:rPr>
                <w:rFonts w:hint="eastAsia"/>
                <w:b/>
                <w:bCs/>
                <w:sz w:val="24"/>
              </w:rPr>
            </w:pPr>
            <w:r>
              <w:rPr>
                <w:rFonts w:hint="eastAsia"/>
                <w:b/>
                <w:bCs/>
                <w:sz w:val="24"/>
                <w:lang w:val="en-US" w:eastAsia="zh-CN"/>
              </w:rPr>
              <w:t>1、</w:t>
            </w:r>
            <w:r>
              <w:rPr>
                <w:rFonts w:hint="eastAsia"/>
                <w:b/>
                <w:bCs/>
                <w:sz w:val="24"/>
              </w:rPr>
              <w:t>现有工程主体生产工艺</w:t>
            </w:r>
          </w:p>
          <w:p w14:paraId="57604027">
            <w:pPr>
              <w:spacing w:line="500" w:lineRule="atLeast"/>
              <w:ind w:firstLine="480" w:firstLineChars="200"/>
              <w:jc w:val="left"/>
              <w:rPr>
                <w:rFonts w:hint="eastAsia"/>
                <w:b w:val="0"/>
                <w:bCs w:val="0"/>
                <w:sz w:val="24"/>
              </w:rPr>
            </w:pPr>
            <w:r>
              <w:rPr>
                <w:rFonts w:hint="eastAsia"/>
                <w:b w:val="0"/>
                <w:bCs w:val="0"/>
                <w:sz w:val="24"/>
              </w:rPr>
              <w:t>公司现有工程总的主体工艺路线：原料煤经磨煤及干燥工序制成煤粉，与空分来的高压氧气反应生成粗煤气。一路粗煤气经CO变换、低温甲醇洗脱硫脱碳后得到富氢净化气，部分富氢净化气经变压吸附后得到工业氢气，工业氢气送乙二醇装置和直接作为产品供下游用户，部分富氢气单独（气体岛项目）或与华谊二期工程输送来的氢气一并（合成气项目）作为合成甲醇的原料气；另一路粗煤气直接经热回收、低温甲醇洗脱硫脱碳，一部分送甲醇合成作原料气，一部分经CO深冷分离，得到纯CO和富氢气，CO送至乙二醇装置和醋酸装置，富氢气送甲醇合成作原料气。甲醇合成装置生产的甲醇部分送醋酸和乙二醇装置作为原料，大部分送至甲醇罐区外售；乙二醇和醋酸装置生产的乙二醇和醋酸分别送乙二醇和醋酸罐区外卖。</w:t>
            </w:r>
          </w:p>
          <w:p w14:paraId="0F161ACE">
            <w:pPr>
              <w:spacing w:line="500" w:lineRule="atLeast"/>
              <w:ind w:firstLine="480" w:firstLineChars="200"/>
              <w:jc w:val="left"/>
              <w:rPr>
                <w:rFonts w:hint="eastAsia"/>
                <w:b w:val="0"/>
                <w:bCs w:val="0"/>
                <w:sz w:val="24"/>
              </w:rPr>
            </w:pPr>
            <w:r>
              <w:rPr>
                <w:rFonts w:hint="eastAsia"/>
                <w:b w:val="0"/>
                <w:bCs w:val="0"/>
                <w:sz w:val="24"/>
              </w:rPr>
              <w:t>1、煤气化</w:t>
            </w:r>
          </w:p>
          <w:p w14:paraId="0BC41358">
            <w:pPr>
              <w:spacing w:line="500" w:lineRule="atLeast"/>
              <w:ind w:firstLine="480" w:firstLineChars="200"/>
              <w:jc w:val="left"/>
              <w:rPr>
                <w:rFonts w:hint="eastAsia"/>
                <w:b w:val="0"/>
                <w:bCs w:val="0"/>
                <w:sz w:val="24"/>
              </w:rPr>
            </w:pPr>
            <w:r>
              <w:rPr>
                <w:rFonts w:hint="eastAsia"/>
                <w:b w:val="0"/>
                <w:bCs w:val="0"/>
                <w:sz w:val="24"/>
              </w:rPr>
              <w:t>气化技术采用5台投煤量2000t/d的航天粉煤加压气化炉，气化装置产气量合计为64.4万Nm</w:t>
            </w:r>
            <w:r>
              <w:rPr>
                <w:rFonts w:hint="eastAsia"/>
                <w:b w:val="0"/>
                <w:bCs w:val="0"/>
                <w:sz w:val="24"/>
                <w:vertAlign w:val="superscript"/>
              </w:rPr>
              <w:t>3</w:t>
            </w:r>
            <w:r>
              <w:rPr>
                <w:rFonts w:hint="eastAsia"/>
                <w:b w:val="0"/>
                <w:bCs w:val="0"/>
                <w:sz w:val="24"/>
              </w:rPr>
              <w:t>/h（CO+H</w:t>
            </w:r>
            <w:r>
              <w:rPr>
                <w:rFonts w:hint="eastAsia"/>
                <w:b w:val="0"/>
                <w:bCs w:val="0"/>
                <w:sz w:val="24"/>
                <w:vertAlign w:val="subscript"/>
              </w:rPr>
              <w:t>2</w:t>
            </w:r>
            <w:r>
              <w:rPr>
                <w:rFonts w:hint="eastAsia"/>
                <w:b w:val="0"/>
                <w:bCs w:val="0"/>
                <w:sz w:val="24"/>
              </w:rPr>
              <w:t>）。该技术是以煤为原料，经过磨煤及干燥、煤加压及输送、气化及合成气洗涤、渣及灰水处理等工艺生产合格的组合成气。另外新建一套投煤量3000t/d、有效气（CO+H</w:t>
            </w:r>
            <w:r>
              <w:rPr>
                <w:rFonts w:hint="eastAsia"/>
                <w:b w:val="0"/>
                <w:bCs w:val="0"/>
                <w:sz w:val="24"/>
                <w:vertAlign w:val="subscript"/>
              </w:rPr>
              <w:t>2</w:t>
            </w:r>
            <w:r>
              <w:rPr>
                <w:rFonts w:hint="eastAsia"/>
                <w:b w:val="0"/>
                <w:bCs w:val="0"/>
                <w:sz w:val="24"/>
              </w:rPr>
              <w:t>）产量为22万Nm</w:t>
            </w:r>
            <w:r>
              <w:rPr>
                <w:rFonts w:hint="eastAsia"/>
                <w:b w:val="0"/>
                <w:bCs w:val="0"/>
                <w:sz w:val="24"/>
                <w:vertAlign w:val="superscript"/>
              </w:rPr>
              <w:t>3</w:t>
            </w:r>
            <w:r>
              <w:rPr>
                <w:rFonts w:hint="eastAsia"/>
                <w:b w:val="0"/>
                <w:bCs w:val="0"/>
                <w:sz w:val="24"/>
              </w:rPr>
              <w:t>/h的下行水激冷华谊炉示范装置作为整个气化装置的备用炉。</w:t>
            </w:r>
          </w:p>
          <w:p w14:paraId="60A72493">
            <w:pPr>
              <w:spacing w:line="500" w:lineRule="atLeast"/>
              <w:ind w:firstLine="480" w:firstLineChars="200"/>
              <w:jc w:val="left"/>
              <w:rPr>
                <w:rFonts w:hint="eastAsia"/>
                <w:b w:val="0"/>
                <w:bCs w:val="0"/>
                <w:sz w:val="24"/>
              </w:rPr>
            </w:pPr>
            <w:r>
              <w:rPr>
                <w:rFonts w:hint="eastAsia"/>
                <w:b w:val="0"/>
                <w:bCs w:val="0"/>
                <w:sz w:val="24"/>
              </w:rPr>
              <w:t>2、变换/热回收</w:t>
            </w:r>
          </w:p>
          <w:p w14:paraId="20E21E11">
            <w:pPr>
              <w:spacing w:line="500" w:lineRule="atLeast"/>
              <w:ind w:firstLine="480" w:firstLineChars="200"/>
              <w:jc w:val="left"/>
              <w:rPr>
                <w:rFonts w:hint="eastAsia"/>
                <w:b w:val="0"/>
                <w:bCs w:val="0"/>
                <w:sz w:val="24"/>
              </w:rPr>
            </w:pPr>
            <w:r>
              <w:rPr>
                <w:rFonts w:hint="eastAsia"/>
                <w:b w:val="0"/>
                <w:bCs w:val="0"/>
                <w:sz w:val="24"/>
              </w:rPr>
              <w:t>粉煤气化后的水煤气一股送至变换单元经一级等温变换炉反应后生成CO含量约6%（V干基）的变换气，同时将部分有机硫转化成无机硫，经换热降温后送至低温甲醇洗工段。另一股水煤气进入热回收生产线，经热量回收、降温后作为未变换气送至低温甲醇洗。高温变换冷凝液闪蒸后经泵加压后送气化工段，低温变换冷凝液经冷凝液汽提塔用低压蒸汽气提后送至气化，塔顶含氨不凝气送至硫回收。</w:t>
            </w:r>
          </w:p>
          <w:p w14:paraId="7DC78968">
            <w:pPr>
              <w:spacing w:line="500" w:lineRule="atLeast"/>
              <w:ind w:firstLine="480" w:firstLineChars="200"/>
              <w:jc w:val="left"/>
              <w:rPr>
                <w:rFonts w:hint="eastAsia"/>
                <w:b w:val="0"/>
                <w:bCs w:val="0"/>
                <w:sz w:val="24"/>
              </w:rPr>
            </w:pPr>
            <w:r>
              <w:rPr>
                <w:rFonts w:hint="eastAsia"/>
                <w:b w:val="0"/>
                <w:bCs w:val="0"/>
                <w:sz w:val="24"/>
              </w:rPr>
              <w:t>3、低温甲醇洗</w:t>
            </w:r>
          </w:p>
          <w:p w14:paraId="32082364">
            <w:pPr>
              <w:spacing w:line="500" w:lineRule="atLeast"/>
              <w:ind w:firstLine="480" w:firstLineChars="200"/>
              <w:jc w:val="left"/>
              <w:rPr>
                <w:rFonts w:hint="eastAsia"/>
                <w:b w:val="0"/>
                <w:bCs w:val="0"/>
                <w:sz w:val="24"/>
              </w:rPr>
            </w:pPr>
            <w:r>
              <w:rPr>
                <w:rFonts w:hint="eastAsia"/>
                <w:b w:val="0"/>
                <w:bCs w:val="0"/>
                <w:sz w:val="24"/>
              </w:rPr>
              <w:t>低温甲醇洗采用林德技术，低温甲醇洗的目的是将变换及热回收装置送来的变换气及未变换气中的CO</w:t>
            </w:r>
            <w:r>
              <w:rPr>
                <w:rFonts w:hint="eastAsia"/>
                <w:b w:val="0"/>
                <w:bCs w:val="0"/>
                <w:sz w:val="24"/>
                <w:vertAlign w:val="subscript"/>
              </w:rPr>
              <w:t>2</w:t>
            </w:r>
            <w:r>
              <w:rPr>
                <w:rFonts w:hint="eastAsia"/>
                <w:b w:val="0"/>
                <w:bCs w:val="0"/>
                <w:sz w:val="24"/>
              </w:rPr>
              <w:t>、H</w:t>
            </w:r>
            <w:r>
              <w:rPr>
                <w:rFonts w:hint="eastAsia"/>
                <w:b w:val="0"/>
                <w:bCs w:val="0"/>
                <w:sz w:val="24"/>
                <w:vertAlign w:val="subscript"/>
              </w:rPr>
              <w:t>2</w:t>
            </w:r>
            <w:r>
              <w:rPr>
                <w:rFonts w:hint="eastAsia"/>
                <w:b w:val="0"/>
                <w:bCs w:val="0"/>
                <w:sz w:val="24"/>
              </w:rPr>
              <w:t>S、COS等酸性气脱除，得到净化合成气，总硫含量调至0.1ppmv以下。该单元还产出富H</w:t>
            </w:r>
            <w:r>
              <w:rPr>
                <w:rFonts w:hint="eastAsia"/>
                <w:b w:val="0"/>
                <w:bCs w:val="0"/>
                <w:sz w:val="24"/>
                <w:vertAlign w:val="subscript"/>
              </w:rPr>
              <w:t>2</w:t>
            </w:r>
            <w:r>
              <w:rPr>
                <w:rFonts w:hint="eastAsia"/>
                <w:b w:val="0"/>
                <w:bCs w:val="0"/>
                <w:sz w:val="24"/>
              </w:rPr>
              <w:t>S气体，富H</w:t>
            </w:r>
            <w:r>
              <w:rPr>
                <w:rFonts w:hint="eastAsia"/>
                <w:b w:val="0"/>
                <w:bCs w:val="0"/>
                <w:sz w:val="24"/>
                <w:vertAlign w:val="subscript"/>
              </w:rPr>
              <w:t>2</w:t>
            </w:r>
            <w:r>
              <w:rPr>
                <w:rFonts w:hint="eastAsia"/>
                <w:b w:val="0"/>
                <w:bCs w:val="0"/>
                <w:sz w:val="24"/>
              </w:rPr>
              <w:t>S气体送至下游硫回收装置，H2S含量大于25%（mol）。低温甲醇洗采用冷甲醇作为吸收剂，在低温（-50℃~-60℃）下选择性吸收原料气中的CO</w:t>
            </w:r>
            <w:r>
              <w:rPr>
                <w:rFonts w:hint="eastAsia"/>
                <w:b w:val="0"/>
                <w:bCs w:val="0"/>
                <w:sz w:val="24"/>
                <w:vertAlign w:val="subscript"/>
              </w:rPr>
              <w:t>2</w:t>
            </w:r>
            <w:r>
              <w:rPr>
                <w:rFonts w:hint="eastAsia"/>
                <w:b w:val="0"/>
                <w:bCs w:val="0"/>
                <w:sz w:val="24"/>
              </w:rPr>
              <w:t>、H</w:t>
            </w:r>
            <w:r>
              <w:rPr>
                <w:rFonts w:hint="eastAsia"/>
                <w:b w:val="0"/>
                <w:bCs w:val="0"/>
                <w:sz w:val="24"/>
                <w:vertAlign w:val="subscript"/>
              </w:rPr>
              <w:t>2</w:t>
            </w:r>
            <w:r>
              <w:rPr>
                <w:rFonts w:hint="eastAsia"/>
                <w:b w:val="0"/>
                <w:bCs w:val="0"/>
                <w:sz w:val="24"/>
              </w:rPr>
              <w:t>S、COS等酸性气体，得到适合下游装置的净化气，属于物理吸收过程。低温甲醇洗工艺可以同时脱除原料气中的H</w:t>
            </w:r>
            <w:r>
              <w:rPr>
                <w:rFonts w:hint="eastAsia"/>
                <w:b w:val="0"/>
                <w:bCs w:val="0"/>
                <w:sz w:val="24"/>
                <w:vertAlign w:val="subscript"/>
              </w:rPr>
              <w:t>2</w:t>
            </w:r>
            <w:r>
              <w:rPr>
                <w:rFonts w:hint="eastAsia"/>
                <w:b w:val="0"/>
                <w:bCs w:val="0"/>
                <w:sz w:val="24"/>
              </w:rPr>
              <w:t>S、COS、CO</w:t>
            </w:r>
            <w:r>
              <w:rPr>
                <w:rFonts w:hint="eastAsia"/>
                <w:b w:val="0"/>
                <w:bCs w:val="0"/>
                <w:sz w:val="24"/>
                <w:vertAlign w:val="subscript"/>
              </w:rPr>
              <w:t>2</w:t>
            </w:r>
            <w:r>
              <w:rPr>
                <w:rFonts w:hint="eastAsia"/>
                <w:b w:val="0"/>
                <w:bCs w:val="0"/>
                <w:sz w:val="24"/>
              </w:rPr>
              <w:t>等组分，且可同时脱水使气体彻底干燥，所吸收的有用组分可以在甲醇再生过程中回收，气体的净化度很高。</w:t>
            </w:r>
          </w:p>
          <w:p w14:paraId="57E3DF23">
            <w:pPr>
              <w:spacing w:line="500" w:lineRule="atLeast"/>
              <w:ind w:firstLine="480" w:firstLineChars="200"/>
              <w:jc w:val="left"/>
              <w:rPr>
                <w:rFonts w:hint="eastAsia"/>
                <w:b w:val="0"/>
                <w:bCs w:val="0"/>
                <w:sz w:val="24"/>
              </w:rPr>
            </w:pPr>
            <w:r>
              <w:rPr>
                <w:rFonts w:hint="eastAsia"/>
                <w:b w:val="0"/>
                <w:bCs w:val="0"/>
                <w:sz w:val="24"/>
              </w:rPr>
              <w:t>4、硫回收</w:t>
            </w:r>
          </w:p>
          <w:p w14:paraId="5BBD0C2D">
            <w:pPr>
              <w:spacing w:line="500" w:lineRule="atLeast"/>
              <w:ind w:firstLine="480" w:firstLineChars="200"/>
              <w:jc w:val="left"/>
              <w:rPr>
                <w:rFonts w:hint="eastAsia"/>
                <w:b w:val="0"/>
                <w:bCs w:val="0"/>
                <w:sz w:val="24"/>
              </w:rPr>
            </w:pPr>
            <w:r>
              <w:rPr>
                <w:rFonts w:hint="eastAsia"/>
                <w:b w:val="0"/>
                <w:bCs w:val="0"/>
                <w:sz w:val="24"/>
              </w:rPr>
              <w:t>采用荷丰技术，制硫部分采用高温热反应、两级克劳斯催化反应以及选择性催化氧化反应对酸性气中的硫进行回收，此部分的硫磺回收率可达99%，回收产品为硫磺。尾气处理部分采用尾气焚烧、脱硝以及尾气碱洗的工艺流程。</w:t>
            </w:r>
          </w:p>
          <w:p w14:paraId="04848EBD">
            <w:pPr>
              <w:spacing w:line="500" w:lineRule="atLeast"/>
              <w:ind w:firstLine="480" w:firstLineChars="200"/>
              <w:jc w:val="left"/>
              <w:rPr>
                <w:rFonts w:hint="eastAsia"/>
                <w:b w:val="0"/>
                <w:bCs w:val="0"/>
                <w:sz w:val="24"/>
              </w:rPr>
            </w:pPr>
            <w:r>
              <w:rPr>
                <w:rFonts w:hint="eastAsia"/>
                <w:b w:val="0"/>
                <w:bCs w:val="0"/>
                <w:sz w:val="24"/>
              </w:rPr>
              <w:t>5、CO深冷分离</w:t>
            </w:r>
          </w:p>
          <w:p w14:paraId="6B8AB26D">
            <w:pPr>
              <w:spacing w:line="500" w:lineRule="atLeast"/>
              <w:ind w:firstLine="480" w:firstLineChars="200"/>
              <w:jc w:val="left"/>
              <w:rPr>
                <w:rFonts w:hint="eastAsia"/>
                <w:b w:val="0"/>
                <w:bCs w:val="0"/>
                <w:sz w:val="24"/>
              </w:rPr>
            </w:pPr>
            <w:r>
              <w:rPr>
                <w:rFonts w:hint="eastAsia"/>
                <w:b w:val="0"/>
                <w:bCs w:val="0"/>
                <w:sz w:val="24"/>
              </w:rPr>
              <w:t>来自低温甲醇洗的脱硫脱碳合格的未变换气经深冷分离，得到CO纯度≥98.5%的合格产品，分别送醋酸、乙二醇等装置作为原料气。</w:t>
            </w:r>
          </w:p>
          <w:p w14:paraId="57C3428C">
            <w:pPr>
              <w:spacing w:line="500" w:lineRule="atLeast"/>
              <w:ind w:firstLine="480" w:firstLineChars="200"/>
              <w:jc w:val="left"/>
              <w:rPr>
                <w:rFonts w:hint="eastAsia"/>
                <w:b w:val="0"/>
                <w:bCs w:val="0"/>
                <w:sz w:val="24"/>
              </w:rPr>
            </w:pPr>
            <w:r>
              <w:rPr>
                <w:rFonts w:hint="eastAsia"/>
                <w:b w:val="0"/>
                <w:bCs w:val="0"/>
                <w:sz w:val="24"/>
              </w:rPr>
              <w:t>本项目采用部分冷凝法制备CO气体。部分冷凝法是利用CO与其他气体组分冷凝点的差别，使混合气在-165~-210℃的低温下，使某一组份或几个组份冷凝液化，其他组份保持气态，从而将CO分离出来。</w:t>
            </w:r>
          </w:p>
          <w:p w14:paraId="27793A15">
            <w:pPr>
              <w:spacing w:line="500" w:lineRule="atLeast"/>
              <w:ind w:firstLine="480" w:firstLineChars="200"/>
              <w:jc w:val="left"/>
              <w:rPr>
                <w:rFonts w:hint="eastAsia"/>
                <w:b w:val="0"/>
                <w:bCs w:val="0"/>
                <w:sz w:val="24"/>
              </w:rPr>
            </w:pPr>
            <w:r>
              <w:rPr>
                <w:rFonts w:hint="eastAsia"/>
                <w:b w:val="0"/>
                <w:bCs w:val="0"/>
                <w:sz w:val="24"/>
              </w:rPr>
              <w:t>6、PSA制氢</w:t>
            </w:r>
          </w:p>
          <w:p w14:paraId="5CC55756">
            <w:pPr>
              <w:spacing w:line="500" w:lineRule="atLeast"/>
              <w:ind w:firstLine="480" w:firstLineChars="200"/>
              <w:jc w:val="left"/>
              <w:rPr>
                <w:rFonts w:hint="eastAsia"/>
                <w:b w:val="0"/>
                <w:bCs w:val="0"/>
                <w:sz w:val="24"/>
              </w:rPr>
            </w:pPr>
            <w:r>
              <w:rPr>
                <w:rFonts w:hint="eastAsia"/>
                <w:b w:val="0"/>
                <w:bCs w:val="0"/>
                <w:sz w:val="24"/>
              </w:rPr>
              <w:t>变压吸附装置利用不同气体组分在不同压力下，在吸附剂上的吸附容量不同：高压下吸附，在低压下解吸，从而实现气体分离。本单元采用10罐流程，变压吸附将高压原料气由3.2MPaG降压至3.1MPaG后进入吸附塔进行变压吸附氢气提纯，解析气经压缩机压缩至0.35MPaG后，送往燃料气管网。</w:t>
            </w:r>
          </w:p>
          <w:p w14:paraId="75521734">
            <w:pPr>
              <w:spacing w:line="500" w:lineRule="atLeast"/>
              <w:ind w:firstLine="480" w:firstLineChars="200"/>
              <w:jc w:val="left"/>
              <w:rPr>
                <w:rFonts w:hint="eastAsia"/>
                <w:b w:val="0"/>
                <w:bCs w:val="0"/>
                <w:sz w:val="24"/>
              </w:rPr>
            </w:pPr>
            <w:r>
              <w:rPr>
                <w:rFonts w:hint="eastAsia"/>
                <w:b w:val="0"/>
                <w:bCs w:val="0"/>
                <w:sz w:val="24"/>
              </w:rPr>
              <w:t>7、甲醇合成</w:t>
            </w:r>
          </w:p>
          <w:p w14:paraId="40CBDB46">
            <w:pPr>
              <w:spacing w:line="500" w:lineRule="atLeast"/>
              <w:ind w:firstLine="480" w:firstLineChars="200"/>
              <w:jc w:val="left"/>
              <w:rPr>
                <w:rFonts w:hint="eastAsia"/>
                <w:b w:val="0"/>
                <w:bCs w:val="0"/>
                <w:sz w:val="24"/>
              </w:rPr>
            </w:pPr>
            <w:r>
              <w:rPr>
                <w:rFonts w:hint="eastAsia"/>
                <w:b w:val="0"/>
                <w:bCs w:val="0"/>
                <w:sz w:val="24"/>
              </w:rPr>
              <w:t>低温甲醇洗、CO深冷分离的富氢气，经过合成压缩机，压力达8.5MPa，温度达132℃，经过脱硫与循环气混合进入水冷反应器合成甲醇。同时副产中压蒸汽，副产蒸汽经过加热炉过热后，升温至420℃，并入公司中压过热蒸汽管网。其中气体岛项目的富氢气全部来自本公司自产，合成气项目原料氢气包括本公司自产和华谊二期的氢气。</w:t>
            </w:r>
          </w:p>
          <w:p w14:paraId="29E2E6D2">
            <w:pPr>
              <w:spacing w:line="500" w:lineRule="atLeast"/>
              <w:ind w:firstLine="480" w:firstLineChars="200"/>
              <w:jc w:val="left"/>
              <w:rPr>
                <w:rFonts w:hint="eastAsia"/>
                <w:b w:val="0"/>
                <w:bCs w:val="0"/>
                <w:sz w:val="24"/>
              </w:rPr>
            </w:pPr>
            <w:r>
              <w:rPr>
                <w:rFonts w:hint="eastAsia"/>
                <w:b w:val="0"/>
                <w:bCs w:val="0"/>
                <w:sz w:val="24"/>
              </w:rPr>
              <w:t>8、甲醇精馏</w:t>
            </w:r>
          </w:p>
          <w:p w14:paraId="08D296ED">
            <w:pPr>
              <w:spacing w:line="500" w:lineRule="atLeast"/>
              <w:ind w:firstLine="480" w:firstLineChars="200"/>
              <w:jc w:val="left"/>
              <w:rPr>
                <w:rFonts w:hint="eastAsia"/>
                <w:b w:val="0"/>
                <w:bCs w:val="0"/>
                <w:sz w:val="24"/>
              </w:rPr>
            </w:pPr>
            <w:r>
              <w:rPr>
                <w:rFonts w:hint="eastAsia"/>
                <w:b w:val="0"/>
                <w:bCs w:val="0"/>
                <w:sz w:val="24"/>
              </w:rPr>
              <w:t>甲醇合成生产的粗甲醇，除甲醇外还含有水、不溶性气体和甲醇合成反应副产物。精馏的目的是除去这些杂质而提高甲醇产品质量，得到精甲醇产品。本项目采用天津大学“4+1精馏技术”，设置预塔、减压塔、常压塔、加压塔和回收塔对甲醇合成出来的粗甲醇进行精馏除杂。</w:t>
            </w:r>
          </w:p>
          <w:p w14:paraId="3E1AEB1E">
            <w:pPr>
              <w:spacing w:line="500" w:lineRule="atLeast"/>
              <w:ind w:firstLine="480" w:firstLineChars="200"/>
              <w:jc w:val="left"/>
              <w:rPr>
                <w:rFonts w:hint="eastAsia"/>
                <w:b w:val="0"/>
                <w:bCs w:val="0"/>
                <w:sz w:val="24"/>
              </w:rPr>
            </w:pPr>
            <w:r>
              <w:rPr>
                <w:rFonts w:hint="eastAsia"/>
                <w:b w:val="0"/>
                <w:bCs w:val="0"/>
                <w:sz w:val="24"/>
              </w:rPr>
              <w:t>生产时为了保持精馏进料的稳定，合成过来的粗甲醇通常先进粗甲醇储槽，再由粗甲醇泵送往精馏。精甲醇储槽的液位达到外送条件后，通过精甲醇泵外送到成品罐区。</w:t>
            </w:r>
          </w:p>
          <w:p w14:paraId="2E62A812">
            <w:pPr>
              <w:spacing w:line="500" w:lineRule="atLeast"/>
              <w:ind w:firstLine="480" w:firstLineChars="200"/>
              <w:jc w:val="left"/>
              <w:rPr>
                <w:rFonts w:hint="eastAsia"/>
                <w:b w:val="0"/>
                <w:bCs w:val="0"/>
                <w:sz w:val="24"/>
              </w:rPr>
            </w:pPr>
            <w:r>
              <w:rPr>
                <w:rFonts w:hint="eastAsia"/>
                <w:b w:val="0"/>
                <w:bCs w:val="0"/>
                <w:sz w:val="24"/>
              </w:rPr>
              <w:t>醋酸装置、低温甲醇洗及乙二醇装置合成原料所需要的精甲醇，通过精甲醇泵送至相应产品的原料中间罐区，低温甲醇洗装置停车时的甲醇可直接送至粗甲醇槽。</w:t>
            </w:r>
          </w:p>
          <w:p w14:paraId="1AD5052E">
            <w:pPr>
              <w:spacing w:line="500" w:lineRule="atLeast"/>
              <w:ind w:firstLine="480" w:firstLineChars="200"/>
              <w:jc w:val="left"/>
              <w:rPr>
                <w:rFonts w:hint="eastAsia"/>
                <w:b w:val="0"/>
                <w:bCs w:val="0"/>
                <w:sz w:val="24"/>
              </w:rPr>
            </w:pPr>
            <w:r>
              <w:rPr>
                <w:rFonts w:hint="eastAsia"/>
                <w:b w:val="0"/>
                <w:bCs w:val="0"/>
                <w:sz w:val="24"/>
              </w:rPr>
              <w:t>9、醋酸合成</w:t>
            </w:r>
          </w:p>
          <w:p w14:paraId="08E05EE8">
            <w:pPr>
              <w:spacing w:line="500" w:lineRule="atLeast"/>
              <w:ind w:firstLine="480" w:firstLineChars="200"/>
              <w:jc w:val="left"/>
              <w:rPr>
                <w:rFonts w:hint="eastAsia"/>
                <w:b w:val="0"/>
                <w:bCs w:val="0"/>
                <w:sz w:val="24"/>
              </w:rPr>
            </w:pPr>
            <w:r>
              <w:rPr>
                <w:rFonts w:hint="eastAsia"/>
                <w:b w:val="0"/>
                <w:bCs w:val="0"/>
                <w:sz w:val="24"/>
              </w:rPr>
              <w:t>醋酸装置采用甲醇低压羰基合成法的工艺生产路线，以甲醇和CO为原料，在一定的温度、压力和催化剂作用下进行连续反应生成醋酸。反应液经闪蒸分离，分离出含有催化剂的液相循环回反应器，而分离出的气相（含有粗醋酸）送至精馏区。反应驰放气去尾气吸收区。</w:t>
            </w:r>
          </w:p>
          <w:p w14:paraId="087FD18E">
            <w:pPr>
              <w:spacing w:line="500" w:lineRule="atLeast"/>
              <w:ind w:firstLine="480" w:firstLineChars="200"/>
              <w:jc w:val="left"/>
              <w:rPr>
                <w:rFonts w:hint="eastAsia"/>
                <w:b w:val="0"/>
                <w:bCs w:val="0"/>
                <w:sz w:val="24"/>
              </w:rPr>
            </w:pPr>
            <w:r>
              <w:rPr>
                <w:rFonts w:hint="eastAsia"/>
                <w:b w:val="0"/>
                <w:bCs w:val="0"/>
                <w:sz w:val="24"/>
              </w:rPr>
              <w:t>在精馏区，粗醋酸经精馏提纯后得到产品醋酸，送醋酸中间罐区。精馏区的不凝气去尾气吸收区。</w:t>
            </w:r>
          </w:p>
          <w:p w14:paraId="4094CEB4">
            <w:pPr>
              <w:spacing w:line="500" w:lineRule="atLeast"/>
              <w:ind w:firstLine="480" w:firstLineChars="200"/>
              <w:jc w:val="left"/>
              <w:rPr>
                <w:rFonts w:hint="eastAsia"/>
                <w:b w:val="0"/>
                <w:bCs w:val="0"/>
                <w:sz w:val="24"/>
              </w:rPr>
            </w:pPr>
            <w:r>
              <w:rPr>
                <w:rFonts w:hint="eastAsia"/>
                <w:b w:val="0"/>
                <w:bCs w:val="0"/>
                <w:sz w:val="24"/>
              </w:rPr>
              <w:t>在尾气吸收区，反应驰放气及精馏区排放气经酸洗或醇洗后，排放气送往甲醇装置过热炉作为燃料或直接送火炬系统焚烧处理。</w:t>
            </w:r>
          </w:p>
          <w:p w14:paraId="4DAFF650">
            <w:pPr>
              <w:spacing w:line="500" w:lineRule="atLeast"/>
              <w:ind w:firstLine="480" w:firstLineChars="200"/>
              <w:jc w:val="left"/>
              <w:rPr>
                <w:rFonts w:hint="eastAsia"/>
                <w:b w:val="0"/>
                <w:bCs w:val="0"/>
                <w:sz w:val="24"/>
              </w:rPr>
            </w:pPr>
            <w:r>
              <w:rPr>
                <w:rFonts w:hint="eastAsia"/>
                <w:b w:val="0"/>
                <w:bCs w:val="0"/>
                <w:sz w:val="24"/>
              </w:rPr>
              <w:t>在脱碘区（甲基碘为助催化剂），合格产品醋酸经吸附剂进一步脱除碘化物后，得到低碘醋酸产品去醋酸中间罐区低碘醋酸储罐。</w:t>
            </w:r>
          </w:p>
          <w:p w14:paraId="702E167C">
            <w:pPr>
              <w:spacing w:line="500" w:lineRule="atLeast"/>
              <w:ind w:firstLine="480" w:firstLineChars="200"/>
              <w:jc w:val="left"/>
              <w:rPr>
                <w:rFonts w:hint="eastAsia"/>
                <w:b w:val="0"/>
                <w:bCs w:val="0"/>
                <w:sz w:val="24"/>
              </w:rPr>
            </w:pPr>
            <w:r>
              <w:rPr>
                <w:rFonts w:hint="eastAsia"/>
                <w:b w:val="0"/>
                <w:bCs w:val="0"/>
                <w:sz w:val="24"/>
              </w:rPr>
              <w:t>10、乙二醇合成</w:t>
            </w:r>
          </w:p>
          <w:p w14:paraId="217E91E2">
            <w:pPr>
              <w:spacing w:line="500" w:lineRule="atLeast"/>
              <w:ind w:firstLine="480" w:firstLineChars="200"/>
              <w:jc w:val="left"/>
              <w:rPr>
                <w:rFonts w:hint="eastAsia"/>
                <w:b w:val="0"/>
                <w:bCs w:val="0"/>
                <w:sz w:val="24"/>
              </w:rPr>
            </w:pPr>
            <w:r>
              <w:rPr>
                <w:rFonts w:hint="eastAsia"/>
                <w:b w:val="0"/>
                <w:bCs w:val="0"/>
                <w:sz w:val="24"/>
              </w:rPr>
              <w:t>煤制乙二醇装置主要由草酸酯合成、草酸酯精制、乙二醇合成、乙二醇精制四大单元组成。由O</w:t>
            </w:r>
            <w:r>
              <w:rPr>
                <w:rFonts w:hint="eastAsia"/>
                <w:b w:val="0"/>
                <w:bCs w:val="0"/>
                <w:sz w:val="24"/>
                <w:vertAlign w:val="subscript"/>
              </w:rPr>
              <w:t>2</w:t>
            </w:r>
            <w:r>
              <w:rPr>
                <w:rFonts w:hint="eastAsia"/>
                <w:b w:val="0"/>
                <w:bCs w:val="0"/>
                <w:sz w:val="24"/>
              </w:rPr>
              <w:t>、甲醇和NO在酯化塔内反应生成亚硝酸甲酯（MN），再由亚硝酸甲酯（MN）与CO在羰化反应器内反应生成草酸二甲酯（DMO）粗产品，经过草酸酯精制单元得到草酸二甲酯（DMO）精产品；精草酸二甲酯与H2在加氢反应器内反应合成乙二醇（EG）粗产品，再经过乙二醇精制单元得到主产品聚酯级乙二醇。</w:t>
            </w:r>
          </w:p>
          <w:p w14:paraId="5501ACB2">
            <w:pPr>
              <w:spacing w:line="500" w:lineRule="atLeast"/>
              <w:ind w:firstLine="480" w:firstLineChars="200"/>
              <w:jc w:val="left"/>
              <w:rPr>
                <w:rFonts w:hint="default" w:eastAsia="宋体"/>
                <w:b w:val="0"/>
                <w:bCs w:val="0"/>
                <w:sz w:val="24"/>
                <w:lang w:val="en-US" w:eastAsia="zh-CN"/>
              </w:rPr>
            </w:pPr>
            <w:r>
              <w:rPr>
                <w:rFonts w:hint="eastAsia"/>
                <w:b w:val="0"/>
                <w:bCs w:val="0"/>
                <w:sz w:val="24"/>
                <w:lang w:val="en-US" w:eastAsia="zh-CN"/>
              </w:rPr>
              <w:t>11、草酸合成</w:t>
            </w:r>
          </w:p>
          <w:p w14:paraId="36707084">
            <w:pPr>
              <w:spacing w:line="500" w:lineRule="atLeast"/>
              <w:ind w:firstLine="480" w:firstLineChars="200"/>
              <w:jc w:val="left"/>
              <w:rPr>
                <w:rFonts w:hint="default" w:eastAsia="宋体"/>
                <w:b w:val="0"/>
                <w:bCs w:val="0"/>
                <w:sz w:val="24"/>
                <w:lang w:val="en-US" w:eastAsia="zh-CN"/>
              </w:rPr>
            </w:pPr>
            <w:r>
              <w:rPr>
                <w:rFonts w:hint="eastAsia"/>
                <w:b w:val="0"/>
                <w:bCs w:val="0"/>
                <w:sz w:val="24"/>
                <w:lang w:val="en-US" w:eastAsia="zh-CN"/>
              </w:rPr>
              <w:t>以乙二醇装置产生的草酸二甲酯为原料，在负压状态下的水解混合釜中与来自连续结晶系统的草酸母液进行混合预热，使用蒸汽控制混合釜温度在65℃以上，停留时间15min左右，混合液发生水解反应，生成草酸和甲醇。再经蒸馏、结晶、过滤、干燥处理得到草酸产品。</w:t>
            </w:r>
          </w:p>
          <w:p w14:paraId="35ADB562">
            <w:pPr>
              <w:spacing w:line="500" w:lineRule="atLeast"/>
              <w:ind w:firstLine="480" w:firstLineChars="200"/>
              <w:jc w:val="left"/>
              <w:rPr>
                <w:rFonts w:hint="eastAsia"/>
                <w:b w:val="0"/>
                <w:bCs w:val="0"/>
                <w:sz w:val="24"/>
                <w:u w:val="single"/>
              </w:rPr>
            </w:pPr>
            <w:r>
              <w:rPr>
                <w:rFonts w:hint="eastAsia"/>
                <w:b w:val="0"/>
                <w:bCs w:val="0"/>
                <w:sz w:val="24"/>
                <w:u w:val="single"/>
                <w:lang w:val="en-US" w:eastAsia="zh-CN"/>
              </w:rPr>
              <w:t>本项目为醋酸装置副产的60醋酸分离项目，</w:t>
            </w:r>
            <w:r>
              <w:rPr>
                <w:rFonts w:hint="eastAsia"/>
                <w:b w:val="0"/>
                <w:bCs w:val="0"/>
                <w:sz w:val="24"/>
                <w:u w:val="single"/>
              </w:rPr>
              <w:t>与本项目相关的为醋酸装置，相关工艺流程图详见</w:t>
            </w:r>
            <w:r>
              <w:rPr>
                <w:rFonts w:hint="eastAsia"/>
                <w:b w:val="0"/>
                <w:bCs w:val="0"/>
                <w:sz w:val="24"/>
                <w:u w:val="single"/>
                <w:lang w:val="en-US" w:eastAsia="zh-CN"/>
              </w:rPr>
              <w:t>下图</w:t>
            </w:r>
            <w:r>
              <w:rPr>
                <w:rFonts w:hint="eastAsia"/>
                <w:b w:val="0"/>
                <w:bCs w:val="0"/>
                <w:sz w:val="24"/>
                <w:u w:val="single"/>
              </w:rPr>
              <w:t>。</w:t>
            </w:r>
          </w:p>
          <w:p w14:paraId="23A63E1B">
            <w:pPr>
              <w:spacing w:line="500" w:lineRule="atLeast"/>
              <w:ind w:firstLine="480" w:firstLineChars="200"/>
              <w:jc w:val="left"/>
              <w:rPr>
                <w:rFonts w:hint="eastAsia"/>
                <w:b w:val="0"/>
                <w:bCs w:val="0"/>
                <w:sz w:val="24"/>
                <w:u w:val="single"/>
              </w:rPr>
            </w:pPr>
          </w:p>
          <w:p w14:paraId="2C51D5FF">
            <w:pPr>
              <w:spacing w:line="500" w:lineRule="atLeast"/>
              <w:jc w:val="left"/>
              <w:rPr>
                <w:rFonts w:hint="eastAsia" w:eastAsia="宋体"/>
                <w:b w:val="0"/>
                <w:bCs w:val="0"/>
                <w:sz w:val="24"/>
                <w:lang w:eastAsia="zh-CN"/>
              </w:rPr>
            </w:pPr>
            <w:r>
              <w:rPr>
                <w:rFonts w:hint="eastAsia" w:eastAsia="宋体"/>
                <w:b w:val="0"/>
                <w:bCs w:val="0"/>
                <w:sz w:val="24"/>
                <w:lang w:eastAsia="zh-CN"/>
              </w:rPr>
              <w:drawing>
                <wp:inline distT="0" distB="0" distL="114300" distR="114300">
                  <wp:extent cx="5276850" cy="2238375"/>
                  <wp:effectExtent l="0" t="0" r="0" b="952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6"/>
                          <a:stretch>
                            <a:fillRect/>
                          </a:stretch>
                        </pic:blipFill>
                        <pic:spPr>
                          <a:xfrm>
                            <a:off x="0" y="0"/>
                            <a:ext cx="5276850" cy="2238375"/>
                          </a:xfrm>
                          <a:prstGeom prst="rect">
                            <a:avLst/>
                          </a:prstGeom>
                        </pic:spPr>
                      </pic:pic>
                    </a:graphicData>
                  </a:graphic>
                </wp:inline>
              </w:drawing>
            </w:r>
          </w:p>
          <w:p w14:paraId="2DD5B31A">
            <w:pPr>
              <w:widowControl/>
              <w:spacing w:line="500" w:lineRule="exact"/>
              <w:ind w:left="0" w:leftChars="0" w:right="0" w:rightChars="0" w:firstLine="0" w:firstLineChars="0"/>
              <w:jc w:val="center"/>
              <w:rPr>
                <w:rFonts w:hint="eastAsia"/>
                <w:b/>
                <w:bCs/>
                <w:kern w:val="0"/>
                <w:sz w:val="24"/>
                <w:szCs w:val="24"/>
                <w:u w:val="none"/>
                <w:lang w:val="en-US" w:eastAsia="zh-CN"/>
              </w:rPr>
            </w:pPr>
            <w:r>
              <w:rPr>
                <w:rFonts w:hint="eastAsia"/>
                <w:b/>
                <w:bCs/>
                <w:kern w:val="0"/>
                <w:sz w:val="24"/>
                <w:szCs w:val="24"/>
                <w:u w:val="none"/>
                <w:lang w:val="en-US" w:eastAsia="zh-CN"/>
              </w:rPr>
              <w:t>图2-3醋酸装置工艺流程简图</w:t>
            </w:r>
          </w:p>
          <w:p w14:paraId="707D59D9">
            <w:pPr>
              <w:widowControl/>
              <w:spacing w:line="240" w:lineRule="auto"/>
              <w:ind w:left="0" w:leftChars="0" w:right="0" w:rightChars="0" w:firstLine="0" w:firstLineChars="0"/>
              <w:jc w:val="center"/>
              <w:rPr>
                <w:rFonts w:hint="eastAsia"/>
                <w:b/>
                <w:bCs/>
                <w:kern w:val="0"/>
                <w:sz w:val="24"/>
                <w:szCs w:val="24"/>
                <w:u w:val="none"/>
                <w:lang w:val="en-US" w:eastAsia="zh-CN"/>
              </w:rPr>
            </w:pPr>
            <w:r>
              <w:rPr>
                <w:rFonts w:hint="eastAsia"/>
                <w:b/>
                <w:bCs/>
                <w:kern w:val="0"/>
                <w:sz w:val="24"/>
                <w:szCs w:val="24"/>
                <w:u w:val="none"/>
                <w:lang w:val="en-US" w:eastAsia="zh-CN"/>
              </w:rPr>
              <w:drawing>
                <wp:inline distT="0" distB="0" distL="114300" distR="114300">
                  <wp:extent cx="5342255" cy="3284220"/>
                  <wp:effectExtent l="0" t="0" r="10795" b="1143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7"/>
                          <a:stretch>
                            <a:fillRect/>
                          </a:stretch>
                        </pic:blipFill>
                        <pic:spPr>
                          <a:xfrm>
                            <a:off x="0" y="0"/>
                            <a:ext cx="5342255" cy="3284220"/>
                          </a:xfrm>
                          <a:prstGeom prst="rect">
                            <a:avLst/>
                          </a:prstGeom>
                        </pic:spPr>
                      </pic:pic>
                    </a:graphicData>
                  </a:graphic>
                </wp:inline>
              </w:drawing>
            </w:r>
          </w:p>
          <w:p w14:paraId="6D014252">
            <w:pPr>
              <w:widowControl/>
              <w:spacing w:line="500" w:lineRule="exact"/>
              <w:ind w:left="0" w:leftChars="0" w:right="0" w:rightChars="0" w:firstLine="0" w:firstLineChars="0"/>
              <w:jc w:val="center"/>
              <w:rPr>
                <w:rFonts w:hint="default"/>
                <w:b/>
                <w:bCs/>
                <w:kern w:val="0"/>
                <w:sz w:val="24"/>
                <w:szCs w:val="24"/>
                <w:u w:val="none"/>
                <w:lang w:val="en-US" w:eastAsia="zh-CN"/>
              </w:rPr>
            </w:pPr>
            <w:r>
              <w:rPr>
                <w:rFonts w:hint="eastAsia"/>
                <w:b/>
                <w:bCs/>
                <w:kern w:val="0"/>
                <w:sz w:val="24"/>
                <w:szCs w:val="24"/>
                <w:u w:val="none"/>
                <w:lang w:val="en-US" w:eastAsia="zh-CN"/>
              </w:rPr>
              <w:t>图2-4醋酸装置流程图</w:t>
            </w:r>
          </w:p>
          <w:p w14:paraId="7C36486D">
            <w:pPr>
              <w:widowControl/>
              <w:spacing w:line="240" w:lineRule="auto"/>
              <w:ind w:left="0" w:leftChars="0" w:right="0" w:rightChars="0" w:firstLine="0" w:firstLineChars="0"/>
              <w:jc w:val="center"/>
              <w:rPr>
                <w:rFonts w:hint="eastAsia" w:eastAsia="宋体"/>
                <w:kern w:val="0"/>
                <w:sz w:val="24"/>
                <w:szCs w:val="24"/>
                <w:u w:val="single"/>
                <w:lang w:val="en-US" w:eastAsia="zh-CN"/>
              </w:rPr>
            </w:pPr>
            <w:r>
              <w:rPr>
                <w:rFonts w:hint="eastAsia" w:eastAsia="宋体"/>
                <w:kern w:val="0"/>
                <w:sz w:val="24"/>
                <w:szCs w:val="24"/>
                <w:u w:val="single"/>
                <w:lang w:val="en-US" w:eastAsia="zh-CN"/>
              </w:rPr>
              <w:drawing>
                <wp:inline distT="0" distB="0" distL="114300" distR="114300">
                  <wp:extent cx="5345430" cy="3063875"/>
                  <wp:effectExtent l="0" t="0" r="7620" b="3175"/>
                  <wp:docPr id="4" name="图片 4" descr="醋酸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醋酸装置"/>
                          <pic:cNvPicPr>
                            <a:picLocks noChangeAspect="1"/>
                          </pic:cNvPicPr>
                        </pic:nvPicPr>
                        <pic:blipFill>
                          <a:blip r:embed="rId18"/>
                          <a:stretch>
                            <a:fillRect/>
                          </a:stretch>
                        </pic:blipFill>
                        <pic:spPr>
                          <a:xfrm>
                            <a:off x="0" y="0"/>
                            <a:ext cx="5345430" cy="3063875"/>
                          </a:xfrm>
                          <a:prstGeom prst="rect">
                            <a:avLst/>
                          </a:prstGeom>
                        </pic:spPr>
                      </pic:pic>
                    </a:graphicData>
                  </a:graphic>
                </wp:inline>
              </w:drawing>
            </w:r>
          </w:p>
          <w:p w14:paraId="218110DD">
            <w:pPr>
              <w:widowControl/>
              <w:spacing w:line="500" w:lineRule="exact"/>
              <w:ind w:left="0" w:leftChars="0" w:right="0" w:rightChars="0" w:firstLine="0" w:firstLineChars="0"/>
              <w:jc w:val="center"/>
              <w:rPr>
                <w:rFonts w:hint="default" w:eastAsia="宋体"/>
                <w:b/>
                <w:bCs/>
                <w:kern w:val="0"/>
                <w:sz w:val="24"/>
                <w:szCs w:val="24"/>
                <w:u w:val="none"/>
                <w:lang w:val="en-US" w:eastAsia="zh-CN"/>
              </w:rPr>
            </w:pPr>
            <w:r>
              <w:rPr>
                <w:rFonts w:hint="eastAsia"/>
                <w:b/>
                <w:bCs/>
                <w:kern w:val="0"/>
                <w:sz w:val="24"/>
                <w:szCs w:val="24"/>
                <w:u w:val="single"/>
                <w:lang w:val="en-US" w:eastAsia="zh-CN"/>
              </w:rPr>
              <w:t>图2-5 70万吨/年醋酸装置工艺流程以及产污节点图</w:t>
            </w:r>
          </w:p>
          <w:p w14:paraId="426409CA">
            <w:pPr>
              <w:widowControl/>
              <w:spacing w:line="500" w:lineRule="exact"/>
              <w:ind w:firstLine="200"/>
              <w:jc w:val="left"/>
              <w:rPr>
                <w:rFonts w:eastAsia="宋体"/>
                <w:kern w:val="0"/>
                <w:sz w:val="24"/>
                <w:szCs w:val="24"/>
                <w:u w:val="none"/>
              </w:rPr>
            </w:pPr>
            <w:r>
              <w:rPr>
                <w:rFonts w:eastAsia="宋体"/>
                <w:kern w:val="0"/>
                <w:sz w:val="24"/>
                <w:szCs w:val="24"/>
                <w:u w:val="none"/>
              </w:rPr>
              <w:t>项目采用甲醇低压羰基合成醋酸，工艺原理如下：</w:t>
            </w:r>
          </w:p>
          <w:p w14:paraId="38638E13">
            <w:pPr>
              <w:widowControl/>
              <w:spacing w:line="500" w:lineRule="exact"/>
              <w:ind w:firstLine="200"/>
              <w:jc w:val="left"/>
              <w:rPr>
                <w:rFonts w:eastAsia="宋体"/>
                <w:kern w:val="0"/>
                <w:sz w:val="24"/>
                <w:szCs w:val="24"/>
                <w:u w:val="none"/>
              </w:rPr>
            </w:pPr>
            <w:r>
              <w:rPr>
                <w:rFonts w:eastAsia="宋体"/>
                <w:kern w:val="0"/>
                <w:sz w:val="24"/>
                <w:szCs w:val="24"/>
                <w:u w:val="none"/>
              </w:rPr>
              <w:t xml:space="preserve">主反应： </w:t>
            </w:r>
          </w:p>
          <w:p w14:paraId="7836FDEC">
            <w:pPr>
              <w:widowControl/>
              <w:spacing w:line="500" w:lineRule="exact"/>
              <w:ind w:firstLine="1920" w:firstLineChars="800"/>
              <w:jc w:val="left"/>
              <w:rPr>
                <w:rFonts w:eastAsia="宋体"/>
                <w:kern w:val="0"/>
                <w:sz w:val="24"/>
                <w:szCs w:val="24"/>
                <w:u w:val="none"/>
              </w:rPr>
            </w:pP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 xml:space="preserve">OH </w:t>
            </w:r>
            <w:r>
              <w:rPr>
                <w:rFonts w:eastAsia="宋体"/>
                <w:kern w:val="0"/>
                <w:sz w:val="24"/>
                <w:szCs w:val="24"/>
                <w:u w:val="none"/>
              </w:rPr>
              <w:sym w:font="Symbol" w:char="F02B"/>
            </w:r>
            <w:r>
              <w:rPr>
                <w:rFonts w:eastAsia="宋体"/>
                <w:kern w:val="0"/>
                <w:sz w:val="24"/>
                <w:szCs w:val="24"/>
                <w:u w:val="none"/>
              </w:rPr>
              <w:t xml:space="preserve">CO </w:t>
            </w:r>
            <w:r>
              <w:rPr>
                <w:rFonts w:eastAsia="宋体"/>
                <w:kern w:val="0"/>
                <w:sz w:val="24"/>
                <w:szCs w:val="24"/>
                <w:u w:val="none"/>
              </w:rPr>
              <w:sym w:font="Symbol" w:char="F0BE"/>
            </w:r>
            <w:r>
              <w:rPr>
                <w:rFonts w:hint="eastAsia" w:eastAsia="宋体"/>
                <w:kern w:val="0"/>
                <w:sz w:val="24"/>
                <w:szCs w:val="24"/>
                <w:u w:val="none"/>
                <w:vertAlign w:val="superscript"/>
              </w:rPr>
              <w:t>催化剂</w:t>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 xml:space="preserve">COOH </w:t>
            </w:r>
            <w:r>
              <w:rPr>
                <w:rFonts w:eastAsia="宋体"/>
                <w:kern w:val="0"/>
                <w:sz w:val="24"/>
                <w:szCs w:val="24"/>
                <w:u w:val="none"/>
              </w:rPr>
              <w:sym w:font="Symbol" w:char="F02B"/>
            </w:r>
            <w:r>
              <w:rPr>
                <w:rFonts w:eastAsia="宋体"/>
                <w:kern w:val="0"/>
                <w:sz w:val="24"/>
                <w:szCs w:val="24"/>
                <w:u w:val="none"/>
              </w:rPr>
              <w:t xml:space="preserve"> 2281k J / kg </w:t>
            </w:r>
          </w:p>
          <w:p w14:paraId="5FC552FC">
            <w:pPr>
              <w:widowControl/>
              <w:spacing w:line="500" w:lineRule="exact"/>
              <w:ind w:firstLine="200"/>
              <w:jc w:val="left"/>
              <w:rPr>
                <w:rFonts w:eastAsia="宋体"/>
                <w:kern w:val="0"/>
                <w:sz w:val="24"/>
                <w:szCs w:val="24"/>
                <w:u w:val="none"/>
              </w:rPr>
            </w:pPr>
            <w:r>
              <w:rPr>
                <w:rFonts w:eastAsia="宋体"/>
                <w:kern w:val="0"/>
                <w:sz w:val="24"/>
                <w:szCs w:val="24"/>
                <w:u w:val="none"/>
              </w:rPr>
              <w:t>副反应：</w:t>
            </w:r>
          </w:p>
          <w:p w14:paraId="036DF8D9">
            <w:pPr>
              <w:widowControl/>
              <w:spacing w:line="500" w:lineRule="exact"/>
              <w:ind w:firstLine="200"/>
              <w:jc w:val="left"/>
              <w:rPr>
                <w:rFonts w:eastAsia="宋体"/>
                <w:kern w:val="0"/>
                <w:sz w:val="24"/>
                <w:szCs w:val="24"/>
                <w:u w:val="none"/>
              </w:rPr>
            </w:pPr>
            <w:r>
              <w:rPr>
                <w:rFonts w:eastAsia="宋体"/>
                <w:kern w:val="0"/>
                <w:sz w:val="24"/>
                <w:szCs w:val="24"/>
                <w:u w:val="none"/>
              </w:rPr>
              <w:t>变换反应：</w:t>
            </w:r>
            <w:r>
              <w:rPr>
                <w:rFonts w:hint="eastAsia" w:eastAsia="宋体"/>
                <w:kern w:val="0"/>
                <w:sz w:val="24"/>
                <w:szCs w:val="24"/>
                <w:u w:val="none"/>
              </w:rPr>
              <w:t xml:space="preserve">          </w:t>
            </w:r>
            <w:r>
              <w:rPr>
                <w:rFonts w:eastAsia="宋体"/>
                <w:kern w:val="0"/>
                <w:sz w:val="24"/>
                <w:szCs w:val="24"/>
                <w:u w:val="none"/>
              </w:rPr>
              <w:t xml:space="preserve"> CO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O</w:t>
            </w:r>
            <w:r>
              <w:rPr>
                <w:rFonts w:eastAsia="宋体"/>
                <w:kern w:val="0"/>
                <w:sz w:val="24"/>
                <w:szCs w:val="24"/>
                <w:u w:val="none"/>
              </w:rPr>
              <w:sym w:font="Symbol" w:char="F0AC"/>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CO</w:t>
            </w:r>
            <w:r>
              <w:rPr>
                <w:rFonts w:eastAsia="宋体"/>
                <w:kern w:val="0"/>
                <w:sz w:val="24"/>
                <w:szCs w:val="24"/>
                <w:u w:val="none"/>
                <w:vertAlign w:val="subscript"/>
              </w:rPr>
              <w:t>2</w:t>
            </w:r>
            <w:r>
              <w:rPr>
                <w:rFonts w:eastAsia="宋体"/>
                <w:kern w:val="0"/>
                <w:sz w:val="24"/>
                <w:szCs w:val="24"/>
                <w:u w:val="none"/>
              </w:rPr>
              <w:t xml:space="preserve">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 xml:space="preserve">2 </w:t>
            </w:r>
          </w:p>
          <w:p w14:paraId="389DFA44">
            <w:pPr>
              <w:widowControl/>
              <w:spacing w:line="500" w:lineRule="exact"/>
              <w:ind w:firstLine="200"/>
              <w:jc w:val="left"/>
              <w:rPr>
                <w:rFonts w:eastAsia="宋体"/>
                <w:kern w:val="0"/>
                <w:sz w:val="24"/>
                <w:szCs w:val="24"/>
                <w:u w:val="none"/>
              </w:rPr>
            </w:pPr>
            <w:r>
              <w:rPr>
                <w:rFonts w:eastAsia="宋体"/>
                <w:kern w:val="0"/>
                <w:sz w:val="24"/>
                <w:szCs w:val="24"/>
                <w:u w:val="none"/>
              </w:rPr>
              <w:t>甲烷化反应：</w:t>
            </w:r>
            <w:r>
              <w:rPr>
                <w:rFonts w:hint="eastAsia" w:eastAsia="宋体"/>
                <w:kern w:val="0"/>
                <w:sz w:val="24"/>
                <w:szCs w:val="24"/>
                <w:u w:val="none"/>
              </w:rPr>
              <w:t xml:space="preserve">      </w:t>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 xml:space="preserve">OH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 xml:space="preserve"> </w:t>
            </w:r>
            <w:r>
              <w:rPr>
                <w:rFonts w:eastAsia="宋体"/>
                <w:kern w:val="0"/>
                <w:sz w:val="24"/>
                <w:szCs w:val="24"/>
                <w:u w:val="none"/>
              </w:rPr>
              <w:sym w:font="Symbol" w:char="F0BE"/>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CH</w:t>
            </w:r>
            <w:r>
              <w:rPr>
                <w:rFonts w:eastAsia="宋体"/>
                <w:kern w:val="0"/>
                <w:sz w:val="24"/>
                <w:szCs w:val="24"/>
                <w:u w:val="none"/>
                <w:vertAlign w:val="subscript"/>
              </w:rPr>
              <w:t xml:space="preserve">4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 xml:space="preserve">O </w:t>
            </w:r>
          </w:p>
          <w:p w14:paraId="5CE6084F">
            <w:pPr>
              <w:widowControl/>
              <w:spacing w:line="500" w:lineRule="exact"/>
              <w:ind w:firstLine="200"/>
              <w:jc w:val="left"/>
              <w:rPr>
                <w:rFonts w:eastAsia="宋体"/>
                <w:kern w:val="0"/>
                <w:sz w:val="24"/>
                <w:szCs w:val="24"/>
                <w:u w:val="none"/>
              </w:rPr>
            </w:pPr>
            <w:r>
              <w:rPr>
                <w:rFonts w:eastAsia="宋体"/>
                <w:kern w:val="0"/>
                <w:sz w:val="24"/>
                <w:szCs w:val="24"/>
                <w:u w:val="none"/>
              </w:rPr>
              <w:t>生成丙酸反应： CH</w:t>
            </w:r>
            <w:r>
              <w:rPr>
                <w:rFonts w:eastAsia="宋体"/>
                <w:kern w:val="0"/>
                <w:sz w:val="24"/>
                <w:szCs w:val="24"/>
                <w:u w:val="none"/>
                <w:vertAlign w:val="subscript"/>
              </w:rPr>
              <w:t>3</w:t>
            </w:r>
            <w:r>
              <w:rPr>
                <w:rFonts w:eastAsia="宋体"/>
                <w:kern w:val="0"/>
                <w:sz w:val="24"/>
                <w:szCs w:val="24"/>
                <w:u w:val="none"/>
              </w:rPr>
              <w:t xml:space="preserve">COOH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 xml:space="preserve"> </w:t>
            </w:r>
            <w:r>
              <w:rPr>
                <w:rFonts w:eastAsia="宋体"/>
                <w:kern w:val="0"/>
                <w:sz w:val="24"/>
                <w:szCs w:val="24"/>
                <w:u w:val="none"/>
              </w:rPr>
              <w:sym w:font="Symbol" w:char="F0BE"/>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CH</w:t>
            </w:r>
            <w:r>
              <w:rPr>
                <w:rFonts w:eastAsia="宋体"/>
                <w:kern w:val="0"/>
                <w:sz w:val="24"/>
                <w:szCs w:val="24"/>
                <w:u w:val="none"/>
                <w:vertAlign w:val="subscript"/>
              </w:rPr>
              <w:t>2</w:t>
            </w:r>
            <w:r>
              <w:rPr>
                <w:rFonts w:eastAsia="宋体"/>
                <w:kern w:val="0"/>
                <w:sz w:val="24"/>
                <w:szCs w:val="24"/>
                <w:u w:val="none"/>
              </w:rPr>
              <w:t xml:space="preserve">OH </w:t>
            </w:r>
            <w:r>
              <w:rPr>
                <w:rFonts w:eastAsia="宋体"/>
                <w:kern w:val="0"/>
                <w:sz w:val="24"/>
                <w:szCs w:val="24"/>
                <w:u w:val="none"/>
              </w:rPr>
              <w:sym w:font="Symbol" w:char="F02B"/>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 xml:space="preserve">O </w:t>
            </w:r>
          </w:p>
          <w:p w14:paraId="50585928">
            <w:pPr>
              <w:widowControl/>
              <w:spacing w:line="500" w:lineRule="exact"/>
              <w:ind w:firstLine="1920" w:firstLineChars="800"/>
              <w:jc w:val="left"/>
              <w:rPr>
                <w:rFonts w:eastAsia="宋体"/>
                <w:kern w:val="0"/>
                <w:sz w:val="24"/>
                <w:szCs w:val="24"/>
                <w:u w:val="none"/>
              </w:rPr>
            </w:pP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CH</w:t>
            </w:r>
            <w:r>
              <w:rPr>
                <w:rFonts w:eastAsia="宋体"/>
                <w:kern w:val="0"/>
                <w:sz w:val="24"/>
                <w:szCs w:val="24"/>
                <w:u w:val="none"/>
                <w:vertAlign w:val="subscript"/>
              </w:rPr>
              <w:t>2</w:t>
            </w:r>
            <w:r>
              <w:rPr>
                <w:rFonts w:eastAsia="宋体"/>
                <w:kern w:val="0"/>
                <w:sz w:val="24"/>
                <w:szCs w:val="24"/>
                <w:u w:val="none"/>
              </w:rPr>
              <w:t xml:space="preserve">OH </w:t>
            </w:r>
            <w:r>
              <w:rPr>
                <w:rFonts w:eastAsia="宋体"/>
                <w:kern w:val="0"/>
                <w:sz w:val="24"/>
                <w:szCs w:val="24"/>
                <w:u w:val="none"/>
              </w:rPr>
              <w:sym w:font="Symbol" w:char="F02B"/>
            </w:r>
            <w:r>
              <w:rPr>
                <w:rFonts w:eastAsia="宋体"/>
                <w:kern w:val="0"/>
                <w:sz w:val="24"/>
                <w:szCs w:val="24"/>
                <w:u w:val="none"/>
              </w:rPr>
              <w:t xml:space="preserve"> CO </w:t>
            </w:r>
            <w:r>
              <w:rPr>
                <w:rFonts w:eastAsia="宋体"/>
                <w:kern w:val="0"/>
                <w:sz w:val="24"/>
                <w:szCs w:val="24"/>
                <w:u w:val="none"/>
              </w:rPr>
              <w:sym w:font="Symbol" w:char="F0BE"/>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CH</w:t>
            </w:r>
            <w:r>
              <w:rPr>
                <w:rFonts w:eastAsia="宋体"/>
                <w:kern w:val="0"/>
                <w:sz w:val="24"/>
                <w:szCs w:val="24"/>
                <w:u w:val="none"/>
                <w:vertAlign w:val="subscript"/>
              </w:rPr>
              <w:t>2</w:t>
            </w:r>
            <w:r>
              <w:rPr>
                <w:rFonts w:eastAsia="宋体"/>
                <w:kern w:val="0"/>
                <w:sz w:val="24"/>
                <w:szCs w:val="24"/>
                <w:u w:val="none"/>
              </w:rPr>
              <w:t>COOH</w:t>
            </w:r>
          </w:p>
          <w:p w14:paraId="4BB61C3C">
            <w:pPr>
              <w:widowControl/>
              <w:spacing w:line="500" w:lineRule="exact"/>
              <w:ind w:firstLine="200"/>
              <w:jc w:val="left"/>
              <w:rPr>
                <w:rFonts w:eastAsia="宋体"/>
                <w:kern w:val="0"/>
                <w:sz w:val="24"/>
                <w:szCs w:val="24"/>
                <w:u w:val="none"/>
              </w:rPr>
            </w:pPr>
            <w:r>
              <w:rPr>
                <w:rFonts w:hint="eastAsia" w:eastAsia="宋体"/>
                <w:kern w:val="0"/>
                <w:sz w:val="24"/>
                <w:szCs w:val="24"/>
                <w:u w:val="none"/>
              </w:rPr>
              <w:t xml:space="preserve">平衡反应：           </w:t>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 xml:space="preserve">OH </w:t>
            </w:r>
            <w:r>
              <w:rPr>
                <w:rFonts w:eastAsia="宋体"/>
                <w:kern w:val="0"/>
                <w:sz w:val="24"/>
                <w:szCs w:val="24"/>
                <w:u w:val="none"/>
              </w:rPr>
              <w:sym w:font="Symbol" w:char="F02B"/>
            </w:r>
            <w:r>
              <w:rPr>
                <w:rFonts w:eastAsia="宋体"/>
                <w:kern w:val="0"/>
                <w:sz w:val="24"/>
                <w:szCs w:val="24"/>
                <w:u w:val="none"/>
              </w:rPr>
              <w:t xml:space="preserve"> CH</w:t>
            </w:r>
            <w:r>
              <w:rPr>
                <w:rFonts w:eastAsia="宋体"/>
                <w:kern w:val="0"/>
                <w:sz w:val="24"/>
                <w:szCs w:val="24"/>
                <w:u w:val="none"/>
                <w:vertAlign w:val="subscript"/>
              </w:rPr>
              <w:t>3</w:t>
            </w:r>
            <w:r>
              <w:rPr>
                <w:rFonts w:eastAsia="宋体"/>
                <w:kern w:val="0"/>
                <w:sz w:val="24"/>
                <w:szCs w:val="24"/>
                <w:u w:val="none"/>
              </w:rPr>
              <w:t>COOH</w:t>
            </w:r>
            <w:r>
              <w:rPr>
                <w:rFonts w:eastAsia="宋体"/>
                <w:kern w:val="0"/>
                <w:sz w:val="24"/>
                <w:szCs w:val="24"/>
                <w:u w:val="none"/>
              </w:rPr>
              <w:sym w:font="Symbol" w:char="F0BE"/>
            </w:r>
            <w:r>
              <w:rPr>
                <w:rFonts w:eastAsia="宋体"/>
                <w:kern w:val="0"/>
                <w:sz w:val="24"/>
                <w:szCs w:val="24"/>
                <w:u w:val="none"/>
              </w:rPr>
              <w:sym w:font="Symbol" w:char="F0BE"/>
            </w:r>
            <w:r>
              <w:rPr>
                <w:rFonts w:eastAsia="宋体"/>
                <w:kern w:val="0"/>
                <w:sz w:val="24"/>
                <w:szCs w:val="24"/>
                <w:u w:val="none"/>
              </w:rPr>
              <w:sym w:font="Symbol" w:char="F0AE"/>
            </w:r>
            <w:r>
              <w:rPr>
                <w:rFonts w:eastAsia="宋体"/>
                <w:kern w:val="0"/>
                <w:sz w:val="24"/>
                <w:szCs w:val="24"/>
                <w:u w:val="none"/>
              </w:rPr>
              <w:t xml:space="preserve"> CH</w:t>
            </w:r>
            <w:r>
              <w:rPr>
                <w:rFonts w:eastAsia="宋体"/>
                <w:kern w:val="0"/>
                <w:sz w:val="24"/>
                <w:szCs w:val="24"/>
                <w:u w:val="none"/>
                <w:vertAlign w:val="subscript"/>
              </w:rPr>
              <w:t>3</w:t>
            </w:r>
            <w:r>
              <w:rPr>
                <w:rFonts w:eastAsia="宋体"/>
                <w:kern w:val="0"/>
                <w:sz w:val="24"/>
                <w:szCs w:val="24"/>
                <w:u w:val="none"/>
              </w:rPr>
              <w:t>COOCH</w:t>
            </w:r>
            <w:r>
              <w:rPr>
                <w:rFonts w:eastAsia="宋体"/>
                <w:kern w:val="0"/>
                <w:sz w:val="24"/>
                <w:szCs w:val="24"/>
                <w:u w:val="none"/>
                <w:vertAlign w:val="subscript"/>
              </w:rPr>
              <w:t>3</w:t>
            </w:r>
            <w:r>
              <w:rPr>
                <w:rFonts w:hint="eastAsia" w:eastAsia="宋体"/>
                <w:kern w:val="0"/>
                <w:sz w:val="24"/>
                <w:szCs w:val="24"/>
                <w:u w:val="none"/>
              </w:rPr>
              <w:t>+</w:t>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O</w:t>
            </w:r>
          </w:p>
          <w:p w14:paraId="12CCBE33">
            <w:pPr>
              <w:widowControl/>
              <w:spacing w:line="500" w:lineRule="exact"/>
              <w:ind w:firstLine="200"/>
              <w:jc w:val="left"/>
              <w:rPr>
                <w:rFonts w:eastAsia="宋体"/>
                <w:kern w:val="0"/>
                <w:sz w:val="24"/>
                <w:szCs w:val="24"/>
                <w:u w:val="single"/>
              </w:rPr>
            </w:pPr>
            <w:r>
              <w:rPr>
                <w:rFonts w:hint="eastAsia" w:eastAsia="宋体"/>
                <w:kern w:val="0"/>
                <w:sz w:val="24"/>
                <w:szCs w:val="24"/>
                <w:u w:val="none"/>
              </w:rPr>
              <w:t xml:space="preserve">卤化反应：           </w:t>
            </w:r>
            <w:r>
              <w:rPr>
                <w:rFonts w:eastAsia="宋体"/>
                <w:kern w:val="0"/>
                <w:sz w:val="24"/>
                <w:szCs w:val="24"/>
                <w:u w:val="none"/>
              </w:rPr>
              <w:t>CH</w:t>
            </w:r>
            <w:r>
              <w:rPr>
                <w:rFonts w:eastAsia="宋体"/>
                <w:kern w:val="0"/>
                <w:sz w:val="24"/>
                <w:szCs w:val="24"/>
                <w:u w:val="none"/>
                <w:vertAlign w:val="subscript"/>
              </w:rPr>
              <w:t>3</w:t>
            </w:r>
            <w:r>
              <w:rPr>
                <w:rFonts w:eastAsia="宋体"/>
                <w:kern w:val="0"/>
                <w:sz w:val="24"/>
                <w:szCs w:val="24"/>
                <w:u w:val="none"/>
              </w:rPr>
              <w:t xml:space="preserve">OH </w:t>
            </w:r>
            <w:r>
              <w:rPr>
                <w:rFonts w:eastAsia="宋体"/>
                <w:kern w:val="0"/>
                <w:sz w:val="24"/>
                <w:szCs w:val="24"/>
                <w:u w:val="none"/>
              </w:rPr>
              <w:sym w:font="Symbol" w:char="F02B"/>
            </w:r>
            <w:r>
              <w:rPr>
                <w:rFonts w:hint="eastAsia" w:eastAsia="宋体"/>
                <w:kern w:val="0"/>
                <w:sz w:val="24"/>
                <w:szCs w:val="24"/>
                <w:u w:val="none"/>
              </w:rPr>
              <w:t>HI</w:t>
            </w:r>
            <w:r>
              <w:rPr>
                <w:rFonts w:eastAsia="宋体"/>
                <w:kern w:val="0"/>
                <w:sz w:val="24"/>
                <w:szCs w:val="24"/>
                <w:u w:val="none"/>
              </w:rPr>
              <w:sym w:font="Symbol" w:char="F0BE"/>
            </w:r>
            <w:r>
              <w:rPr>
                <w:rFonts w:eastAsia="宋体"/>
                <w:kern w:val="0"/>
                <w:sz w:val="24"/>
                <w:szCs w:val="24"/>
                <w:u w:val="none"/>
              </w:rPr>
              <w:sym w:font="Symbol" w:char="F0BE"/>
            </w:r>
            <w:r>
              <w:rPr>
                <w:rFonts w:eastAsia="宋体"/>
                <w:kern w:val="0"/>
                <w:sz w:val="24"/>
                <w:szCs w:val="24"/>
                <w:u w:val="none"/>
              </w:rPr>
              <w:sym w:font="Symbol" w:char="F0AE"/>
            </w:r>
            <w:r>
              <w:rPr>
                <w:rFonts w:hint="eastAsia" w:eastAsia="宋体"/>
                <w:kern w:val="0"/>
                <w:sz w:val="24"/>
                <w:szCs w:val="24"/>
                <w:u w:val="none"/>
              </w:rPr>
              <w:t xml:space="preserve"> </w:t>
            </w:r>
            <w:r>
              <w:rPr>
                <w:rFonts w:eastAsia="宋体"/>
                <w:kern w:val="0"/>
                <w:sz w:val="24"/>
                <w:szCs w:val="24"/>
                <w:u w:val="none"/>
              </w:rPr>
              <w:t>CH</w:t>
            </w:r>
            <w:r>
              <w:rPr>
                <w:rFonts w:eastAsia="宋体"/>
                <w:kern w:val="0"/>
                <w:sz w:val="24"/>
                <w:szCs w:val="24"/>
                <w:u w:val="none"/>
                <w:vertAlign w:val="subscript"/>
              </w:rPr>
              <w:t>3</w:t>
            </w:r>
            <w:r>
              <w:rPr>
                <w:rFonts w:hint="eastAsia" w:eastAsia="宋体"/>
                <w:kern w:val="0"/>
                <w:sz w:val="24"/>
                <w:szCs w:val="24"/>
                <w:u w:val="none"/>
              </w:rPr>
              <w:t>I+</w:t>
            </w:r>
            <w:r>
              <w:rPr>
                <w:rFonts w:eastAsia="宋体"/>
                <w:kern w:val="0"/>
                <w:sz w:val="24"/>
                <w:szCs w:val="24"/>
                <w:u w:val="none"/>
              </w:rPr>
              <w:t xml:space="preserve"> H</w:t>
            </w:r>
            <w:r>
              <w:rPr>
                <w:rFonts w:eastAsia="宋体"/>
                <w:kern w:val="0"/>
                <w:sz w:val="24"/>
                <w:szCs w:val="24"/>
                <w:u w:val="none"/>
                <w:vertAlign w:val="subscript"/>
              </w:rPr>
              <w:t>2</w:t>
            </w:r>
            <w:r>
              <w:rPr>
                <w:rFonts w:eastAsia="宋体"/>
                <w:kern w:val="0"/>
                <w:sz w:val="24"/>
                <w:szCs w:val="24"/>
                <w:u w:val="none"/>
              </w:rPr>
              <w:t>O</w:t>
            </w:r>
          </w:p>
          <w:p w14:paraId="39C7831D">
            <w:pPr>
              <w:spacing w:line="500" w:lineRule="atLeast"/>
              <w:ind w:firstLine="482" w:firstLineChars="200"/>
              <w:jc w:val="left"/>
              <w:rPr>
                <w:rFonts w:hint="eastAsia" w:eastAsia="宋体"/>
                <w:b/>
                <w:bCs/>
                <w:sz w:val="24"/>
                <w:lang w:eastAsia="zh-CN"/>
              </w:rPr>
            </w:pPr>
            <w:r>
              <w:rPr>
                <w:rFonts w:hint="eastAsia"/>
                <w:b/>
                <w:bCs/>
                <w:sz w:val="24"/>
              </w:rPr>
              <w:t>生产工艺及工艺流程说明</w:t>
            </w:r>
            <w:r>
              <w:rPr>
                <w:rFonts w:hint="eastAsia"/>
                <w:b/>
                <w:bCs/>
                <w:sz w:val="24"/>
                <w:lang w:eastAsia="zh-CN"/>
              </w:rPr>
              <w:t>：</w:t>
            </w:r>
          </w:p>
          <w:p w14:paraId="2B63AE1C">
            <w:pPr>
              <w:pStyle w:val="7"/>
              <w:spacing w:line="500" w:lineRule="exact"/>
              <w:ind w:firstLine="520" w:firstLineChars="200"/>
              <w:rPr>
                <w:rFonts w:hint="eastAsia" w:ascii="Times New Roman" w:hAnsi="Times New Roman" w:cs="Times New Roman"/>
                <w:u w:val="none"/>
              </w:rPr>
            </w:pPr>
            <w:r>
              <w:rPr>
                <w:rFonts w:ascii="Times New Roman" w:hAnsi="Times New Roman" w:cs="Times New Roman"/>
                <w:u w:val="none"/>
              </w:rPr>
              <w:t>1、</w:t>
            </w:r>
            <w:r>
              <w:rPr>
                <w:rFonts w:hint="eastAsia" w:ascii="Times New Roman" w:hAnsi="Times New Roman" w:cs="Times New Roman"/>
                <w:u w:val="none"/>
              </w:rPr>
              <w:t>合成工序</w:t>
            </w:r>
          </w:p>
          <w:p w14:paraId="4F81AAB4">
            <w:pPr>
              <w:pStyle w:val="7"/>
              <w:spacing w:line="500" w:lineRule="exact"/>
              <w:ind w:firstLine="520" w:firstLineChars="200"/>
              <w:rPr>
                <w:rFonts w:ascii="Times New Roman" w:hAnsi="Times New Roman" w:cs="Times New Roman"/>
                <w:spacing w:val="0"/>
                <w:kern w:val="0"/>
                <w:szCs w:val="24"/>
                <w:u w:val="none"/>
              </w:rPr>
            </w:pPr>
            <w:r>
              <w:rPr>
                <w:rFonts w:ascii="Times New Roman" w:hAnsi="Times New Roman" w:cs="Times New Roman"/>
                <w:u w:val="none"/>
              </w:rPr>
              <w:t>原料一氧化碳</w:t>
            </w:r>
            <w:r>
              <w:rPr>
                <w:rFonts w:hint="eastAsia" w:ascii="Times New Roman" w:hAnsi="Times New Roman" w:cs="Times New Roman"/>
                <w:u w:val="none"/>
              </w:rPr>
              <w:t>来自CO分离装置，</w:t>
            </w:r>
            <w:r>
              <w:rPr>
                <w:rFonts w:ascii="Times New Roman" w:hAnsi="Times New Roman" w:cs="Times New Roman"/>
                <w:u w:val="none"/>
              </w:rPr>
              <w:t>CO</w:t>
            </w:r>
            <w:r>
              <w:rPr>
                <w:rFonts w:hint="eastAsia" w:ascii="Times New Roman" w:hAnsi="Times New Roman" w:cs="Times New Roman"/>
                <w:u w:val="none"/>
              </w:rPr>
              <w:t>气体经反应器底部气体分布器进入反应器内。甲醇由中间罐区甲醇加料泵送至本工序，与来自尾气吸收工序高压甲醇吸收塔和低压甲醇吸收塔送来的甲醇吸收液（甲醇、醋酸甲酯、</w:t>
            </w:r>
            <w:r>
              <w:rPr>
                <w:rFonts w:hint="eastAsia"/>
                <w:u w:val="none"/>
              </w:rPr>
              <w:t>碘甲烷</w:t>
            </w:r>
            <w:r>
              <w:rPr>
                <w:rFonts w:hint="eastAsia" w:ascii="Times New Roman" w:hAnsi="Times New Roman" w:cs="Times New Roman"/>
                <w:u w:val="none"/>
              </w:rPr>
              <w:t>）、来自精馏工序的轻</w:t>
            </w:r>
            <w:r>
              <w:rPr>
                <w:rFonts w:ascii="Times New Roman" w:hAnsi="Times New Roman" w:cs="Times New Roman"/>
                <w:u w:val="none"/>
              </w:rPr>
              <w:t>相</w:t>
            </w:r>
            <w:r>
              <w:rPr>
                <w:rFonts w:hint="eastAsia" w:ascii="Times New Roman" w:hAnsi="Times New Roman" w:cs="Times New Roman"/>
                <w:u w:val="none"/>
              </w:rPr>
              <w:t>（稀醋酸）、重</w:t>
            </w:r>
            <w:r>
              <w:rPr>
                <w:rFonts w:ascii="Times New Roman" w:hAnsi="Times New Roman" w:cs="Times New Roman"/>
                <w:u w:val="none"/>
              </w:rPr>
              <w:t>相</w:t>
            </w:r>
            <w:r>
              <w:rPr>
                <w:rFonts w:hint="eastAsia" w:ascii="Times New Roman" w:hAnsi="Times New Roman" w:cs="Times New Roman"/>
                <w:u w:val="none"/>
              </w:rPr>
              <w:t>（</w:t>
            </w:r>
            <w:r>
              <w:rPr>
                <w:rFonts w:hint="eastAsia"/>
                <w:u w:val="none"/>
              </w:rPr>
              <w:t>碘甲烷</w:t>
            </w:r>
            <w:r>
              <w:rPr>
                <w:rFonts w:hint="eastAsia" w:ascii="Times New Roman" w:hAnsi="Times New Roman" w:cs="Times New Roman"/>
                <w:u w:val="none"/>
              </w:rPr>
              <w:t>）形成的混合液混合，</w:t>
            </w:r>
            <w:r>
              <w:rPr>
                <w:rFonts w:hint="eastAsia" w:ascii="宋体" w:hAnsi="宋体" w:cs="宋体"/>
                <w:kern w:val="0"/>
                <w:szCs w:val="24"/>
                <w:u w:val="none"/>
              </w:rPr>
              <w:t>进入反应器底部。各股物料在反应器中充分混合</w:t>
            </w:r>
            <w:r>
              <w:rPr>
                <w:rFonts w:hint="eastAsia" w:ascii="宋体" w:hAnsi="宋体" w:cs="宋体"/>
                <w:spacing w:val="0"/>
                <w:kern w:val="0"/>
                <w:szCs w:val="24"/>
                <w:u w:val="none"/>
              </w:rPr>
              <w:t>与</w:t>
            </w:r>
            <w:r>
              <w:rPr>
                <w:rFonts w:ascii="Times New Roman" w:hAnsi="Times New Roman" w:cs="Times New Roman"/>
                <w:spacing w:val="0"/>
                <w:kern w:val="0"/>
                <w:szCs w:val="24"/>
                <w:u w:val="none"/>
              </w:rPr>
              <w:t>CO</w:t>
            </w:r>
            <w:r>
              <w:rPr>
                <w:rFonts w:hint="eastAsia" w:ascii="宋体" w:hAnsi="宋体" w:cs="宋体"/>
                <w:spacing w:val="0"/>
                <w:kern w:val="0"/>
                <w:szCs w:val="24"/>
                <w:u w:val="none"/>
              </w:rPr>
              <w:t>反应生成醋酸，反应液由反应器液相出口流出进入闪蒸器的中部，</w:t>
            </w:r>
            <w:r>
              <w:rPr>
                <w:rFonts w:hint="eastAsia" w:ascii="Times New Roman" w:hAnsi="Times New Roman" w:cs="Times New Roman"/>
                <w:spacing w:val="0"/>
                <w:kern w:val="0"/>
                <w:szCs w:val="24"/>
                <w:u w:val="none"/>
              </w:rPr>
              <w:t>未反应完的</w:t>
            </w:r>
            <w:r>
              <w:rPr>
                <w:rFonts w:ascii="Times New Roman" w:hAnsi="Times New Roman" w:cs="Times New Roman"/>
                <w:spacing w:val="0"/>
                <w:kern w:val="0"/>
                <w:szCs w:val="24"/>
                <w:u w:val="none"/>
              </w:rPr>
              <w:t xml:space="preserve">CO </w:t>
            </w:r>
            <w:r>
              <w:rPr>
                <w:rFonts w:hint="eastAsia" w:ascii="Times New Roman" w:hAnsi="Times New Roman" w:cs="Times New Roman"/>
                <w:spacing w:val="0"/>
                <w:kern w:val="0"/>
                <w:szCs w:val="24"/>
                <w:u w:val="none"/>
              </w:rPr>
              <w:t>气（反应尾气）及部分有机蒸汽由反应器顶部排出，经反应尾气冷凝器</w:t>
            </w:r>
            <w:r>
              <w:rPr>
                <w:rFonts w:hint="eastAsia" w:ascii="宋体" w:hAnsi="宋体" w:cs="宋体"/>
                <w:spacing w:val="0"/>
                <w:kern w:val="0"/>
                <w:szCs w:val="24"/>
                <w:u w:val="none"/>
              </w:rPr>
              <w:t xml:space="preserve">冷凝冷却至 </w:t>
            </w:r>
            <w:r>
              <w:rPr>
                <w:rFonts w:ascii="Times New Roman" w:hAnsi="Times New Roman" w:cs="Times New Roman"/>
                <w:spacing w:val="0"/>
                <w:kern w:val="0"/>
                <w:szCs w:val="24"/>
                <w:u w:val="none"/>
              </w:rPr>
              <w:t>40~50</w:t>
            </w:r>
            <w:r>
              <w:rPr>
                <w:rFonts w:hint="eastAsia" w:ascii="宋体" w:hAnsi="宋体" w:cs="宋体"/>
                <w:spacing w:val="0"/>
                <w:kern w:val="0"/>
                <w:szCs w:val="24"/>
                <w:u w:val="none"/>
              </w:rPr>
              <w:t>℃，进入反应器放空冷凝分离器进行气液分离。</w:t>
            </w:r>
            <w:r>
              <w:rPr>
                <w:rFonts w:hint="eastAsia" w:ascii="Times New Roman" w:hAnsi="Times New Roman" w:cs="Times New Roman"/>
                <w:u w:val="none"/>
              </w:rPr>
              <w:t>含少量饱和有机蒸汽的气相由</w:t>
            </w:r>
            <w:r>
              <w:rPr>
                <w:rFonts w:hint="eastAsia" w:ascii="宋体" w:hAnsi="宋体" w:cs="宋体"/>
                <w:spacing w:val="0"/>
                <w:kern w:val="0"/>
                <w:szCs w:val="24"/>
                <w:u w:val="none"/>
              </w:rPr>
              <w:t>反应器放空冷凝分离器</w:t>
            </w:r>
            <w:r>
              <w:rPr>
                <w:rFonts w:hint="eastAsia" w:ascii="Times New Roman" w:hAnsi="Times New Roman" w:cs="Times New Roman"/>
                <w:u w:val="none"/>
              </w:rPr>
              <w:t>顶部排出送至高压甲醇吸收塔底部，底部液相（甲醇、醋酸甲酯）靠重力返回反应器底部继续参与反应。</w:t>
            </w:r>
          </w:p>
          <w:p w14:paraId="52515E8E">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反应器流出的反应液体经调节阀减压，显热使部分物料汽化，两相流进入闪蒸分离器中部，在闪蒸分离器中进行汽液分离，汽相由顶部流出去精馏单元的低沸点物塔（3#塔）。底部液体即催化剂循环液（碘化氢、醋酸、水等的溶液）由经催化剂循环泵加压后，进入反应器继续参与反应。</w:t>
            </w:r>
          </w:p>
          <w:p w14:paraId="32E9AA9D">
            <w:pPr>
              <w:pStyle w:val="7"/>
              <w:spacing w:line="500" w:lineRule="exact"/>
              <w:ind w:firstLine="520" w:firstLineChars="200"/>
              <w:rPr>
                <w:rFonts w:hint="eastAsia" w:ascii="Times New Roman" w:hAnsi="Times New Roman" w:cs="Times New Roman"/>
                <w:u w:val="none"/>
              </w:rPr>
            </w:pPr>
            <w:r>
              <w:rPr>
                <w:rFonts w:ascii="Times New Roman" w:hAnsi="Times New Roman" w:cs="Times New Roman"/>
                <w:u w:val="none"/>
              </w:rPr>
              <w:t>合成工序产生的污染物主要为高压甲醇吸收塔不凝气，主要成分为CO，作为4#醋酸装置尾气与5#醋酸装置尾气、PSA解析气、闪蒸气、甲醇合成弛放气、甲醇精馏尾气、天然气混合后，通过管道分别进入甲醇1#装置、甲醇2#装置加热炉燃烧</w:t>
            </w:r>
            <w:r>
              <w:rPr>
                <w:rFonts w:hint="eastAsia" w:ascii="Times New Roman" w:hAnsi="Times New Roman" w:cs="Times New Roman"/>
                <w:u w:val="none"/>
              </w:rPr>
              <w:t>；反应器内部产生反应液废净化树脂，主要成分为树脂，作为危险废物委外处置。</w:t>
            </w:r>
          </w:p>
          <w:p w14:paraId="09FAB8D0">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2、精馏工序</w:t>
            </w:r>
          </w:p>
          <w:p w14:paraId="2630AF39">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精馏工序利用系统中各个物质的沸点各不相同，采用精馏方法，把来自反应区含有醋酸、水、碘甲烷等组分的混合物原料加以分离，最终得到合格醋酸成品。并对碘甲烷、水及未反应完的甲醇、醋酸甲酯等加以回收，使之返回反应区循环使用。</w:t>
            </w:r>
          </w:p>
          <w:p w14:paraId="563A916A">
            <w:pPr>
              <w:pStyle w:val="7"/>
              <w:spacing w:line="500" w:lineRule="exact"/>
              <w:ind w:firstLine="520" w:firstLineChars="200"/>
              <w:rPr>
                <w:rFonts w:ascii="Times New Roman" w:hAnsi="Times New Roman" w:cs="Times New Roman"/>
                <w:u w:val="none"/>
              </w:rPr>
            </w:pPr>
            <w:r>
              <w:rPr>
                <w:rFonts w:hint="eastAsia" w:ascii="宋体" w:hAnsi="宋体" w:cs="Times New Roman"/>
                <w:u w:val="none"/>
              </w:rPr>
              <w:t>⑴</w:t>
            </w:r>
            <w:r>
              <w:rPr>
                <w:rFonts w:hint="eastAsia" w:ascii="Times New Roman" w:hAnsi="Times New Roman" w:cs="Times New Roman"/>
                <w:u w:val="none"/>
              </w:rPr>
              <w:t xml:space="preserve"> </w:t>
            </w:r>
            <w:r>
              <w:rPr>
                <w:rFonts w:ascii="Times New Roman" w:hAnsi="Times New Roman" w:cs="Times New Roman"/>
                <w:u w:val="none"/>
              </w:rPr>
              <w:t>低沸点物塔</w:t>
            </w:r>
          </w:p>
          <w:p w14:paraId="7E985760">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来自合成工序闪蒸分离器顶部的气态物料，进入</w:t>
            </w:r>
            <w:r>
              <w:rPr>
                <w:rFonts w:ascii="Times New Roman" w:hAnsi="Times New Roman" w:cs="Times New Roman"/>
                <w:u w:val="none"/>
              </w:rPr>
              <w:t>低沸点物塔</w:t>
            </w:r>
            <w:r>
              <w:rPr>
                <w:rFonts w:hint="eastAsia" w:ascii="Times New Roman" w:hAnsi="Times New Roman" w:cs="Times New Roman"/>
                <w:u w:val="none"/>
              </w:rPr>
              <w:t>中上部，经过精馏分离后，塔顶蒸汽含有醋酸甲酯、水、碘甲烷等组分，进入</w:t>
            </w:r>
            <w:r>
              <w:rPr>
                <w:rFonts w:ascii="Times New Roman" w:hAnsi="Times New Roman" w:cs="Times New Roman"/>
                <w:u w:val="none"/>
              </w:rPr>
              <w:t>低沸点物塔</w:t>
            </w:r>
            <w:r>
              <w:rPr>
                <w:rFonts w:hint="eastAsia" w:ascii="Times New Roman" w:hAnsi="Times New Roman" w:cs="Times New Roman"/>
                <w:u w:val="none"/>
              </w:rPr>
              <w:t>冷凝器，冷凝冷却到</w:t>
            </w:r>
            <w:r>
              <w:rPr>
                <w:rFonts w:ascii="Times New Roman" w:hAnsi="Times New Roman" w:cs="Times New Roman"/>
                <w:u w:val="none"/>
              </w:rPr>
              <w:t>40</w:t>
            </w:r>
            <w:r>
              <w:rPr>
                <w:rFonts w:hint="eastAsia" w:ascii="Times New Roman" w:hAnsi="Times New Roman" w:cs="Times New Roman"/>
                <w:u w:val="none"/>
              </w:rPr>
              <w:t>℃后，冷凝液进入混合罐，未冷凝的气相进入</w:t>
            </w:r>
            <w:r>
              <w:rPr>
                <w:rFonts w:ascii="Times New Roman" w:hAnsi="Times New Roman" w:cs="Times New Roman"/>
                <w:u w:val="none"/>
              </w:rPr>
              <w:t>低沸点物塔</w:t>
            </w:r>
            <w:r>
              <w:rPr>
                <w:rFonts w:hint="eastAsia" w:ascii="Times New Roman" w:hAnsi="Times New Roman" w:cs="Times New Roman"/>
                <w:u w:val="none"/>
              </w:rPr>
              <w:t xml:space="preserve">深冷器，用冷冻水进一步冷凝冷却到 </w:t>
            </w:r>
            <w:r>
              <w:rPr>
                <w:rFonts w:ascii="Times New Roman" w:hAnsi="Times New Roman" w:cs="Times New Roman"/>
                <w:u w:val="none"/>
              </w:rPr>
              <w:t>15</w:t>
            </w:r>
            <w:r>
              <w:rPr>
                <w:rFonts w:hint="eastAsia" w:ascii="Times New Roman" w:hAnsi="Times New Roman" w:cs="Times New Roman"/>
                <w:u w:val="none"/>
              </w:rPr>
              <w:t>℃并进入混合罐，未冷凝的尾气去吸收工序低压甲醇吸收塔进一步回收碘甲烷。</w:t>
            </w:r>
          </w:p>
          <w:p w14:paraId="7032F976">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混合罐中的冷凝液通过液液分离器分为轻、重两相，轻相主要含水和醋酸，重相主要含碘甲烷。轻相一部分回流入</w:t>
            </w:r>
            <w:r>
              <w:rPr>
                <w:rFonts w:ascii="Times New Roman" w:hAnsi="Times New Roman" w:cs="Times New Roman"/>
                <w:u w:val="none"/>
              </w:rPr>
              <w:t>低沸点物塔</w:t>
            </w:r>
            <w:r>
              <w:rPr>
                <w:rFonts w:hint="eastAsia" w:ascii="Times New Roman" w:hAnsi="Times New Roman" w:cs="Times New Roman"/>
                <w:u w:val="none"/>
              </w:rPr>
              <w:t>塔顶，一部分</w:t>
            </w:r>
            <w:r>
              <w:rPr>
                <w:rFonts w:ascii="Times New Roman" w:hAnsi="Times New Roman" w:cs="Times New Roman"/>
                <w:u w:val="none"/>
              </w:rPr>
              <w:t>返回反应器</w:t>
            </w:r>
            <w:r>
              <w:rPr>
                <w:rFonts w:hint="eastAsia" w:ascii="Times New Roman" w:hAnsi="Times New Roman" w:cs="Times New Roman"/>
                <w:u w:val="none"/>
              </w:rPr>
              <w:t>，重相全部加压后送回反应器。</w:t>
            </w:r>
          </w:p>
          <w:p w14:paraId="1C24360B">
            <w:pPr>
              <w:pStyle w:val="7"/>
              <w:spacing w:line="500" w:lineRule="exact"/>
              <w:ind w:firstLine="520" w:firstLineChars="200"/>
              <w:rPr>
                <w:u w:val="none"/>
              </w:rPr>
            </w:pPr>
            <w:r>
              <w:rPr>
                <w:rFonts w:ascii="Times New Roman" w:hAnsi="Times New Roman" w:cs="Times New Roman"/>
                <w:u w:val="none"/>
              </w:rPr>
              <w:t>低沸点物塔塔</w:t>
            </w:r>
            <w:r>
              <w:rPr>
                <w:rFonts w:hint="eastAsia"/>
                <w:u w:val="none"/>
              </w:rPr>
              <w:t>釜液为含少量丙酸和水的干燥醋酸，</w:t>
            </w:r>
            <w:r>
              <w:rPr>
                <w:rFonts w:ascii="Times New Roman" w:hAnsi="Times New Roman" w:cs="Times New Roman"/>
                <w:u w:val="none"/>
              </w:rPr>
              <w:t>大部分进入第二塔（醋酸水分离塔）</w:t>
            </w:r>
            <w:r>
              <w:rPr>
                <w:rFonts w:hint="eastAsia" w:ascii="Times New Roman" w:hAnsi="Times New Roman" w:cs="Times New Roman"/>
                <w:u w:val="none"/>
              </w:rPr>
              <w:t>，</w:t>
            </w:r>
            <w:r>
              <w:rPr>
                <w:rFonts w:ascii="Times New Roman" w:hAnsi="Times New Roman" w:cs="Times New Roman"/>
                <w:u w:val="none"/>
              </w:rPr>
              <w:t>少量物料返回低沸点物塔</w:t>
            </w:r>
            <w:r>
              <w:rPr>
                <w:rFonts w:hint="eastAsia" w:ascii="Times New Roman" w:hAnsi="Times New Roman" w:cs="Times New Roman"/>
                <w:u w:val="none"/>
              </w:rPr>
              <w:t>，碘化氢大部分留在塔釜之中利用位差返回</w:t>
            </w:r>
            <w:r>
              <w:rPr>
                <w:rFonts w:ascii="Times New Roman" w:hAnsi="Times New Roman" w:cs="Times New Roman"/>
                <w:u w:val="none"/>
              </w:rPr>
              <w:t>闪蒸分离器</w:t>
            </w:r>
            <w:r>
              <w:rPr>
                <w:rFonts w:hint="eastAsia" w:ascii="Times New Roman" w:hAnsi="Times New Roman" w:cs="Times New Roman"/>
                <w:u w:val="none"/>
              </w:rPr>
              <w:t>。</w:t>
            </w:r>
          </w:p>
          <w:p w14:paraId="2F45B700">
            <w:pPr>
              <w:pStyle w:val="7"/>
              <w:spacing w:line="500" w:lineRule="exact"/>
              <w:ind w:firstLine="520" w:firstLineChars="200"/>
              <w:rPr>
                <w:rFonts w:ascii="Times New Roman" w:hAnsi="Times New Roman" w:cs="Times New Roman"/>
                <w:u w:val="none"/>
              </w:rPr>
            </w:pPr>
            <w:r>
              <w:rPr>
                <w:rFonts w:hint="eastAsia" w:ascii="宋体" w:hAnsi="宋体" w:cs="Times New Roman"/>
                <w:u w:val="none"/>
              </w:rPr>
              <w:t>⑵</w:t>
            </w:r>
            <w:r>
              <w:rPr>
                <w:rFonts w:hint="eastAsia" w:ascii="Times New Roman" w:hAnsi="Times New Roman" w:cs="Times New Roman"/>
                <w:u w:val="none"/>
              </w:rPr>
              <w:t xml:space="preserve"> </w:t>
            </w:r>
            <w:r>
              <w:rPr>
                <w:rFonts w:ascii="Times New Roman" w:hAnsi="Times New Roman" w:cs="Times New Roman"/>
                <w:u w:val="none"/>
              </w:rPr>
              <w:t>醋酸水分离塔</w:t>
            </w:r>
          </w:p>
          <w:p w14:paraId="71818F92">
            <w:pPr>
              <w:pStyle w:val="7"/>
              <w:spacing w:line="500" w:lineRule="exact"/>
              <w:ind w:firstLine="520" w:firstLineChars="200"/>
              <w:rPr>
                <w:rFonts w:hint="eastAsia"/>
                <w:u w:val="none"/>
              </w:rPr>
            </w:pPr>
            <w:r>
              <w:rPr>
                <w:rFonts w:hint="eastAsia"/>
                <w:u w:val="none"/>
              </w:rPr>
              <w:t>为避免碘甲烷在</w:t>
            </w:r>
            <w:r>
              <w:rPr>
                <w:rFonts w:ascii="Times New Roman" w:hAnsi="Times New Roman" w:cs="Times New Roman"/>
                <w:u w:val="none"/>
              </w:rPr>
              <w:t>醋酸水分离塔</w:t>
            </w:r>
            <w:r>
              <w:rPr>
                <w:rFonts w:hint="eastAsia" w:ascii="Times New Roman" w:hAnsi="Times New Roman" w:cs="Times New Roman"/>
                <w:u w:val="none"/>
              </w:rPr>
              <w:t>聚集，引入少量甲醇作为第二进料，使</w:t>
            </w:r>
            <w:r>
              <w:rPr>
                <w:rFonts w:ascii="Times New Roman" w:hAnsi="Times New Roman" w:cs="Times New Roman"/>
                <w:u w:val="none"/>
              </w:rPr>
              <w:t>HI与甲醇反应形成碘甲烷</w:t>
            </w:r>
            <w:r>
              <w:rPr>
                <w:rFonts w:hint="eastAsia" w:ascii="Times New Roman" w:hAnsi="Times New Roman" w:cs="Times New Roman"/>
                <w:u w:val="none"/>
              </w:rPr>
              <w:t>从</w:t>
            </w:r>
            <w:r>
              <w:rPr>
                <w:rFonts w:ascii="Times New Roman" w:hAnsi="Times New Roman" w:cs="Times New Roman"/>
                <w:u w:val="none"/>
              </w:rPr>
              <w:t>醋酸水分离塔顶部排出</w:t>
            </w:r>
            <w:r>
              <w:rPr>
                <w:rFonts w:hint="eastAsia" w:ascii="Times New Roman" w:hAnsi="Times New Roman" w:cs="Times New Roman"/>
                <w:u w:val="none"/>
              </w:rPr>
              <w:t>。</w:t>
            </w:r>
            <w:r>
              <w:rPr>
                <w:rFonts w:ascii="Times New Roman" w:hAnsi="Times New Roman" w:cs="Times New Roman"/>
                <w:u w:val="none"/>
              </w:rPr>
              <w:t>塔顶排出的物料进入醋酸水分离塔冷凝器冷凝后，收集到醋酸水分离塔塔顶储槽中，由醋酸水分离塔回流泵输送，部分物料回流到醋酸水分离塔塔顶，部分物料经稀酸循环泵循环回到反应器。</w:t>
            </w:r>
          </w:p>
          <w:p w14:paraId="5182E84E">
            <w:pPr>
              <w:pStyle w:val="7"/>
              <w:spacing w:line="500" w:lineRule="exact"/>
              <w:ind w:firstLine="520" w:firstLineChars="200"/>
              <w:rPr>
                <w:rFonts w:hint="eastAsia" w:ascii="Times New Roman" w:hAnsi="Times New Roman" w:cs="Times New Roman"/>
                <w:u w:val="none"/>
              </w:rPr>
            </w:pPr>
            <w:r>
              <w:rPr>
                <w:rFonts w:hint="eastAsia" w:ascii="宋体" w:hAnsi="宋体" w:cs="Times New Roman"/>
                <w:u w:val="none"/>
              </w:rPr>
              <w:t>⑶</w:t>
            </w:r>
            <w:r>
              <w:rPr>
                <w:rFonts w:ascii="Times New Roman" w:hAnsi="Times New Roman" w:cs="Times New Roman"/>
                <w:u w:val="none"/>
              </w:rPr>
              <w:t>精制塔</w:t>
            </w:r>
          </w:p>
          <w:p w14:paraId="539A0922">
            <w:pPr>
              <w:pStyle w:val="7"/>
              <w:spacing w:line="500" w:lineRule="exact"/>
              <w:ind w:firstLine="520" w:firstLineChars="200"/>
              <w:rPr>
                <w:rFonts w:ascii="Times New Roman" w:hAnsi="Times New Roman" w:cs="Times New Roman"/>
                <w:u w:val="none"/>
              </w:rPr>
            </w:pPr>
            <w:r>
              <w:rPr>
                <w:rFonts w:hint="eastAsia"/>
                <w:u w:val="none"/>
              </w:rPr>
              <w:t>为</w:t>
            </w:r>
            <w:r>
              <w:rPr>
                <w:rFonts w:hint="eastAsia" w:ascii="Times New Roman" w:hAnsi="Times New Roman" w:cs="Times New Roman"/>
                <w:u w:val="none"/>
              </w:rPr>
              <w:t xml:space="preserve">了进一步脱除醋酸中微量的碘，在进料或精制塔上部加入少量氢氧化钾溶液，与碘化物反应生成 </w:t>
            </w:r>
            <w:r>
              <w:rPr>
                <w:rFonts w:ascii="Times New Roman" w:hAnsi="Times New Roman" w:cs="Times New Roman"/>
                <w:u w:val="none"/>
              </w:rPr>
              <w:t xml:space="preserve">KI </w:t>
            </w:r>
            <w:r>
              <w:rPr>
                <w:rFonts w:hint="eastAsia" w:ascii="Times New Roman" w:hAnsi="Times New Roman" w:cs="Times New Roman"/>
                <w:u w:val="none"/>
              </w:rPr>
              <w:t>和水。</w:t>
            </w:r>
            <w:r>
              <w:rPr>
                <w:rFonts w:ascii="Times New Roman" w:hAnsi="Times New Roman" w:cs="Times New Roman"/>
                <w:u w:val="none"/>
              </w:rPr>
              <w:t>在塔内精馏后，塔顶气相经精制塔冷凝器冷凝后进入精制塔塔顶储槽，槽内物料经精制塔回流泵后分成两路：一是作为塔顶回流；二是少量物料循环至醋酸水分离塔。</w:t>
            </w:r>
            <w:r>
              <w:rPr>
                <w:rFonts w:hint="eastAsia" w:ascii="Times New Roman" w:hAnsi="Times New Roman" w:cs="Times New Roman"/>
                <w:u w:val="none"/>
              </w:rPr>
              <w:t>醋酸</w:t>
            </w:r>
            <w:r>
              <w:rPr>
                <w:rFonts w:ascii="Times New Roman" w:hAnsi="Times New Roman" w:cs="Times New Roman"/>
                <w:u w:val="none"/>
              </w:rPr>
              <w:t>产品从该塔出料，经产品冷却器冷却后进入产品中间罐区。在工艺产生中的少量丙酸</w:t>
            </w:r>
            <w:r>
              <w:rPr>
                <w:rFonts w:hint="eastAsia" w:ascii="Times New Roman" w:hAnsi="Times New Roman" w:cs="Times New Roman"/>
                <w:u w:val="none"/>
              </w:rPr>
              <w:t>与其他重组分</w:t>
            </w:r>
            <w:r>
              <w:rPr>
                <w:rFonts w:ascii="Times New Roman" w:hAnsi="Times New Roman" w:cs="Times New Roman"/>
                <w:u w:val="none"/>
              </w:rPr>
              <w:t>从塔釜排出，经精制塔塔釜出料泵送至丙酸塔，以进一步回收其中的醋酸</w:t>
            </w:r>
            <w:r>
              <w:rPr>
                <w:rFonts w:hint="eastAsia" w:ascii="Times New Roman" w:hAnsi="Times New Roman" w:cs="Times New Roman"/>
                <w:u w:val="none"/>
              </w:rPr>
              <w:t>。</w:t>
            </w:r>
          </w:p>
          <w:p w14:paraId="303BD440">
            <w:pPr>
              <w:pStyle w:val="7"/>
              <w:spacing w:line="500" w:lineRule="exact"/>
              <w:ind w:firstLine="520" w:firstLineChars="200"/>
              <w:rPr>
                <w:rFonts w:ascii="Times New Roman" w:hAnsi="Times New Roman" w:cs="Times New Roman"/>
                <w:u w:val="none"/>
              </w:rPr>
            </w:pPr>
            <w:r>
              <w:rPr>
                <w:rFonts w:hint="eastAsia" w:ascii="宋体" w:hAnsi="宋体" w:cs="Times New Roman"/>
                <w:u w:val="none"/>
              </w:rPr>
              <w:t>⑷</w:t>
            </w:r>
            <w:r>
              <w:rPr>
                <w:rFonts w:hint="eastAsia" w:ascii="Times New Roman" w:hAnsi="Times New Roman" w:cs="Times New Roman"/>
                <w:u w:val="none"/>
              </w:rPr>
              <w:t xml:space="preserve"> </w:t>
            </w:r>
            <w:r>
              <w:rPr>
                <w:rFonts w:ascii="Times New Roman" w:hAnsi="Times New Roman" w:cs="Times New Roman"/>
                <w:u w:val="none"/>
              </w:rPr>
              <w:t>脱有机物塔</w:t>
            </w:r>
          </w:p>
          <w:p w14:paraId="41D0C561">
            <w:pPr>
              <w:pStyle w:val="7"/>
              <w:spacing w:line="500" w:lineRule="exact"/>
              <w:ind w:firstLine="520" w:firstLineChars="200"/>
              <w:rPr>
                <w:rFonts w:ascii="Times New Roman" w:hAnsi="Times New Roman" w:cs="Times New Roman"/>
                <w:u w:val="none"/>
              </w:rPr>
            </w:pPr>
            <w:r>
              <w:rPr>
                <w:rFonts w:ascii="Times New Roman" w:hAnsi="Times New Roman" w:cs="Times New Roman"/>
                <w:u w:val="none"/>
              </w:rPr>
              <w:t>来自重相泵的重相物流作为该塔的进料。</w:t>
            </w:r>
          </w:p>
          <w:p w14:paraId="60C53AC3">
            <w:pPr>
              <w:pStyle w:val="7"/>
              <w:spacing w:line="500" w:lineRule="exact"/>
              <w:ind w:firstLine="520" w:firstLineChars="200"/>
              <w:rPr>
                <w:rFonts w:ascii="Times New Roman" w:hAnsi="Times New Roman" w:cs="Times New Roman"/>
                <w:u w:val="none"/>
              </w:rPr>
            </w:pPr>
            <w:r>
              <w:rPr>
                <w:rFonts w:ascii="Times New Roman" w:hAnsi="Times New Roman" w:cs="Times New Roman"/>
                <w:u w:val="none"/>
              </w:rPr>
              <w:t>部分重相物料进入脱有机物塔，用蒸汽加热，并从塔釜通入一氧化碳，气提出碘甲烷从塔顶排出，返回闪蒸分离器。塔釜物料送到60乙酸槽。</w:t>
            </w:r>
          </w:p>
          <w:p w14:paraId="06252808">
            <w:pPr>
              <w:pStyle w:val="7"/>
              <w:spacing w:line="500" w:lineRule="exact"/>
              <w:ind w:firstLine="520" w:firstLineChars="200"/>
              <w:rPr>
                <w:rFonts w:ascii="Times New Roman" w:hAnsi="Times New Roman" w:cs="Times New Roman"/>
                <w:u w:val="none"/>
              </w:rPr>
            </w:pPr>
            <w:r>
              <w:rPr>
                <w:rFonts w:hint="eastAsia" w:ascii="宋体" w:hAnsi="宋体" w:cs="Times New Roman"/>
                <w:u w:val="none"/>
              </w:rPr>
              <w:t>⑸</w:t>
            </w:r>
            <w:r>
              <w:rPr>
                <w:rFonts w:hint="eastAsia" w:ascii="Times New Roman" w:hAnsi="Times New Roman" w:cs="Times New Roman"/>
                <w:u w:val="none"/>
              </w:rPr>
              <w:t xml:space="preserve"> </w:t>
            </w:r>
            <w:r>
              <w:rPr>
                <w:rFonts w:ascii="Times New Roman" w:hAnsi="Times New Roman" w:cs="Times New Roman"/>
                <w:u w:val="none"/>
              </w:rPr>
              <w:t>丙酸塔</w:t>
            </w:r>
          </w:p>
          <w:p w14:paraId="35A4EA7B">
            <w:pPr>
              <w:pStyle w:val="7"/>
              <w:spacing w:line="500" w:lineRule="exact"/>
              <w:ind w:firstLine="520" w:firstLineChars="200"/>
              <w:rPr>
                <w:rFonts w:ascii="Times New Roman" w:hAnsi="Times New Roman" w:cs="Times New Roman"/>
                <w:u w:val="none"/>
              </w:rPr>
            </w:pPr>
            <w:r>
              <w:rPr>
                <w:rFonts w:ascii="Times New Roman" w:hAnsi="Times New Roman" w:cs="Times New Roman"/>
                <w:u w:val="none"/>
              </w:rPr>
              <w:t>将精制塔塔底物流作为进料。在丙酸塔内用</w:t>
            </w:r>
            <w:r>
              <w:rPr>
                <w:rFonts w:hint="eastAsia" w:ascii="Times New Roman" w:hAnsi="Times New Roman" w:cs="Times New Roman"/>
                <w:u w:val="none"/>
              </w:rPr>
              <w:t>蒸汽加热器</w:t>
            </w:r>
            <w:r>
              <w:rPr>
                <w:rFonts w:ascii="Times New Roman" w:hAnsi="Times New Roman" w:cs="Times New Roman"/>
                <w:u w:val="none"/>
              </w:rPr>
              <w:t>提出醋酸，从顶部循环到精制塔的底部，底部物流进入60乙酸槽，作为副产品60乙酸。</w:t>
            </w:r>
          </w:p>
          <w:p w14:paraId="484D9910">
            <w:pPr>
              <w:pStyle w:val="7"/>
              <w:spacing w:line="500" w:lineRule="exact"/>
              <w:ind w:firstLine="520" w:firstLineChars="200"/>
              <w:rPr>
                <w:rFonts w:ascii="Times New Roman" w:hAnsi="Times New Roman" w:cs="Times New Roman"/>
                <w:u w:val="none"/>
              </w:rPr>
            </w:pPr>
            <w:r>
              <w:rPr>
                <w:rFonts w:ascii="Times New Roman" w:hAnsi="Times New Roman" w:cs="Times New Roman"/>
                <w:u w:val="none"/>
              </w:rPr>
              <w:t>精馏工序产生的污染物主要为低压甲醇吸收塔不凝气，主要成分为CO，作为4#醋酸装置尾气与5#醋酸装置尾气、PSA解析气、闪蒸气、甲醇合成弛放气、甲醇精馏尾气、天然气混合后，通过管道分别进入甲醇1#装置、甲醇2#装置加热炉燃烧。</w:t>
            </w:r>
          </w:p>
          <w:p w14:paraId="3CBEF56A">
            <w:pPr>
              <w:pStyle w:val="7"/>
              <w:spacing w:line="500" w:lineRule="exact"/>
              <w:ind w:firstLine="520" w:firstLineChars="200"/>
              <w:rPr>
                <w:rFonts w:hint="eastAsia" w:ascii="Times New Roman" w:hAnsi="Times New Roman" w:cs="Times New Roman"/>
                <w:u w:val="none"/>
              </w:rPr>
            </w:pPr>
            <w:r>
              <w:rPr>
                <w:rFonts w:hint="eastAsia" w:ascii="Times New Roman" w:hAnsi="Times New Roman" w:cs="Times New Roman"/>
                <w:u w:val="none"/>
              </w:rPr>
              <w:t>3、尾气吸收工序</w:t>
            </w:r>
          </w:p>
          <w:p w14:paraId="0F12F15B">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 xml:space="preserve">本单元利用各组分在吸收剂中的溶解度的差别和低温冷凝的原理，采用高压吸收和低温吸收工艺过程，将来自合成工序的高压尾气和来自精馏工序的低压尾气中的有机组份，主要是碘甲烷加以回收，使之返回合成单元循环使用。 吸收单元主要由高压甲醇吸收塔、低压甲醇吸收塔等组成。 </w:t>
            </w:r>
          </w:p>
          <w:p w14:paraId="0661049D">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来自合成工序高压分离罐的高压尾气进入高压吸收塔的底部，来自高压吸收泵的甲醇进入高压甲醇吸收塔的顶部，自上而下流动，二者在高压甲醇吸收塔内的填料上进行传质，甲醇将高压尾气中的碘甲烷等主要有机组份吸收下来，</w:t>
            </w:r>
            <w:r>
              <w:rPr>
                <w:rFonts w:ascii="Times New Roman" w:hAnsi="Times New Roman" w:cs="Times New Roman"/>
                <w:u w:val="none"/>
              </w:rPr>
              <w:t>排往中间槽</w:t>
            </w:r>
            <w:r>
              <w:rPr>
                <w:rFonts w:hint="eastAsia" w:ascii="Times New Roman" w:hAnsi="Times New Roman" w:cs="Times New Roman"/>
                <w:u w:val="none"/>
              </w:rPr>
              <w:t>。被吸收后的气体主要含有一氧化碳，从高压甲醇吸收塔的顶部排出，送</w:t>
            </w:r>
            <w:r>
              <w:rPr>
                <w:rFonts w:ascii="Times New Roman" w:hAnsi="Times New Roman" w:cs="Times New Roman"/>
                <w:u w:val="none"/>
              </w:rPr>
              <w:t>至甲醇装置</w:t>
            </w:r>
            <w:r>
              <w:rPr>
                <w:rFonts w:hint="eastAsia" w:ascii="Times New Roman" w:hAnsi="Times New Roman" w:cs="Times New Roman"/>
                <w:u w:val="none"/>
              </w:rPr>
              <w:t>加</w:t>
            </w:r>
            <w:r>
              <w:rPr>
                <w:rFonts w:ascii="Times New Roman" w:hAnsi="Times New Roman" w:cs="Times New Roman"/>
                <w:u w:val="none"/>
              </w:rPr>
              <w:t>热炉利用，</w:t>
            </w:r>
            <w:r>
              <w:rPr>
                <w:rFonts w:hint="eastAsia" w:ascii="Times New Roman" w:hAnsi="Times New Roman" w:cs="Times New Roman"/>
                <w:u w:val="none"/>
              </w:rPr>
              <w:t>事故情况下</w:t>
            </w:r>
            <w:r>
              <w:rPr>
                <w:rFonts w:ascii="Times New Roman" w:hAnsi="Times New Roman" w:cs="Times New Roman"/>
                <w:u w:val="none"/>
              </w:rPr>
              <w:t>可直接送入火炬</w:t>
            </w:r>
            <w:r>
              <w:rPr>
                <w:rFonts w:hint="eastAsia" w:ascii="Times New Roman" w:hAnsi="Times New Roman" w:cs="Times New Roman"/>
                <w:u w:val="none"/>
              </w:rPr>
              <w:t>。</w:t>
            </w:r>
          </w:p>
          <w:p w14:paraId="0BE96413">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来自精馏工序醋酸水分离塔冷凝器的低压尾气进入低压甲醇吸收塔的底部，来自低压吸收塔泵的甲醇首先进入低压甲醇吸收冷却器，用冷冻水进一步冷却， 然后进入低压吸收塔的顶部。甲醇将低压尾气中的碘甲烷等主要有机组份吸收下来，</w:t>
            </w:r>
            <w:r>
              <w:rPr>
                <w:rFonts w:ascii="Times New Roman" w:hAnsi="Times New Roman" w:cs="Times New Roman"/>
                <w:u w:val="none"/>
              </w:rPr>
              <w:t>排往中间槽</w:t>
            </w:r>
            <w:r>
              <w:rPr>
                <w:rFonts w:hint="eastAsia" w:ascii="Times New Roman" w:hAnsi="Times New Roman" w:cs="Times New Roman"/>
                <w:u w:val="none"/>
              </w:rPr>
              <w:t>。被吸收后的尾气主要含有一氧化碳，从低压甲醇吸收塔的顶部排出，送</w:t>
            </w:r>
            <w:r>
              <w:rPr>
                <w:rFonts w:ascii="Times New Roman" w:hAnsi="Times New Roman" w:cs="Times New Roman"/>
                <w:u w:val="none"/>
              </w:rPr>
              <w:t>至甲醇装置过热炉利用，也可直接送入火炬</w:t>
            </w:r>
            <w:r>
              <w:rPr>
                <w:rFonts w:hint="eastAsia" w:ascii="Times New Roman" w:hAnsi="Times New Roman" w:cs="Times New Roman"/>
                <w:u w:val="none"/>
              </w:rPr>
              <w:t>。</w:t>
            </w:r>
          </w:p>
          <w:p w14:paraId="41304AC5">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来自合成工序、精馏工序含碘甲烷的甲醇吸收液通过甲醇吸收送料泵，泵入合成工序反应器。</w:t>
            </w:r>
          </w:p>
          <w:p w14:paraId="4C997C20">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4、催化剂制备</w:t>
            </w:r>
          </w:p>
          <w:p w14:paraId="5C7C9217">
            <w:pPr>
              <w:pStyle w:val="7"/>
              <w:spacing w:line="500" w:lineRule="exact"/>
              <w:ind w:firstLine="520" w:firstLineChars="200"/>
              <w:rPr>
                <w:rFonts w:ascii="Times New Roman" w:hAnsi="Times New Roman" w:cs="Times New Roman"/>
                <w:u w:val="none"/>
              </w:rPr>
            </w:pPr>
            <w:r>
              <w:rPr>
                <w:rFonts w:ascii="Times New Roman" w:hAnsi="Times New Roman" w:cs="Times New Roman"/>
                <w:u w:val="none"/>
              </w:rPr>
              <w:t>醋酸项目生产过程中所用催化剂和无机碘化物稳定剂以桶装</w:t>
            </w:r>
            <w:r>
              <w:rPr>
                <w:rFonts w:hint="eastAsia" w:ascii="Times New Roman" w:hAnsi="Times New Roman" w:cs="Times New Roman"/>
                <w:u w:val="none"/>
              </w:rPr>
              <w:t>形式</w:t>
            </w:r>
            <w:r>
              <w:rPr>
                <w:rFonts w:ascii="Times New Roman" w:hAnsi="Times New Roman" w:cs="Times New Roman"/>
                <w:u w:val="none"/>
              </w:rPr>
              <w:t>储存在库房中，定期取出在催化剂区准备催化剂和稳定剂的水溶液；催化剂制备过程中无三废产生，所制备的催化剂和无机碘化物（稳定剂）主要是开车时加入，在设备内循环使用。</w:t>
            </w:r>
          </w:p>
          <w:p w14:paraId="2F0879C7">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5、脱碘工序</w:t>
            </w:r>
          </w:p>
          <w:p w14:paraId="7A97190D">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 xml:space="preserve">成品醋酸进入脱碘塔精脱碘，脱碘采用脱碘树脂除碘。精脱碘的醋酸进入成品冷却器冷却到 </w:t>
            </w:r>
            <w:r>
              <w:rPr>
                <w:rFonts w:ascii="Times New Roman" w:hAnsi="Times New Roman" w:cs="Times New Roman"/>
                <w:u w:val="none"/>
              </w:rPr>
              <w:t>40</w:t>
            </w:r>
            <w:r>
              <w:rPr>
                <w:rFonts w:hint="eastAsia" w:ascii="Times New Roman" w:hAnsi="Times New Roman" w:cs="Times New Roman"/>
                <w:u w:val="none"/>
              </w:rPr>
              <w:t>℃送成品中间罐。</w:t>
            </w:r>
          </w:p>
          <w:p w14:paraId="0A91B5BC">
            <w:pPr>
              <w:pStyle w:val="7"/>
              <w:spacing w:line="500" w:lineRule="exact"/>
              <w:ind w:firstLine="520" w:firstLineChars="200"/>
              <w:rPr>
                <w:rFonts w:ascii="Times New Roman" w:hAnsi="Times New Roman" w:cs="Times New Roman"/>
                <w:u w:val="none"/>
              </w:rPr>
            </w:pPr>
            <w:r>
              <w:rPr>
                <w:rFonts w:hint="eastAsia" w:ascii="Times New Roman" w:hAnsi="Times New Roman" w:cs="Times New Roman"/>
                <w:u w:val="none"/>
              </w:rPr>
              <w:t>项目</w:t>
            </w:r>
            <w:r>
              <w:rPr>
                <w:rFonts w:ascii="Times New Roman" w:hAnsi="Times New Roman" w:cs="Times New Roman"/>
                <w:u w:val="none"/>
              </w:rPr>
              <w:t>采用</w:t>
            </w:r>
            <w:r>
              <w:rPr>
                <w:rFonts w:hint="eastAsia" w:ascii="Times New Roman" w:hAnsi="Times New Roman" w:cs="Times New Roman"/>
                <w:u w:val="none"/>
              </w:rPr>
              <w:t>1级前处理3</w:t>
            </w:r>
            <w:r>
              <w:rPr>
                <w:rFonts w:ascii="Times New Roman" w:hAnsi="Times New Roman" w:cs="Times New Roman"/>
                <w:u w:val="none"/>
              </w:rPr>
              <w:t>级除碘1级除金属离子</w:t>
            </w:r>
            <w:r>
              <w:rPr>
                <w:rFonts w:hint="eastAsia" w:ascii="Times New Roman" w:hAnsi="Times New Roman" w:cs="Times New Roman"/>
                <w:u w:val="none"/>
              </w:rPr>
              <w:t>5</w:t>
            </w:r>
            <w:r>
              <w:rPr>
                <w:rFonts w:ascii="Times New Roman" w:hAnsi="Times New Roman" w:cs="Times New Roman"/>
                <w:u w:val="none"/>
              </w:rPr>
              <w:t>组串联的方式，</w:t>
            </w:r>
            <w:r>
              <w:rPr>
                <w:rFonts w:hint="eastAsia" w:ascii="Times New Roman" w:hAnsi="Times New Roman" w:cs="Times New Roman"/>
                <w:u w:val="none"/>
              </w:rPr>
              <w:t>1级前处理进行吸附，3</w:t>
            </w:r>
            <w:r>
              <w:rPr>
                <w:rFonts w:ascii="Times New Roman" w:hAnsi="Times New Roman" w:cs="Times New Roman"/>
                <w:u w:val="none"/>
              </w:rPr>
              <w:t>组除碘离交吸附塔串联组合除碘，1组离交吸附塔吸附金属离子。树脂采用专用树脂，先使用硝酸银溶液进行载银</w:t>
            </w:r>
            <w:r>
              <w:rPr>
                <w:rFonts w:hint="eastAsia" w:ascii="Times New Roman" w:hAnsi="Times New Roman" w:cs="Times New Roman"/>
                <w:u w:val="none"/>
              </w:rPr>
              <w:t>，</w:t>
            </w:r>
            <w:r>
              <w:rPr>
                <w:rFonts w:ascii="Times New Roman" w:hAnsi="Times New Roman" w:cs="Times New Roman"/>
                <w:u w:val="none"/>
              </w:rPr>
              <w:t>载银量接近10%。阳树脂的磺酸基团和银离子化学结合，树脂特有的孔道加上均匀的载银率和醋酸里的烷基碘和无机碘合理反应</w:t>
            </w:r>
            <w:r>
              <w:rPr>
                <w:rFonts w:hint="eastAsia" w:ascii="Times New Roman" w:hAnsi="Times New Roman" w:cs="Times New Roman"/>
                <w:u w:val="none"/>
              </w:rPr>
              <w:t>，</w:t>
            </w:r>
            <w:r>
              <w:rPr>
                <w:rFonts w:ascii="Times New Roman" w:hAnsi="Times New Roman" w:cs="Times New Roman"/>
                <w:u w:val="none"/>
              </w:rPr>
              <w:t>保证反应的均匀性和无渗漏性。第</w:t>
            </w:r>
            <w:r>
              <w:rPr>
                <w:rFonts w:hint="eastAsia" w:ascii="Times New Roman" w:hAnsi="Times New Roman" w:cs="Times New Roman"/>
                <w:u w:val="none"/>
              </w:rPr>
              <w:t>5</w:t>
            </w:r>
            <w:r>
              <w:rPr>
                <w:rFonts w:ascii="Times New Roman" w:hAnsi="Times New Roman" w:cs="Times New Roman"/>
                <w:u w:val="none"/>
              </w:rPr>
              <w:t>级树脂拦截渗漏的银离子，并对流失的银离子进行回收</w:t>
            </w:r>
            <w:r>
              <w:rPr>
                <w:rFonts w:hint="eastAsia" w:ascii="Times New Roman" w:hAnsi="Times New Roman" w:cs="Times New Roman"/>
                <w:u w:val="none"/>
              </w:rPr>
              <w:t>。</w:t>
            </w:r>
          </w:p>
          <w:p w14:paraId="0AA137DD">
            <w:pPr>
              <w:pStyle w:val="7"/>
              <w:spacing w:line="500" w:lineRule="exact"/>
              <w:ind w:firstLine="520" w:firstLineChars="200"/>
              <w:rPr>
                <w:rFonts w:hint="eastAsia" w:ascii="Times New Roman" w:hAnsi="Times New Roman" w:cs="Times New Roman"/>
                <w:u w:val="none"/>
              </w:rPr>
            </w:pPr>
            <w:r>
              <w:rPr>
                <w:rFonts w:hint="eastAsia" w:ascii="Times New Roman" w:hAnsi="Times New Roman" w:cs="Times New Roman"/>
                <w:u w:val="none"/>
              </w:rPr>
              <w:t>脱碘工序产生的污染物主要为脱碘树脂，主要成分为树脂，作为危险废物，委外处置。</w:t>
            </w:r>
          </w:p>
          <w:p w14:paraId="65D529EE">
            <w:pPr>
              <w:pStyle w:val="7"/>
              <w:spacing w:line="500" w:lineRule="exact"/>
              <w:ind w:firstLine="520" w:firstLineChars="200"/>
              <w:rPr>
                <w:rFonts w:hint="eastAsia" w:ascii="Times New Roman" w:hAnsi="Times New Roman" w:cs="Times New Roman"/>
                <w:u w:val="single"/>
              </w:rPr>
            </w:pPr>
            <w:r>
              <w:rPr>
                <w:rFonts w:hint="eastAsia" w:ascii="Times New Roman" w:hAnsi="Times New Roman" w:cs="Times New Roman"/>
                <w:u w:val="single"/>
              </w:rPr>
              <w:t>根据工艺流程，醋酸装置污染源及污染物排放特征见表</w:t>
            </w:r>
            <w:r>
              <w:rPr>
                <w:rFonts w:hint="eastAsia" w:ascii="Times New Roman" w:hAnsi="Times New Roman" w:cs="Times New Roman"/>
                <w:u w:val="single"/>
                <w:lang w:val="en-US" w:eastAsia="zh-CN"/>
              </w:rPr>
              <w:t>2-13</w:t>
            </w:r>
            <w:r>
              <w:rPr>
                <w:rFonts w:hint="eastAsia" w:ascii="Times New Roman" w:hAnsi="Times New Roman" w:cs="Times New Roman"/>
                <w:u w:val="single"/>
              </w:rPr>
              <w:t>。</w:t>
            </w:r>
          </w:p>
          <w:p w14:paraId="74DC08C7">
            <w:pPr>
              <w:pStyle w:val="51"/>
              <w:numPr>
                <w:ilvl w:val="2"/>
                <w:numId w:val="3"/>
              </w:numPr>
              <w:spacing w:line="500" w:lineRule="atLeast"/>
              <w:ind w:firstLineChars="0"/>
              <w:jc w:val="center"/>
              <w:rPr>
                <w:rFonts w:hint="eastAsia" w:ascii="Times New Roman" w:hAnsi="Times New Roman" w:cs="Times New Roman"/>
                <w:u w:val="single"/>
              </w:rPr>
            </w:pPr>
            <w:r>
              <w:rPr>
                <w:rFonts w:hint="eastAsia"/>
                <w:b/>
                <w:sz w:val="24"/>
                <w:u w:val="single"/>
                <w:lang w:val="en-US" w:eastAsia="zh-CN"/>
              </w:rPr>
              <w:t>70万t/a醋酸装置污染源及污染物排放特征</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6"/>
              <w:gridCol w:w="2005"/>
              <w:gridCol w:w="3000"/>
              <w:gridCol w:w="2632"/>
            </w:tblGrid>
            <w:tr w14:paraId="5453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61" w:type="pct"/>
                  <w:tcBorders>
                    <w:top w:val="single" w:color="auto" w:sz="4" w:space="0"/>
                    <w:left w:val="single" w:color="auto" w:sz="4" w:space="0"/>
                    <w:bottom w:val="single" w:color="auto" w:sz="4" w:space="0"/>
                    <w:right w:val="single" w:color="auto" w:sz="4" w:space="0"/>
                  </w:tcBorders>
                  <w:noWrap w:val="0"/>
                  <w:vAlign w:val="center"/>
                </w:tcPr>
                <w:p w14:paraId="06603CC9">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类别</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7DBF77D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车间或工段</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4A4E7AF7">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产生环节</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4306D2C7">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主要污染因子</w:t>
                  </w:r>
                </w:p>
              </w:tc>
            </w:tr>
            <w:tr w14:paraId="0013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restart"/>
                  <w:tcBorders>
                    <w:top w:val="single" w:color="auto" w:sz="4" w:space="0"/>
                    <w:left w:val="single" w:color="auto" w:sz="4" w:space="0"/>
                    <w:right w:val="single" w:color="auto" w:sz="4" w:space="0"/>
                  </w:tcBorders>
                  <w:noWrap w:val="0"/>
                  <w:vAlign w:val="center"/>
                </w:tcPr>
                <w:p w14:paraId="60DDC14D">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废气</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0DB0DAB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hint="eastAsia" w:ascii="Times New Roman" w:hAnsi="Times New Roman"/>
                      <w:spacing w:val="10"/>
                      <w:u w:val="single"/>
                    </w:rPr>
                    <w:t>4#醋酸装置尾气</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206BBEB4">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高压甲醇吸收塔、低压甲醇吸收塔、精制塔</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153AE5D2">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u w:val="single"/>
                    </w:rPr>
                  </w:pPr>
                  <w:r>
                    <w:rPr>
                      <w:rFonts w:ascii="Times New Roman" w:hAnsi="Times New Roman"/>
                      <w:spacing w:val="10"/>
                      <w:u w:val="single"/>
                    </w:rPr>
                    <w:t>CO、H</w:t>
                  </w:r>
                  <w:r>
                    <w:rPr>
                      <w:rFonts w:ascii="Times New Roman" w:hAnsi="Times New Roman"/>
                      <w:spacing w:val="10"/>
                      <w:u w:val="single"/>
                      <w:vertAlign w:val="subscript"/>
                    </w:rPr>
                    <w:t>2</w:t>
                  </w:r>
                  <w:r>
                    <w:rPr>
                      <w:rFonts w:ascii="Times New Roman" w:hAnsi="Times New Roman"/>
                      <w:spacing w:val="10"/>
                      <w:u w:val="single"/>
                    </w:rPr>
                    <w:t>、CO</w:t>
                  </w:r>
                  <w:r>
                    <w:rPr>
                      <w:rFonts w:ascii="Times New Roman" w:hAnsi="Times New Roman"/>
                      <w:spacing w:val="10"/>
                      <w:u w:val="single"/>
                      <w:vertAlign w:val="subscript"/>
                    </w:rPr>
                    <w:t>2</w:t>
                  </w:r>
                  <w:r>
                    <w:rPr>
                      <w:rFonts w:ascii="Times New Roman" w:hAnsi="Times New Roman"/>
                      <w:spacing w:val="10"/>
                      <w:u w:val="single"/>
                    </w:rPr>
                    <w:t>、CH</w:t>
                  </w:r>
                  <w:r>
                    <w:rPr>
                      <w:rFonts w:ascii="Times New Roman" w:hAnsi="Times New Roman"/>
                      <w:spacing w:val="10"/>
                      <w:u w:val="single"/>
                      <w:vertAlign w:val="subscript"/>
                    </w:rPr>
                    <w:t>4</w:t>
                  </w:r>
                  <w:r>
                    <w:rPr>
                      <w:rFonts w:ascii="Times New Roman" w:hAnsi="Times New Roman"/>
                      <w:spacing w:val="10"/>
                      <w:u w:val="single"/>
                    </w:rPr>
                    <w:t>、N</w:t>
                  </w:r>
                  <w:r>
                    <w:rPr>
                      <w:rFonts w:ascii="Times New Roman" w:hAnsi="Times New Roman"/>
                      <w:spacing w:val="10"/>
                      <w:u w:val="single"/>
                      <w:vertAlign w:val="subscript"/>
                    </w:rPr>
                    <w:t>2</w:t>
                  </w:r>
                  <w:r>
                    <w:rPr>
                      <w:rFonts w:ascii="Times New Roman" w:hAnsi="Times New Roman"/>
                      <w:spacing w:val="10"/>
                      <w:u w:val="single"/>
                    </w:rPr>
                    <w:t>、CH</w:t>
                  </w:r>
                  <w:r>
                    <w:rPr>
                      <w:rFonts w:ascii="Times New Roman" w:hAnsi="Times New Roman"/>
                      <w:spacing w:val="10"/>
                      <w:u w:val="single"/>
                      <w:vertAlign w:val="subscript"/>
                    </w:rPr>
                    <w:t>3</w:t>
                  </w:r>
                  <w:r>
                    <w:rPr>
                      <w:rFonts w:ascii="Times New Roman" w:hAnsi="Times New Roman"/>
                      <w:spacing w:val="10"/>
                      <w:u w:val="single"/>
                    </w:rPr>
                    <w:t>OH等</w:t>
                  </w:r>
                </w:p>
              </w:tc>
            </w:tr>
            <w:tr w14:paraId="06F6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continue"/>
                  <w:tcBorders>
                    <w:top w:val="single" w:color="auto" w:sz="4" w:space="0"/>
                    <w:left w:val="single" w:color="auto" w:sz="4" w:space="0"/>
                    <w:right w:val="single" w:color="auto" w:sz="4" w:space="0"/>
                  </w:tcBorders>
                  <w:noWrap w:val="0"/>
                  <w:vAlign w:val="center"/>
                </w:tcPr>
                <w:p w14:paraId="2D88DF23">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3D5E69A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甲醇1#加热炉废气</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0BEB394D">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甲醇1#加热炉</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6C0B842B">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u w:val="single"/>
                    </w:rPr>
                  </w:pPr>
                  <w:r>
                    <w:rPr>
                      <w:rFonts w:ascii="Times New Roman" w:hAnsi="Times New Roman"/>
                      <w:u w:val="single"/>
                    </w:rPr>
                    <w:t>颗粒物、</w:t>
                  </w:r>
                  <w:r>
                    <w:rPr>
                      <w:rFonts w:ascii="Times New Roman" w:hAnsi="Times New Roman"/>
                      <w:kern w:val="2"/>
                      <w:u w:val="single"/>
                    </w:rPr>
                    <w:t>NO</w:t>
                  </w:r>
                  <w:r>
                    <w:rPr>
                      <w:rFonts w:hint="eastAsia" w:ascii="Times New Roman" w:hAnsi="Times New Roman"/>
                      <w:kern w:val="2"/>
                      <w:u w:val="single"/>
                    </w:rPr>
                    <w:t>x</w:t>
                  </w:r>
                  <w:r>
                    <w:rPr>
                      <w:rFonts w:ascii="Times New Roman" w:hAnsi="Times New Roman"/>
                      <w:u w:val="single"/>
                    </w:rPr>
                    <w:t>、</w:t>
                  </w:r>
                  <w:r>
                    <w:rPr>
                      <w:rFonts w:ascii="Times New Roman" w:hAnsi="Times New Roman"/>
                      <w:kern w:val="2"/>
                      <w:u w:val="single"/>
                    </w:rPr>
                    <w:t>SO</w:t>
                  </w:r>
                  <w:r>
                    <w:rPr>
                      <w:rFonts w:ascii="Times New Roman" w:hAnsi="Times New Roman"/>
                      <w:kern w:val="2"/>
                      <w:u w:val="single"/>
                      <w:vertAlign w:val="subscript"/>
                    </w:rPr>
                    <w:t>2</w:t>
                  </w:r>
                </w:p>
              </w:tc>
            </w:tr>
            <w:tr w14:paraId="50AC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continue"/>
                  <w:tcBorders>
                    <w:top w:val="single" w:color="auto" w:sz="4" w:space="0"/>
                    <w:left w:val="single" w:color="auto" w:sz="4" w:space="0"/>
                    <w:right w:val="single" w:color="auto" w:sz="4" w:space="0"/>
                  </w:tcBorders>
                  <w:noWrap w:val="0"/>
                  <w:vAlign w:val="center"/>
                </w:tcPr>
                <w:p w14:paraId="39A16642">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4B64CE08">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甲醇2#加热炉废气</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65FF7775">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甲醇2#加热炉</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0AB56F5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u w:val="single"/>
                    </w:rPr>
                  </w:pPr>
                  <w:r>
                    <w:rPr>
                      <w:rFonts w:ascii="Times New Roman" w:hAnsi="Times New Roman"/>
                      <w:u w:val="single"/>
                    </w:rPr>
                    <w:t>颗粒物、</w:t>
                  </w:r>
                  <w:r>
                    <w:rPr>
                      <w:rFonts w:ascii="Times New Roman" w:hAnsi="Times New Roman"/>
                      <w:kern w:val="2"/>
                      <w:u w:val="single"/>
                    </w:rPr>
                    <w:t>NO</w:t>
                  </w:r>
                  <w:r>
                    <w:rPr>
                      <w:rFonts w:hint="eastAsia" w:ascii="Times New Roman" w:hAnsi="Times New Roman"/>
                      <w:kern w:val="2"/>
                      <w:u w:val="single"/>
                    </w:rPr>
                    <w:t>x</w:t>
                  </w:r>
                  <w:r>
                    <w:rPr>
                      <w:rFonts w:ascii="Times New Roman" w:hAnsi="Times New Roman"/>
                      <w:u w:val="single"/>
                    </w:rPr>
                    <w:t>、</w:t>
                  </w:r>
                  <w:r>
                    <w:rPr>
                      <w:rFonts w:ascii="Times New Roman" w:hAnsi="Times New Roman"/>
                      <w:kern w:val="2"/>
                      <w:u w:val="single"/>
                    </w:rPr>
                    <w:t>SO</w:t>
                  </w:r>
                  <w:r>
                    <w:rPr>
                      <w:rFonts w:ascii="Times New Roman" w:hAnsi="Times New Roman"/>
                      <w:kern w:val="2"/>
                      <w:u w:val="single"/>
                      <w:vertAlign w:val="subscript"/>
                    </w:rPr>
                    <w:t>2</w:t>
                  </w:r>
                </w:p>
              </w:tc>
            </w:tr>
            <w:tr w14:paraId="0EE8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continue"/>
                  <w:tcBorders>
                    <w:left w:val="single" w:color="auto" w:sz="4" w:space="0"/>
                    <w:right w:val="single" w:color="auto" w:sz="4" w:space="0"/>
                  </w:tcBorders>
                  <w:noWrap w:val="0"/>
                  <w:vAlign w:val="center"/>
                </w:tcPr>
                <w:p w14:paraId="143B1C0D">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7A315469">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装置无组织废气</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7ACE24C6">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pacing w:val="10"/>
                      <w:u w:val="single"/>
                    </w:rPr>
                  </w:pPr>
                  <w:r>
                    <w:rPr>
                      <w:rFonts w:hint="eastAsia" w:ascii="Times New Roman" w:hAnsi="Times New Roman"/>
                      <w:spacing w:val="10"/>
                      <w:u w:val="single"/>
                    </w:rPr>
                    <w:t>醋酸装置</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15F215C1">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u w:val="single"/>
                    </w:rPr>
                  </w:pPr>
                  <w:r>
                    <w:rPr>
                      <w:rFonts w:ascii="Times New Roman" w:hAnsi="Times New Roman"/>
                      <w:u w:val="single"/>
                    </w:rPr>
                    <w:t>NMHC</w:t>
                  </w:r>
                </w:p>
              </w:tc>
            </w:tr>
            <w:tr w14:paraId="45AD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tcBorders>
                    <w:top w:val="single" w:color="auto" w:sz="4" w:space="0"/>
                    <w:left w:val="single" w:color="auto" w:sz="4" w:space="0"/>
                    <w:right w:val="single" w:color="auto" w:sz="4" w:space="0"/>
                  </w:tcBorders>
                  <w:noWrap w:val="0"/>
                  <w:vAlign w:val="center"/>
                </w:tcPr>
                <w:p w14:paraId="591ACF8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废水</w:t>
                  </w:r>
                </w:p>
              </w:tc>
              <w:tc>
                <w:tcPr>
                  <w:tcW w:w="4538" w:type="pct"/>
                  <w:gridSpan w:val="3"/>
                  <w:tcBorders>
                    <w:top w:val="single" w:color="auto" w:sz="4" w:space="0"/>
                    <w:left w:val="single" w:color="auto" w:sz="4" w:space="0"/>
                    <w:bottom w:val="single" w:color="auto" w:sz="4" w:space="0"/>
                    <w:right w:val="single" w:color="auto" w:sz="4" w:space="0"/>
                  </w:tcBorders>
                  <w:noWrap w:val="0"/>
                  <w:vAlign w:val="center"/>
                </w:tcPr>
                <w:p w14:paraId="4CA24EF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hint="eastAsia" w:ascii="Times New Roman" w:hAnsi="Times New Roman"/>
                      <w:kern w:val="2"/>
                      <w:u w:val="single"/>
                    </w:rPr>
                    <w:t>无</w:t>
                  </w:r>
                </w:p>
              </w:tc>
            </w:tr>
            <w:tr w14:paraId="102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center"/>
                </w:tcPr>
                <w:p w14:paraId="5B9C7815">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噪声</w:t>
                  </w:r>
                </w:p>
              </w:tc>
              <w:tc>
                <w:tcPr>
                  <w:tcW w:w="4538" w:type="pct"/>
                  <w:gridSpan w:val="3"/>
                  <w:tcBorders>
                    <w:top w:val="single" w:color="auto" w:sz="4" w:space="0"/>
                    <w:left w:val="single" w:color="auto" w:sz="4" w:space="0"/>
                    <w:bottom w:val="single" w:color="auto" w:sz="4" w:space="0"/>
                    <w:right w:val="single" w:color="auto" w:sz="4" w:space="0"/>
                  </w:tcBorders>
                  <w:noWrap w:val="0"/>
                  <w:vAlign w:val="center"/>
                </w:tcPr>
                <w:p w14:paraId="68C71187">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各设备噪声</w:t>
                  </w:r>
                </w:p>
              </w:tc>
            </w:tr>
            <w:tr w14:paraId="3BBD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restart"/>
                  <w:tcBorders>
                    <w:top w:val="single" w:color="auto" w:sz="4" w:space="0"/>
                    <w:left w:val="single" w:color="auto" w:sz="4" w:space="0"/>
                    <w:right w:val="single" w:color="auto" w:sz="4" w:space="0"/>
                  </w:tcBorders>
                  <w:noWrap w:val="0"/>
                  <w:vAlign w:val="center"/>
                </w:tcPr>
                <w:p w14:paraId="5A52AFD5">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ascii="Times New Roman" w:hAnsi="Times New Roman"/>
                      <w:kern w:val="2"/>
                      <w:u w:val="single"/>
                    </w:rPr>
                    <w:t>固废</w:t>
                  </w:r>
                </w:p>
              </w:tc>
              <w:tc>
                <w:tcPr>
                  <w:tcW w:w="1191" w:type="pct"/>
                  <w:tcBorders>
                    <w:top w:val="single" w:color="auto" w:sz="4" w:space="0"/>
                    <w:left w:val="single" w:color="auto" w:sz="4" w:space="0"/>
                    <w:bottom w:val="single" w:color="auto" w:sz="4" w:space="0"/>
                    <w:right w:val="single" w:color="auto" w:sz="4" w:space="0"/>
                  </w:tcBorders>
                  <w:noWrap w:val="0"/>
                  <w:vAlign w:val="center"/>
                </w:tcPr>
                <w:p w14:paraId="503910C8">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bCs/>
                      <w:u w:val="single"/>
                    </w:rPr>
                    <w:t>净化树脂</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27FFDE9F">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hint="eastAsia" w:ascii="Times New Roman" w:hAnsi="Times New Roman"/>
                      <w:kern w:val="2"/>
                      <w:u w:val="single"/>
                    </w:rPr>
                    <w:t>净化区</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0C80B4C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hint="eastAsia"/>
                      <w:u w:val="single"/>
                    </w:rPr>
                    <w:t>废</w:t>
                  </w:r>
                  <w:r>
                    <w:rPr>
                      <w:u w:val="single"/>
                    </w:rPr>
                    <w:t>树脂</w:t>
                  </w:r>
                </w:p>
              </w:tc>
            </w:tr>
            <w:tr w14:paraId="0428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continue"/>
                  <w:tcBorders>
                    <w:left w:val="single" w:color="auto" w:sz="4" w:space="0"/>
                    <w:right w:val="single" w:color="auto" w:sz="4" w:space="0"/>
                  </w:tcBorders>
                  <w:noWrap w:val="0"/>
                  <w:vAlign w:val="center"/>
                </w:tcPr>
                <w:p w14:paraId="65D1F0FF">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p>
              </w:tc>
              <w:tc>
                <w:tcPr>
                  <w:tcW w:w="1191" w:type="pct"/>
                  <w:tcBorders>
                    <w:top w:val="single" w:color="auto" w:sz="4" w:space="0"/>
                    <w:left w:val="single" w:color="auto" w:sz="4" w:space="0"/>
                    <w:bottom w:val="single" w:color="auto" w:sz="4" w:space="0"/>
                    <w:right w:val="single" w:color="auto" w:sz="4" w:space="0"/>
                  </w:tcBorders>
                  <w:noWrap w:val="0"/>
                  <w:vAlign w:val="center"/>
                </w:tcPr>
                <w:p w14:paraId="35F38F47">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bCs/>
                      <w:u w:val="single"/>
                    </w:rPr>
                    <w:t>醋酸脱碘树脂</w:t>
                  </w:r>
                </w:p>
              </w:tc>
              <w:tc>
                <w:tcPr>
                  <w:tcW w:w="1782" w:type="pct"/>
                  <w:tcBorders>
                    <w:top w:val="single" w:color="auto" w:sz="4" w:space="0"/>
                    <w:left w:val="single" w:color="auto" w:sz="4" w:space="0"/>
                    <w:bottom w:val="single" w:color="auto" w:sz="4" w:space="0"/>
                    <w:right w:val="single" w:color="auto" w:sz="4" w:space="0"/>
                  </w:tcBorders>
                  <w:noWrap w:val="0"/>
                  <w:vAlign w:val="center"/>
                </w:tcPr>
                <w:p w14:paraId="2D1CA605">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kern w:val="2"/>
                      <w:u w:val="single"/>
                    </w:rPr>
                  </w:pPr>
                  <w:r>
                    <w:rPr>
                      <w:rFonts w:hint="eastAsia" w:ascii="Times New Roman" w:hAnsi="Times New Roman"/>
                      <w:kern w:val="2"/>
                      <w:u w:val="single"/>
                    </w:rPr>
                    <w:t>脱碘区</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2B6133CC">
                  <w:pPr>
                    <w:pStyle w:val="67"/>
                    <w:widowControl w:val="0"/>
                    <w:pBdr>
                      <w:left w:val="none" w:color="auto" w:sz="0" w:space="0"/>
                      <w:bottom w:val="none" w:color="auto" w:sz="0" w:space="0"/>
                      <w:right w:val="none" w:color="auto" w:sz="0" w:space="0"/>
                    </w:pBdr>
                    <w:spacing w:before="0" w:beforeAutospacing="0" w:after="0" w:afterAutospacing="0" w:line="0" w:lineRule="atLeast"/>
                    <w:rPr>
                      <w:u w:val="single"/>
                    </w:rPr>
                  </w:pPr>
                  <w:r>
                    <w:rPr>
                      <w:rFonts w:hint="eastAsia"/>
                      <w:u w:val="single"/>
                    </w:rPr>
                    <w:t>废</w:t>
                  </w:r>
                  <w:r>
                    <w:rPr>
                      <w:u w:val="single"/>
                    </w:rPr>
                    <w:t>树脂</w:t>
                  </w:r>
                </w:p>
              </w:tc>
            </w:tr>
          </w:tbl>
          <w:p w14:paraId="25C2A6A8">
            <w:pPr>
              <w:spacing w:line="500" w:lineRule="atLeast"/>
              <w:ind w:firstLine="482" w:firstLineChars="200"/>
              <w:jc w:val="left"/>
              <w:rPr>
                <w:b/>
                <w:bCs/>
                <w:sz w:val="24"/>
              </w:rPr>
            </w:pPr>
            <w:r>
              <w:rPr>
                <w:rFonts w:hint="eastAsia"/>
                <w:b/>
                <w:bCs/>
                <w:sz w:val="24"/>
                <w:lang w:val="en-US" w:eastAsia="zh-CN"/>
              </w:rPr>
              <w:t>五</w:t>
            </w:r>
            <w:r>
              <w:rPr>
                <w:rFonts w:hint="eastAsia"/>
                <w:b/>
                <w:bCs/>
                <w:sz w:val="24"/>
              </w:rPr>
              <w:t>、现有工程污染治理措施及达标排放分析</w:t>
            </w:r>
          </w:p>
          <w:p w14:paraId="63BF07A1">
            <w:pPr>
              <w:spacing w:line="500" w:lineRule="atLeast"/>
              <w:ind w:firstLine="482" w:firstLineChars="200"/>
              <w:jc w:val="left"/>
              <w:rPr>
                <w:b/>
                <w:bCs/>
                <w:sz w:val="24"/>
              </w:rPr>
            </w:pPr>
            <w:r>
              <w:rPr>
                <w:rFonts w:hint="eastAsia"/>
                <w:b/>
                <w:bCs/>
                <w:sz w:val="24"/>
                <w:lang w:val="en-US" w:eastAsia="zh-CN"/>
              </w:rPr>
              <w:t>1、</w:t>
            </w:r>
            <w:r>
              <w:rPr>
                <w:rFonts w:hint="eastAsia"/>
                <w:b/>
                <w:bCs/>
                <w:sz w:val="24"/>
              </w:rPr>
              <w:t>废气</w:t>
            </w:r>
          </w:p>
          <w:p w14:paraId="23F26F31">
            <w:pPr>
              <w:spacing w:line="500" w:lineRule="atLeast"/>
              <w:ind w:firstLine="480" w:firstLineChars="200"/>
              <w:jc w:val="left"/>
              <w:rPr>
                <w:rFonts w:hint="default" w:ascii="Times New Roman" w:hAnsi="Times New Roman" w:cs="Times New Roman"/>
                <w:bCs/>
                <w:sz w:val="24"/>
              </w:rPr>
            </w:pPr>
            <w:r>
              <w:rPr>
                <w:rFonts w:hint="default" w:ascii="Times New Roman" w:hAnsi="Times New Roman" w:cs="Times New Roman"/>
                <w:bCs/>
                <w:sz w:val="24"/>
              </w:rPr>
              <w:t>现有工程产生的废气污染物实施了有效治理，根据建设单位已获取的排污许可证（编号：91450700MA5KBT3T8P001V），排气筒及厂界排放执行《大气污染物综合排放标准》（GB16297-1996）、《石油化学工业污染物排放标准》（GB 31571-2015，含2024年修改单）表4、《恶臭污染物排放标准》（GB 14554-93）表2和《石油炼制工业污染物排放标准》（GB 31570-2015，含2024年修改单），厂区执行《挥发性有机物无组织排放控制标准》（GB 37822-2019）。</w:t>
            </w:r>
          </w:p>
          <w:p w14:paraId="46D8F130">
            <w:pPr>
              <w:spacing w:line="500" w:lineRule="atLeast"/>
              <w:ind w:firstLine="480" w:firstLineChars="200"/>
              <w:jc w:val="left"/>
              <w:rPr>
                <w:rFonts w:hint="eastAsia"/>
                <w:bCs/>
                <w:sz w:val="24"/>
              </w:rPr>
            </w:pPr>
            <w:r>
              <w:rPr>
                <w:rFonts w:hint="eastAsia" w:ascii="宋体" w:hAnsi="宋体"/>
                <w:bCs/>
                <w:sz w:val="24"/>
                <w:lang w:eastAsia="zh-CN"/>
              </w:rPr>
              <w:t>（</w:t>
            </w:r>
            <w:r>
              <w:rPr>
                <w:rFonts w:hint="eastAsia" w:ascii="宋体" w:hAnsi="宋体"/>
                <w:bCs/>
                <w:sz w:val="24"/>
                <w:lang w:val="en-US" w:eastAsia="zh-CN"/>
              </w:rPr>
              <w:t>1</w:t>
            </w:r>
            <w:r>
              <w:rPr>
                <w:rFonts w:hint="eastAsia" w:ascii="宋体" w:hAnsi="宋体"/>
                <w:bCs/>
                <w:sz w:val="24"/>
                <w:lang w:eastAsia="zh-CN"/>
              </w:rPr>
              <w:t>）</w:t>
            </w:r>
            <w:r>
              <w:rPr>
                <w:rFonts w:hint="eastAsia"/>
                <w:bCs/>
                <w:sz w:val="24"/>
              </w:rPr>
              <w:t>有组织废气</w:t>
            </w:r>
          </w:p>
          <w:p w14:paraId="212B7E5F">
            <w:pPr>
              <w:spacing w:line="500" w:lineRule="atLeast"/>
              <w:ind w:firstLine="480" w:firstLineChars="200"/>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①</w:t>
            </w:r>
            <w:r>
              <w:rPr>
                <w:rFonts w:hint="eastAsia" w:ascii="宋体" w:hAnsi="宋体" w:cs="宋体"/>
                <w:bCs/>
                <w:sz w:val="24"/>
                <w:lang w:val="en-US" w:eastAsia="zh-CN"/>
              </w:rPr>
              <w:t>有组织排放口</w:t>
            </w:r>
          </w:p>
          <w:p w14:paraId="126FCBDA">
            <w:pPr>
              <w:spacing w:line="500" w:lineRule="atLeast"/>
              <w:ind w:firstLine="480" w:firstLineChars="200"/>
              <w:jc w:val="left"/>
              <w:rPr>
                <w:rFonts w:hint="default" w:ascii="Times New Roman" w:hAnsi="Times New Roman" w:cs="Times New Roman"/>
                <w:bCs/>
                <w:sz w:val="24"/>
                <w:u w:val="single"/>
                <w:lang w:val="en-US" w:eastAsia="zh-CN"/>
              </w:rPr>
            </w:pPr>
            <w:r>
              <w:rPr>
                <w:rFonts w:hint="default" w:ascii="Times New Roman" w:hAnsi="Times New Roman" w:cs="Times New Roman"/>
                <w:bCs/>
                <w:sz w:val="24"/>
                <w:u w:val="single"/>
                <w:lang w:val="en-US" w:eastAsia="zh-CN"/>
              </w:rPr>
              <w:t>现有工程各有组织排气筒以及治理措施设置情况见表</w:t>
            </w:r>
            <w:r>
              <w:rPr>
                <w:rFonts w:hint="eastAsia" w:cs="Times New Roman"/>
                <w:bCs/>
                <w:sz w:val="24"/>
                <w:u w:val="single"/>
                <w:lang w:val="en-US" w:eastAsia="zh-CN"/>
              </w:rPr>
              <w:t>2-14，与本项目相关醋酸装置各有组织排气筒为甲醇加热炉排气筒（DA040、DA043）。</w:t>
            </w:r>
          </w:p>
          <w:p w14:paraId="2CABDFED">
            <w:pPr>
              <w:spacing w:line="500" w:lineRule="atLeast"/>
              <w:ind w:firstLine="480" w:firstLineChars="200"/>
              <w:jc w:val="left"/>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现有工程各有组织排气筒以及治理措施设置情况见</w:t>
            </w:r>
            <w:r>
              <w:rPr>
                <w:rFonts w:hint="eastAsia" w:cs="Times New Roman"/>
                <w:bCs/>
                <w:sz w:val="24"/>
                <w:lang w:val="en-US" w:eastAsia="zh-CN"/>
              </w:rPr>
              <w:t>下表</w:t>
            </w:r>
            <w:r>
              <w:rPr>
                <w:rFonts w:hint="default" w:ascii="Times New Roman" w:hAnsi="Times New Roman" w:cs="Times New Roman"/>
                <w:bCs/>
                <w:sz w:val="24"/>
                <w:lang w:val="en-US" w:eastAsia="zh-CN"/>
              </w:rPr>
              <w:t>。</w:t>
            </w:r>
          </w:p>
          <w:p w14:paraId="19AEA9F4">
            <w:pPr>
              <w:pStyle w:val="51"/>
              <w:numPr>
                <w:ilvl w:val="2"/>
                <w:numId w:val="3"/>
              </w:numPr>
              <w:spacing w:line="500" w:lineRule="atLeast"/>
              <w:ind w:firstLineChars="0"/>
              <w:jc w:val="center"/>
              <w:rPr>
                <w:rFonts w:hint="default" w:ascii="Times New Roman" w:hAnsi="Times New Roman" w:cs="Times New Roman"/>
                <w:bCs/>
                <w:sz w:val="24"/>
                <w:lang w:val="en-US" w:eastAsia="zh-CN"/>
              </w:rPr>
            </w:pPr>
            <w:r>
              <w:rPr>
                <w:rFonts w:hint="default"/>
                <w:b/>
                <w:sz w:val="24"/>
                <w:lang w:val="en-US" w:eastAsia="zh-CN"/>
              </w:rPr>
              <w:t>现有工程各有组织排气筒以及治理措施设置情况</w:t>
            </w:r>
            <w:r>
              <w:rPr>
                <w:rFonts w:hint="eastAsia"/>
                <w:b/>
                <w:sz w:val="24"/>
                <w:lang w:val="en-US" w:eastAsia="zh-CN"/>
              </w:rPr>
              <w:t>一览表</w:t>
            </w:r>
          </w:p>
          <w:tbl>
            <w:tblPr>
              <w:tblStyle w:val="26"/>
              <w:tblW w:w="84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95"/>
              <w:gridCol w:w="1680"/>
              <w:gridCol w:w="1019"/>
              <w:gridCol w:w="1961"/>
              <w:gridCol w:w="925"/>
              <w:gridCol w:w="1019"/>
              <w:gridCol w:w="1019"/>
            </w:tblGrid>
            <w:tr w14:paraId="3E597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jc w:val="center"/>
              </w:trPr>
              <w:tc>
                <w:tcPr>
                  <w:tcW w:w="472" w:type="pct"/>
                  <w:shd w:val="clear" w:color="auto" w:fill="auto"/>
                  <w:noWrap w:val="0"/>
                  <w:vAlign w:val="center"/>
                </w:tcPr>
                <w:p w14:paraId="1F9D72E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产生源</w:t>
                  </w:r>
                </w:p>
              </w:tc>
              <w:tc>
                <w:tcPr>
                  <w:tcW w:w="997" w:type="pct"/>
                  <w:shd w:val="clear" w:color="auto" w:fill="auto"/>
                  <w:noWrap w:val="0"/>
                  <w:vAlign w:val="center"/>
                </w:tcPr>
                <w:p w14:paraId="3B49866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污染因子</w:t>
                  </w:r>
                </w:p>
              </w:tc>
              <w:tc>
                <w:tcPr>
                  <w:tcW w:w="605" w:type="pct"/>
                  <w:shd w:val="clear" w:color="auto" w:fill="auto"/>
                  <w:noWrap w:val="0"/>
                  <w:vAlign w:val="center"/>
                </w:tcPr>
                <w:p w14:paraId="542E21B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治理措施</w:t>
                  </w:r>
                </w:p>
              </w:tc>
              <w:tc>
                <w:tcPr>
                  <w:tcW w:w="1164" w:type="pct"/>
                  <w:shd w:val="clear" w:color="auto" w:fill="auto"/>
                  <w:noWrap w:val="0"/>
                  <w:vAlign w:val="center"/>
                </w:tcPr>
                <w:p w14:paraId="27964A8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排放口名称</w:t>
                  </w:r>
                </w:p>
              </w:tc>
              <w:tc>
                <w:tcPr>
                  <w:tcW w:w="549" w:type="pct"/>
                  <w:shd w:val="clear" w:color="auto" w:fill="auto"/>
                  <w:noWrap w:val="0"/>
                  <w:vAlign w:val="center"/>
                </w:tcPr>
                <w:p w14:paraId="3B02C0A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排放口编号</w:t>
                  </w:r>
                </w:p>
              </w:tc>
              <w:tc>
                <w:tcPr>
                  <w:tcW w:w="605" w:type="pct"/>
                  <w:shd w:val="clear" w:color="auto" w:fill="auto"/>
                  <w:noWrap w:val="0"/>
                  <w:vAlign w:val="center"/>
                </w:tcPr>
                <w:p w14:paraId="2B45274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排气筒高度</w:t>
                  </w:r>
                </w:p>
                <w:p w14:paraId="27A477B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（m）</w:t>
                  </w:r>
                </w:p>
              </w:tc>
              <w:tc>
                <w:tcPr>
                  <w:tcW w:w="605" w:type="pct"/>
                  <w:shd w:val="clear" w:color="auto" w:fill="auto"/>
                  <w:noWrap w:val="0"/>
                  <w:vAlign w:val="center"/>
                </w:tcPr>
                <w:p w14:paraId="0776C3B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排气筒出口内</w:t>
                  </w:r>
                  <w:r>
                    <w:rPr>
                      <w:rFonts w:eastAsia="宋体"/>
                      <w:bCs/>
                      <w:w w:val="99"/>
                      <w:sz w:val="21"/>
                      <w:szCs w:val="21"/>
                      <w:u w:val="none"/>
                    </w:rPr>
                    <w:t>径</w:t>
                  </w:r>
                  <w:r>
                    <w:rPr>
                      <w:rFonts w:eastAsia="宋体"/>
                      <w:bCs/>
                      <w:sz w:val="21"/>
                      <w:szCs w:val="21"/>
                      <w:u w:val="none"/>
                    </w:rPr>
                    <w:t>（m）</w:t>
                  </w:r>
                </w:p>
              </w:tc>
            </w:tr>
            <w:tr w14:paraId="3680D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32CED24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煤输送转运</w:t>
                  </w:r>
                </w:p>
              </w:tc>
              <w:tc>
                <w:tcPr>
                  <w:tcW w:w="997" w:type="pct"/>
                  <w:shd w:val="clear" w:color="auto" w:fill="auto"/>
                  <w:noWrap w:val="0"/>
                  <w:vAlign w:val="center"/>
                </w:tcPr>
                <w:p w14:paraId="0BCBAE9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5A202DD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26DC826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1#转运站排气筒</w:t>
                  </w:r>
                </w:p>
              </w:tc>
              <w:tc>
                <w:tcPr>
                  <w:tcW w:w="549" w:type="pct"/>
                  <w:shd w:val="clear" w:color="auto" w:fill="auto"/>
                  <w:noWrap w:val="0"/>
                  <w:vAlign w:val="center"/>
                </w:tcPr>
                <w:p w14:paraId="5D77033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DA026</w:t>
                  </w:r>
                </w:p>
              </w:tc>
              <w:tc>
                <w:tcPr>
                  <w:tcW w:w="605" w:type="pct"/>
                  <w:shd w:val="clear" w:color="auto" w:fill="auto"/>
                  <w:noWrap w:val="0"/>
                  <w:vAlign w:val="center"/>
                </w:tcPr>
                <w:p w14:paraId="293CF17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19</w:t>
                  </w:r>
                </w:p>
              </w:tc>
              <w:tc>
                <w:tcPr>
                  <w:tcW w:w="605" w:type="pct"/>
                  <w:shd w:val="clear" w:color="auto" w:fill="auto"/>
                  <w:noWrap w:val="0"/>
                  <w:vAlign w:val="center"/>
                </w:tcPr>
                <w:p w14:paraId="14D0B46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0.6</w:t>
                  </w:r>
                </w:p>
              </w:tc>
            </w:tr>
            <w:tr w14:paraId="5109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5140771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3DDF092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40E57F2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561E2BA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2#转运站排气筒</w:t>
                  </w:r>
                </w:p>
              </w:tc>
              <w:tc>
                <w:tcPr>
                  <w:tcW w:w="549" w:type="pct"/>
                  <w:shd w:val="clear" w:color="auto" w:fill="auto"/>
                  <w:noWrap w:val="0"/>
                  <w:vAlign w:val="center"/>
                </w:tcPr>
                <w:p w14:paraId="5E52352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DA027</w:t>
                  </w:r>
                </w:p>
              </w:tc>
              <w:tc>
                <w:tcPr>
                  <w:tcW w:w="605" w:type="pct"/>
                  <w:shd w:val="clear" w:color="auto" w:fill="auto"/>
                  <w:noWrap w:val="0"/>
                  <w:vAlign w:val="center"/>
                </w:tcPr>
                <w:p w14:paraId="6F2F205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48</w:t>
                  </w:r>
                </w:p>
              </w:tc>
              <w:tc>
                <w:tcPr>
                  <w:tcW w:w="605" w:type="pct"/>
                  <w:shd w:val="clear" w:color="auto" w:fill="auto"/>
                  <w:noWrap w:val="0"/>
                  <w:vAlign w:val="center"/>
                </w:tcPr>
                <w:p w14:paraId="2C4722C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w:t>
                  </w:r>
                </w:p>
              </w:tc>
            </w:tr>
            <w:tr w14:paraId="0BCD3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1F48829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196BDCA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4E2F8B1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0C145FE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3#转运站排气筒</w:t>
                  </w:r>
                </w:p>
              </w:tc>
              <w:tc>
                <w:tcPr>
                  <w:tcW w:w="549" w:type="pct"/>
                  <w:shd w:val="clear" w:color="auto" w:fill="auto"/>
                  <w:noWrap w:val="0"/>
                  <w:vAlign w:val="center"/>
                </w:tcPr>
                <w:p w14:paraId="440B733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DA028</w:t>
                  </w:r>
                </w:p>
              </w:tc>
              <w:tc>
                <w:tcPr>
                  <w:tcW w:w="605" w:type="pct"/>
                  <w:shd w:val="clear" w:color="auto" w:fill="auto"/>
                  <w:noWrap w:val="0"/>
                  <w:vAlign w:val="center"/>
                </w:tcPr>
                <w:p w14:paraId="742AE07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15</w:t>
                  </w:r>
                </w:p>
              </w:tc>
              <w:tc>
                <w:tcPr>
                  <w:tcW w:w="605" w:type="pct"/>
                  <w:shd w:val="clear" w:color="auto" w:fill="auto"/>
                  <w:noWrap w:val="0"/>
                  <w:vAlign w:val="center"/>
                </w:tcPr>
                <w:p w14:paraId="667662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w:t>
                  </w:r>
                </w:p>
              </w:tc>
            </w:tr>
            <w:tr w14:paraId="6EED5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7A11312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0249020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53B43B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0C9E1B0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4#转运站排气筒</w:t>
                  </w:r>
                </w:p>
              </w:tc>
              <w:tc>
                <w:tcPr>
                  <w:tcW w:w="549" w:type="pct"/>
                  <w:shd w:val="clear" w:color="auto" w:fill="auto"/>
                  <w:noWrap w:val="0"/>
                  <w:vAlign w:val="center"/>
                </w:tcPr>
                <w:p w14:paraId="4EBA767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DA029</w:t>
                  </w:r>
                </w:p>
              </w:tc>
              <w:tc>
                <w:tcPr>
                  <w:tcW w:w="605" w:type="pct"/>
                  <w:shd w:val="clear" w:color="auto" w:fill="auto"/>
                  <w:noWrap w:val="0"/>
                  <w:vAlign w:val="center"/>
                </w:tcPr>
                <w:p w14:paraId="60D0C3D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16</w:t>
                  </w:r>
                </w:p>
              </w:tc>
              <w:tc>
                <w:tcPr>
                  <w:tcW w:w="605" w:type="pct"/>
                  <w:shd w:val="clear" w:color="auto" w:fill="auto"/>
                  <w:noWrap w:val="0"/>
                  <w:vAlign w:val="center"/>
                </w:tcPr>
                <w:p w14:paraId="731D800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w:t>
                  </w:r>
                </w:p>
              </w:tc>
            </w:tr>
            <w:tr w14:paraId="20593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276CA02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66D6911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1DFEC53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1E2389E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5#转运站排气筒</w:t>
                  </w:r>
                </w:p>
              </w:tc>
              <w:tc>
                <w:tcPr>
                  <w:tcW w:w="549" w:type="pct"/>
                  <w:shd w:val="clear" w:color="auto" w:fill="auto"/>
                  <w:noWrap w:val="0"/>
                  <w:vAlign w:val="center"/>
                </w:tcPr>
                <w:p w14:paraId="15276A5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DA030</w:t>
                  </w:r>
                </w:p>
              </w:tc>
              <w:tc>
                <w:tcPr>
                  <w:tcW w:w="605" w:type="pct"/>
                  <w:shd w:val="clear" w:color="auto" w:fill="auto"/>
                  <w:noWrap w:val="0"/>
                  <w:vAlign w:val="center"/>
                </w:tcPr>
                <w:p w14:paraId="265135B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33</w:t>
                  </w:r>
                </w:p>
              </w:tc>
              <w:tc>
                <w:tcPr>
                  <w:tcW w:w="605" w:type="pct"/>
                  <w:shd w:val="clear" w:color="auto" w:fill="auto"/>
                  <w:noWrap w:val="0"/>
                  <w:vAlign w:val="center"/>
                </w:tcPr>
                <w:p w14:paraId="08301DD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0.55</w:t>
                  </w:r>
                </w:p>
              </w:tc>
            </w:tr>
            <w:tr w14:paraId="155F7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114762F9">
                  <w:pPr>
                    <w:keepNext w:val="0"/>
                    <w:keepLines w:val="0"/>
                    <w:pageBreakBefore w:val="0"/>
                    <w:widowControl w:val="0"/>
                    <w:wordWrap/>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煤筒仓</w:t>
                  </w:r>
                </w:p>
              </w:tc>
              <w:tc>
                <w:tcPr>
                  <w:tcW w:w="997" w:type="pct"/>
                  <w:shd w:val="clear" w:color="auto" w:fill="auto"/>
                  <w:noWrap w:val="0"/>
                  <w:vAlign w:val="center"/>
                </w:tcPr>
                <w:p w14:paraId="288C08D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8D987C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5D38AD8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1#筒仓排气</w:t>
                  </w:r>
                  <w:r>
                    <w:rPr>
                      <w:rFonts w:eastAsia="宋体"/>
                      <w:bCs/>
                      <w:w w:val="99"/>
                      <w:sz w:val="21"/>
                      <w:szCs w:val="21"/>
                      <w:u w:val="none"/>
                    </w:rPr>
                    <w:t>筒</w:t>
                  </w:r>
                </w:p>
              </w:tc>
              <w:tc>
                <w:tcPr>
                  <w:tcW w:w="549" w:type="pct"/>
                  <w:shd w:val="clear" w:color="auto" w:fill="auto"/>
                  <w:noWrap w:val="0"/>
                  <w:vAlign w:val="center"/>
                </w:tcPr>
                <w:p w14:paraId="530A43C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DA022</w:t>
                  </w:r>
                </w:p>
              </w:tc>
              <w:tc>
                <w:tcPr>
                  <w:tcW w:w="605" w:type="pct"/>
                  <w:shd w:val="clear" w:color="auto" w:fill="auto"/>
                  <w:noWrap w:val="0"/>
                  <w:vAlign w:val="center"/>
                </w:tcPr>
                <w:p w14:paraId="068D194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63</w:t>
                  </w:r>
                </w:p>
              </w:tc>
              <w:tc>
                <w:tcPr>
                  <w:tcW w:w="605" w:type="pct"/>
                  <w:shd w:val="clear" w:color="auto" w:fill="auto"/>
                  <w:noWrap w:val="0"/>
                  <w:vAlign w:val="center"/>
                </w:tcPr>
                <w:p w14:paraId="25D7B2F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0.8</w:t>
                  </w:r>
                </w:p>
              </w:tc>
            </w:tr>
            <w:tr w14:paraId="28C20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017BC43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32ED28D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32857EA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7C41B8D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2#筒仓排气</w:t>
                  </w:r>
                  <w:r>
                    <w:rPr>
                      <w:rFonts w:eastAsia="宋体"/>
                      <w:bCs/>
                      <w:w w:val="99"/>
                      <w:sz w:val="21"/>
                      <w:szCs w:val="21"/>
                      <w:u w:val="none"/>
                    </w:rPr>
                    <w:t>筒</w:t>
                  </w:r>
                </w:p>
              </w:tc>
              <w:tc>
                <w:tcPr>
                  <w:tcW w:w="549" w:type="pct"/>
                  <w:shd w:val="clear" w:color="auto" w:fill="auto"/>
                  <w:noWrap w:val="0"/>
                  <w:vAlign w:val="center"/>
                </w:tcPr>
                <w:p w14:paraId="0AFB644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DA023</w:t>
                  </w:r>
                </w:p>
              </w:tc>
              <w:tc>
                <w:tcPr>
                  <w:tcW w:w="605" w:type="pct"/>
                  <w:shd w:val="clear" w:color="auto" w:fill="auto"/>
                  <w:noWrap w:val="0"/>
                  <w:vAlign w:val="center"/>
                </w:tcPr>
                <w:p w14:paraId="5F89C08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63</w:t>
                  </w:r>
                </w:p>
              </w:tc>
              <w:tc>
                <w:tcPr>
                  <w:tcW w:w="605" w:type="pct"/>
                  <w:shd w:val="clear" w:color="auto" w:fill="auto"/>
                  <w:noWrap w:val="0"/>
                  <w:vAlign w:val="center"/>
                </w:tcPr>
                <w:p w14:paraId="063EDEF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0.55</w:t>
                  </w:r>
                </w:p>
              </w:tc>
            </w:tr>
            <w:tr w14:paraId="0D1B7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4578BC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197A314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6CE64F5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7A59CA2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3#筒仓排气</w:t>
                  </w:r>
                  <w:r>
                    <w:rPr>
                      <w:rFonts w:eastAsia="宋体"/>
                      <w:bCs/>
                      <w:w w:val="99"/>
                      <w:sz w:val="21"/>
                      <w:szCs w:val="21"/>
                      <w:u w:val="none"/>
                    </w:rPr>
                    <w:t>筒</w:t>
                  </w:r>
                </w:p>
              </w:tc>
              <w:tc>
                <w:tcPr>
                  <w:tcW w:w="549" w:type="pct"/>
                  <w:shd w:val="clear" w:color="auto" w:fill="auto"/>
                  <w:noWrap w:val="0"/>
                  <w:vAlign w:val="center"/>
                </w:tcPr>
                <w:p w14:paraId="0B7C43F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DA024</w:t>
                  </w:r>
                </w:p>
              </w:tc>
              <w:tc>
                <w:tcPr>
                  <w:tcW w:w="605" w:type="pct"/>
                  <w:shd w:val="clear" w:color="auto" w:fill="auto"/>
                  <w:noWrap w:val="0"/>
                  <w:vAlign w:val="center"/>
                </w:tcPr>
                <w:p w14:paraId="5358154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63</w:t>
                  </w:r>
                </w:p>
              </w:tc>
              <w:tc>
                <w:tcPr>
                  <w:tcW w:w="605" w:type="pct"/>
                  <w:shd w:val="clear" w:color="auto" w:fill="auto"/>
                  <w:noWrap w:val="0"/>
                  <w:vAlign w:val="center"/>
                </w:tcPr>
                <w:p w14:paraId="6605FA1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0.55</w:t>
                  </w:r>
                </w:p>
              </w:tc>
            </w:tr>
            <w:tr w14:paraId="039D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27C410F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煤磨前煤仓</w:t>
                  </w:r>
                </w:p>
              </w:tc>
              <w:tc>
                <w:tcPr>
                  <w:tcW w:w="997" w:type="pct"/>
                  <w:shd w:val="clear" w:color="auto" w:fill="auto"/>
                  <w:noWrap w:val="0"/>
                  <w:vAlign w:val="center"/>
                </w:tcPr>
                <w:p w14:paraId="443CDFE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0467DC7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0E5A5AE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1#磨前煤仓排放口</w:t>
                  </w:r>
                </w:p>
              </w:tc>
              <w:tc>
                <w:tcPr>
                  <w:tcW w:w="549" w:type="pct"/>
                  <w:shd w:val="clear" w:color="auto" w:fill="auto"/>
                  <w:noWrap w:val="0"/>
                  <w:vAlign w:val="center"/>
                </w:tcPr>
                <w:p w14:paraId="33AF218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DA010</w:t>
                  </w:r>
                </w:p>
              </w:tc>
              <w:tc>
                <w:tcPr>
                  <w:tcW w:w="605" w:type="pct"/>
                  <w:shd w:val="clear" w:color="auto" w:fill="auto"/>
                  <w:noWrap w:val="0"/>
                  <w:vAlign w:val="center"/>
                </w:tcPr>
                <w:p w14:paraId="3401D96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0863A96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78EE1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55C183F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5DA4E8D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6579139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6F4581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2#磨前煤仓排放口</w:t>
                  </w:r>
                </w:p>
              </w:tc>
              <w:tc>
                <w:tcPr>
                  <w:tcW w:w="549" w:type="pct"/>
                  <w:shd w:val="clear" w:color="auto" w:fill="auto"/>
                  <w:noWrap w:val="0"/>
                  <w:vAlign w:val="center"/>
                </w:tcPr>
                <w:p w14:paraId="5586EE0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DA012</w:t>
                  </w:r>
                </w:p>
              </w:tc>
              <w:tc>
                <w:tcPr>
                  <w:tcW w:w="605" w:type="pct"/>
                  <w:shd w:val="clear" w:color="auto" w:fill="auto"/>
                  <w:noWrap w:val="0"/>
                  <w:vAlign w:val="center"/>
                </w:tcPr>
                <w:p w14:paraId="27E357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3A7F337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02735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21AEC14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1BDE518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6A84FF2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611D31C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3#磨前煤仓排放口</w:t>
                  </w:r>
                </w:p>
              </w:tc>
              <w:tc>
                <w:tcPr>
                  <w:tcW w:w="549" w:type="pct"/>
                  <w:shd w:val="clear" w:color="auto" w:fill="auto"/>
                  <w:noWrap w:val="0"/>
                  <w:vAlign w:val="center"/>
                </w:tcPr>
                <w:p w14:paraId="2955DCC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DA014</w:t>
                  </w:r>
                </w:p>
              </w:tc>
              <w:tc>
                <w:tcPr>
                  <w:tcW w:w="605" w:type="pct"/>
                  <w:shd w:val="clear" w:color="auto" w:fill="auto"/>
                  <w:noWrap w:val="0"/>
                  <w:vAlign w:val="center"/>
                </w:tcPr>
                <w:p w14:paraId="05BCA44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467AB1B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66F50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7676763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7592FFE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DB049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15B2485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4#磨前煤仓排放口</w:t>
                  </w:r>
                </w:p>
              </w:tc>
              <w:tc>
                <w:tcPr>
                  <w:tcW w:w="549" w:type="pct"/>
                  <w:shd w:val="clear" w:color="auto" w:fill="auto"/>
                  <w:noWrap w:val="0"/>
                  <w:vAlign w:val="center"/>
                </w:tcPr>
                <w:p w14:paraId="6221843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DA016</w:t>
                  </w:r>
                </w:p>
              </w:tc>
              <w:tc>
                <w:tcPr>
                  <w:tcW w:w="605" w:type="pct"/>
                  <w:shd w:val="clear" w:color="auto" w:fill="auto"/>
                  <w:noWrap w:val="0"/>
                  <w:vAlign w:val="center"/>
                </w:tcPr>
                <w:p w14:paraId="0763A82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2769345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491F4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7B564B6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46395E8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6C3C6F6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3321A27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5#磨前煤仓排放口</w:t>
                  </w:r>
                </w:p>
              </w:tc>
              <w:tc>
                <w:tcPr>
                  <w:tcW w:w="549" w:type="pct"/>
                  <w:shd w:val="clear" w:color="auto" w:fill="auto"/>
                  <w:noWrap w:val="0"/>
                  <w:vAlign w:val="center"/>
                </w:tcPr>
                <w:p w14:paraId="01786CF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DA018</w:t>
                  </w:r>
                </w:p>
              </w:tc>
              <w:tc>
                <w:tcPr>
                  <w:tcW w:w="605" w:type="pct"/>
                  <w:shd w:val="clear" w:color="auto" w:fill="auto"/>
                  <w:noWrap w:val="0"/>
                  <w:vAlign w:val="center"/>
                </w:tcPr>
                <w:p w14:paraId="420D9AD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4ACD2DA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0F151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02F4B0E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19504DF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2E77D3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51B99E8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6#磨前煤仓排放口</w:t>
                  </w:r>
                </w:p>
              </w:tc>
              <w:tc>
                <w:tcPr>
                  <w:tcW w:w="549" w:type="pct"/>
                  <w:shd w:val="clear" w:color="auto" w:fill="auto"/>
                  <w:noWrap w:val="0"/>
                  <w:vAlign w:val="center"/>
                </w:tcPr>
                <w:p w14:paraId="2BF33F2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DA020</w:t>
                  </w:r>
                </w:p>
              </w:tc>
              <w:tc>
                <w:tcPr>
                  <w:tcW w:w="605" w:type="pct"/>
                  <w:shd w:val="clear" w:color="auto" w:fill="auto"/>
                  <w:noWrap w:val="0"/>
                  <w:vAlign w:val="center"/>
                </w:tcPr>
                <w:p w14:paraId="5C2F529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0ACF8B9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0.2</w:t>
                  </w:r>
                </w:p>
              </w:tc>
            </w:tr>
            <w:tr w14:paraId="29829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0339DD0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磨煤干燥</w:t>
                  </w:r>
                </w:p>
              </w:tc>
              <w:tc>
                <w:tcPr>
                  <w:tcW w:w="997" w:type="pct"/>
                  <w:shd w:val="clear" w:color="auto" w:fill="auto"/>
                  <w:noWrap w:val="0"/>
                  <w:vAlign w:val="center"/>
                </w:tcPr>
                <w:p w14:paraId="096A581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颗粒物</w:t>
                  </w:r>
                </w:p>
              </w:tc>
              <w:tc>
                <w:tcPr>
                  <w:tcW w:w="605" w:type="pct"/>
                  <w:shd w:val="clear" w:color="auto" w:fill="auto"/>
                  <w:noWrap w:val="0"/>
                  <w:vAlign w:val="center"/>
                </w:tcPr>
                <w:p w14:paraId="0ECE515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布袋除尘</w:t>
                  </w:r>
                </w:p>
              </w:tc>
              <w:tc>
                <w:tcPr>
                  <w:tcW w:w="1164" w:type="pct"/>
                  <w:shd w:val="clear" w:color="auto" w:fill="auto"/>
                  <w:noWrap w:val="0"/>
                  <w:vAlign w:val="center"/>
                </w:tcPr>
                <w:p w14:paraId="4FF19A3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华谊炉2#粉煤贮罐排放口</w:t>
                  </w:r>
                </w:p>
              </w:tc>
              <w:tc>
                <w:tcPr>
                  <w:tcW w:w="549" w:type="pct"/>
                  <w:shd w:val="clear" w:color="auto" w:fill="auto"/>
                  <w:noWrap w:val="0"/>
                  <w:vAlign w:val="center"/>
                </w:tcPr>
                <w:p w14:paraId="52A497E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DA046</w:t>
                  </w:r>
                </w:p>
              </w:tc>
              <w:tc>
                <w:tcPr>
                  <w:tcW w:w="605" w:type="pct"/>
                  <w:shd w:val="clear" w:color="auto" w:fill="auto"/>
                  <w:noWrap w:val="0"/>
                  <w:vAlign w:val="center"/>
                </w:tcPr>
                <w:p w14:paraId="4AE6551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100</w:t>
                  </w:r>
                </w:p>
              </w:tc>
              <w:tc>
                <w:tcPr>
                  <w:tcW w:w="605" w:type="pct"/>
                  <w:shd w:val="clear" w:color="auto" w:fill="auto"/>
                  <w:noWrap w:val="0"/>
                  <w:vAlign w:val="center"/>
                </w:tcPr>
                <w:p w14:paraId="09FC317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0.5</w:t>
                  </w:r>
                </w:p>
              </w:tc>
            </w:tr>
            <w:tr w14:paraId="295F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3312890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26CA52B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颗粒物</w:t>
                  </w:r>
                </w:p>
              </w:tc>
              <w:tc>
                <w:tcPr>
                  <w:tcW w:w="605" w:type="pct"/>
                  <w:shd w:val="clear" w:color="auto" w:fill="auto"/>
                  <w:noWrap w:val="0"/>
                  <w:vAlign w:val="center"/>
                </w:tcPr>
                <w:p w14:paraId="25405F6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布袋除尘</w:t>
                  </w:r>
                </w:p>
              </w:tc>
              <w:tc>
                <w:tcPr>
                  <w:tcW w:w="1164" w:type="pct"/>
                  <w:shd w:val="clear" w:color="auto" w:fill="auto"/>
                  <w:noWrap w:val="0"/>
                  <w:vAlign w:val="center"/>
                </w:tcPr>
                <w:p w14:paraId="7743D6F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u w:val="none"/>
                    </w:rPr>
                    <w:t>华谊炉2#粉煤贮罐排放口</w:t>
                  </w:r>
                </w:p>
              </w:tc>
              <w:tc>
                <w:tcPr>
                  <w:tcW w:w="549" w:type="pct"/>
                  <w:shd w:val="clear" w:color="auto" w:fill="auto"/>
                  <w:noWrap w:val="0"/>
                  <w:vAlign w:val="center"/>
                </w:tcPr>
                <w:p w14:paraId="0570AFD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DA047</w:t>
                  </w:r>
                </w:p>
              </w:tc>
              <w:tc>
                <w:tcPr>
                  <w:tcW w:w="605" w:type="pct"/>
                  <w:shd w:val="clear" w:color="auto" w:fill="auto"/>
                  <w:noWrap w:val="0"/>
                  <w:vAlign w:val="center"/>
                </w:tcPr>
                <w:p w14:paraId="6E8C668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100</w:t>
                  </w:r>
                </w:p>
              </w:tc>
              <w:tc>
                <w:tcPr>
                  <w:tcW w:w="605" w:type="pct"/>
                  <w:shd w:val="clear" w:color="auto" w:fill="auto"/>
                  <w:noWrap w:val="0"/>
                  <w:vAlign w:val="center"/>
                </w:tcPr>
                <w:p w14:paraId="77E23B5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0.5</w:t>
                  </w:r>
                </w:p>
              </w:tc>
            </w:tr>
            <w:tr w14:paraId="3A258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FBBD8A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74A178C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00D8501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6C43D73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1#磨煤干燥尾气排气筒</w:t>
                  </w:r>
                </w:p>
              </w:tc>
              <w:tc>
                <w:tcPr>
                  <w:tcW w:w="549" w:type="pct"/>
                  <w:shd w:val="clear" w:color="auto" w:fill="auto"/>
                  <w:noWrap w:val="0"/>
                  <w:vAlign w:val="center"/>
                </w:tcPr>
                <w:p w14:paraId="55BC22C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DA004</w:t>
                  </w:r>
                </w:p>
              </w:tc>
              <w:tc>
                <w:tcPr>
                  <w:tcW w:w="605" w:type="pct"/>
                  <w:shd w:val="clear" w:color="auto" w:fill="auto"/>
                  <w:noWrap w:val="0"/>
                  <w:vAlign w:val="center"/>
                </w:tcPr>
                <w:p w14:paraId="7888FF0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65</w:t>
                  </w:r>
                </w:p>
              </w:tc>
              <w:tc>
                <w:tcPr>
                  <w:tcW w:w="605" w:type="pct"/>
                  <w:shd w:val="clear" w:color="auto" w:fill="auto"/>
                  <w:noWrap w:val="0"/>
                  <w:vAlign w:val="center"/>
                </w:tcPr>
                <w:p w14:paraId="6766D6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1.08</w:t>
                  </w:r>
                </w:p>
              </w:tc>
            </w:tr>
            <w:tr w14:paraId="4DAE7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3F91619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79C21D5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4C6B58C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4880E8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2#磨煤干燥尾气排气筒</w:t>
                  </w:r>
                </w:p>
              </w:tc>
              <w:tc>
                <w:tcPr>
                  <w:tcW w:w="549" w:type="pct"/>
                  <w:shd w:val="clear" w:color="auto" w:fill="auto"/>
                  <w:noWrap w:val="0"/>
                  <w:vAlign w:val="center"/>
                </w:tcPr>
                <w:p w14:paraId="588F22B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DA005</w:t>
                  </w:r>
                </w:p>
              </w:tc>
              <w:tc>
                <w:tcPr>
                  <w:tcW w:w="605" w:type="pct"/>
                  <w:shd w:val="clear" w:color="auto" w:fill="auto"/>
                  <w:noWrap w:val="0"/>
                  <w:vAlign w:val="center"/>
                </w:tcPr>
                <w:p w14:paraId="31A2450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65</w:t>
                  </w:r>
                </w:p>
              </w:tc>
              <w:tc>
                <w:tcPr>
                  <w:tcW w:w="605" w:type="pct"/>
                  <w:shd w:val="clear" w:color="auto" w:fill="auto"/>
                  <w:noWrap w:val="0"/>
                  <w:vAlign w:val="center"/>
                </w:tcPr>
                <w:p w14:paraId="3C0206A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1.08</w:t>
                  </w:r>
                </w:p>
              </w:tc>
            </w:tr>
            <w:tr w14:paraId="62E18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87657B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33B49BE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1DF1E1A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4B998B4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3#磨煤干燥尾气排气筒</w:t>
                  </w:r>
                </w:p>
              </w:tc>
              <w:tc>
                <w:tcPr>
                  <w:tcW w:w="549" w:type="pct"/>
                  <w:shd w:val="clear" w:color="auto" w:fill="auto"/>
                  <w:noWrap w:val="0"/>
                  <w:vAlign w:val="center"/>
                </w:tcPr>
                <w:p w14:paraId="41D2734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DA006</w:t>
                  </w:r>
                </w:p>
              </w:tc>
              <w:tc>
                <w:tcPr>
                  <w:tcW w:w="605" w:type="pct"/>
                  <w:shd w:val="clear" w:color="auto" w:fill="auto"/>
                  <w:noWrap w:val="0"/>
                  <w:vAlign w:val="center"/>
                </w:tcPr>
                <w:p w14:paraId="5C6E166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65</w:t>
                  </w:r>
                </w:p>
              </w:tc>
              <w:tc>
                <w:tcPr>
                  <w:tcW w:w="605" w:type="pct"/>
                  <w:shd w:val="clear" w:color="auto" w:fill="auto"/>
                  <w:noWrap w:val="0"/>
                  <w:vAlign w:val="center"/>
                </w:tcPr>
                <w:p w14:paraId="19F2FB5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1.08</w:t>
                  </w:r>
                </w:p>
              </w:tc>
            </w:tr>
            <w:tr w14:paraId="2060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8ECDB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021FA45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04418F3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1A58A4D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4#磨煤干燥尾气排气筒</w:t>
                  </w:r>
                </w:p>
              </w:tc>
              <w:tc>
                <w:tcPr>
                  <w:tcW w:w="549" w:type="pct"/>
                  <w:shd w:val="clear" w:color="auto" w:fill="auto"/>
                  <w:noWrap w:val="0"/>
                  <w:vAlign w:val="center"/>
                </w:tcPr>
                <w:p w14:paraId="0EDB403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DA007</w:t>
                  </w:r>
                </w:p>
              </w:tc>
              <w:tc>
                <w:tcPr>
                  <w:tcW w:w="605" w:type="pct"/>
                  <w:shd w:val="clear" w:color="auto" w:fill="auto"/>
                  <w:noWrap w:val="0"/>
                  <w:vAlign w:val="center"/>
                </w:tcPr>
                <w:p w14:paraId="09800A7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65</w:t>
                  </w:r>
                </w:p>
              </w:tc>
              <w:tc>
                <w:tcPr>
                  <w:tcW w:w="605" w:type="pct"/>
                  <w:shd w:val="clear" w:color="auto" w:fill="auto"/>
                  <w:noWrap w:val="0"/>
                  <w:vAlign w:val="center"/>
                </w:tcPr>
                <w:p w14:paraId="6B2D8CA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1.08</w:t>
                  </w:r>
                </w:p>
              </w:tc>
            </w:tr>
            <w:tr w14:paraId="707EF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3E58758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5479C6F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412294D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1078C0A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5#磨煤干燥尾气排气筒</w:t>
                  </w:r>
                </w:p>
              </w:tc>
              <w:tc>
                <w:tcPr>
                  <w:tcW w:w="549" w:type="pct"/>
                  <w:shd w:val="clear" w:color="auto" w:fill="auto"/>
                  <w:noWrap w:val="0"/>
                  <w:vAlign w:val="center"/>
                </w:tcPr>
                <w:p w14:paraId="7C2498F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DA008</w:t>
                  </w:r>
                </w:p>
              </w:tc>
              <w:tc>
                <w:tcPr>
                  <w:tcW w:w="605" w:type="pct"/>
                  <w:shd w:val="clear" w:color="auto" w:fill="auto"/>
                  <w:noWrap w:val="0"/>
                  <w:vAlign w:val="center"/>
                </w:tcPr>
                <w:p w14:paraId="5A32FC7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65</w:t>
                  </w:r>
                </w:p>
              </w:tc>
              <w:tc>
                <w:tcPr>
                  <w:tcW w:w="605" w:type="pct"/>
                  <w:shd w:val="clear" w:color="auto" w:fill="auto"/>
                  <w:noWrap w:val="0"/>
                  <w:vAlign w:val="center"/>
                </w:tcPr>
                <w:p w14:paraId="1EFFB94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1.08</w:t>
                  </w:r>
                </w:p>
              </w:tc>
            </w:tr>
            <w:tr w14:paraId="164C0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399381F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6B752BF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颗粒物、氮氧化物</w:t>
                  </w:r>
                </w:p>
              </w:tc>
              <w:tc>
                <w:tcPr>
                  <w:tcW w:w="605" w:type="pct"/>
                  <w:shd w:val="clear" w:color="auto" w:fill="auto"/>
                  <w:noWrap w:val="0"/>
                  <w:vAlign w:val="center"/>
                </w:tcPr>
                <w:p w14:paraId="6813926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68C43AA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6#磨煤干燥尾气排气筒</w:t>
                  </w:r>
                </w:p>
              </w:tc>
              <w:tc>
                <w:tcPr>
                  <w:tcW w:w="549" w:type="pct"/>
                  <w:shd w:val="clear" w:color="auto" w:fill="auto"/>
                  <w:noWrap w:val="0"/>
                  <w:vAlign w:val="center"/>
                </w:tcPr>
                <w:p w14:paraId="475F5AB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DA009</w:t>
                  </w:r>
                </w:p>
              </w:tc>
              <w:tc>
                <w:tcPr>
                  <w:tcW w:w="605" w:type="pct"/>
                  <w:shd w:val="clear" w:color="auto" w:fill="auto"/>
                  <w:noWrap w:val="0"/>
                  <w:vAlign w:val="center"/>
                </w:tcPr>
                <w:p w14:paraId="353E197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65</w:t>
                  </w:r>
                </w:p>
              </w:tc>
              <w:tc>
                <w:tcPr>
                  <w:tcW w:w="605" w:type="pct"/>
                  <w:shd w:val="clear" w:color="auto" w:fill="auto"/>
                  <w:noWrap w:val="0"/>
                  <w:vAlign w:val="center"/>
                </w:tcPr>
                <w:p w14:paraId="749AB81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1.08</w:t>
                  </w:r>
                </w:p>
              </w:tc>
            </w:tr>
            <w:tr w14:paraId="1E4B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600F30A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煤加压</w:t>
                  </w:r>
                </w:p>
              </w:tc>
              <w:tc>
                <w:tcPr>
                  <w:tcW w:w="997" w:type="pct"/>
                  <w:shd w:val="clear" w:color="auto" w:fill="auto"/>
                  <w:noWrap w:val="0"/>
                  <w:vAlign w:val="center"/>
                </w:tcPr>
                <w:p w14:paraId="39501C5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颗粒物、甲醇、硫化氢</w:t>
                  </w:r>
                </w:p>
              </w:tc>
              <w:tc>
                <w:tcPr>
                  <w:tcW w:w="605" w:type="pct"/>
                  <w:shd w:val="clear" w:color="auto" w:fill="auto"/>
                  <w:noWrap w:val="0"/>
                  <w:vAlign w:val="center"/>
                </w:tcPr>
                <w:p w14:paraId="3F48030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210C65D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1#煤加压尾气排气筒</w:t>
                  </w:r>
                </w:p>
              </w:tc>
              <w:tc>
                <w:tcPr>
                  <w:tcW w:w="549" w:type="pct"/>
                  <w:shd w:val="clear" w:color="auto" w:fill="auto"/>
                  <w:noWrap w:val="0"/>
                  <w:vAlign w:val="center"/>
                </w:tcPr>
                <w:p w14:paraId="3F0573E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DA011</w:t>
                  </w:r>
                </w:p>
              </w:tc>
              <w:tc>
                <w:tcPr>
                  <w:tcW w:w="605" w:type="pct"/>
                  <w:shd w:val="clear" w:color="auto" w:fill="auto"/>
                  <w:noWrap w:val="0"/>
                  <w:vAlign w:val="center"/>
                </w:tcPr>
                <w:p w14:paraId="0827633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75</w:t>
                  </w:r>
                </w:p>
              </w:tc>
              <w:tc>
                <w:tcPr>
                  <w:tcW w:w="605" w:type="pct"/>
                  <w:shd w:val="clear" w:color="auto" w:fill="auto"/>
                  <w:noWrap w:val="0"/>
                  <w:vAlign w:val="center"/>
                </w:tcPr>
                <w:p w14:paraId="1FF008F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0.98</w:t>
                  </w:r>
                </w:p>
              </w:tc>
            </w:tr>
            <w:tr w14:paraId="5F931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2F4DB8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13CA617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颗粒物、甲醇、硫化氢</w:t>
                  </w:r>
                </w:p>
              </w:tc>
              <w:tc>
                <w:tcPr>
                  <w:tcW w:w="605" w:type="pct"/>
                  <w:shd w:val="clear" w:color="auto" w:fill="auto"/>
                  <w:noWrap w:val="0"/>
                  <w:vAlign w:val="center"/>
                </w:tcPr>
                <w:p w14:paraId="3F05563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0179575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2#煤加压尾气排气筒</w:t>
                  </w:r>
                </w:p>
              </w:tc>
              <w:tc>
                <w:tcPr>
                  <w:tcW w:w="549" w:type="pct"/>
                  <w:shd w:val="clear" w:color="auto" w:fill="auto"/>
                  <w:noWrap w:val="0"/>
                  <w:vAlign w:val="center"/>
                </w:tcPr>
                <w:p w14:paraId="55CD142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DA013</w:t>
                  </w:r>
                </w:p>
              </w:tc>
              <w:tc>
                <w:tcPr>
                  <w:tcW w:w="605" w:type="pct"/>
                  <w:shd w:val="clear" w:color="auto" w:fill="auto"/>
                  <w:noWrap w:val="0"/>
                  <w:vAlign w:val="center"/>
                </w:tcPr>
                <w:p w14:paraId="67EEA12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75</w:t>
                  </w:r>
                </w:p>
              </w:tc>
              <w:tc>
                <w:tcPr>
                  <w:tcW w:w="605" w:type="pct"/>
                  <w:shd w:val="clear" w:color="auto" w:fill="auto"/>
                  <w:noWrap w:val="0"/>
                  <w:vAlign w:val="center"/>
                </w:tcPr>
                <w:p w14:paraId="10F6534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0.98</w:t>
                  </w:r>
                </w:p>
              </w:tc>
            </w:tr>
            <w:tr w14:paraId="504F4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55A7977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0EE5832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颗粒物、甲醇、硫化氢</w:t>
                  </w:r>
                </w:p>
              </w:tc>
              <w:tc>
                <w:tcPr>
                  <w:tcW w:w="605" w:type="pct"/>
                  <w:shd w:val="clear" w:color="auto" w:fill="auto"/>
                  <w:noWrap w:val="0"/>
                  <w:vAlign w:val="center"/>
                </w:tcPr>
                <w:p w14:paraId="1308B9A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7CC61C3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3#煤加压尾气排气筒</w:t>
                  </w:r>
                </w:p>
              </w:tc>
              <w:tc>
                <w:tcPr>
                  <w:tcW w:w="549" w:type="pct"/>
                  <w:shd w:val="clear" w:color="auto" w:fill="auto"/>
                  <w:noWrap w:val="0"/>
                  <w:vAlign w:val="center"/>
                </w:tcPr>
                <w:p w14:paraId="522327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DA015</w:t>
                  </w:r>
                </w:p>
              </w:tc>
              <w:tc>
                <w:tcPr>
                  <w:tcW w:w="605" w:type="pct"/>
                  <w:shd w:val="clear" w:color="auto" w:fill="auto"/>
                  <w:noWrap w:val="0"/>
                  <w:vAlign w:val="center"/>
                </w:tcPr>
                <w:p w14:paraId="5E0074A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75</w:t>
                  </w:r>
                </w:p>
              </w:tc>
              <w:tc>
                <w:tcPr>
                  <w:tcW w:w="605" w:type="pct"/>
                  <w:shd w:val="clear" w:color="auto" w:fill="auto"/>
                  <w:noWrap w:val="0"/>
                  <w:vAlign w:val="center"/>
                </w:tcPr>
                <w:p w14:paraId="3B4A934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0.98</w:t>
                  </w:r>
                </w:p>
              </w:tc>
            </w:tr>
            <w:tr w14:paraId="1312D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7C365CB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784815D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颗粒物、甲醇、硫化氢</w:t>
                  </w:r>
                </w:p>
              </w:tc>
              <w:tc>
                <w:tcPr>
                  <w:tcW w:w="605" w:type="pct"/>
                  <w:shd w:val="clear" w:color="auto" w:fill="auto"/>
                  <w:noWrap w:val="0"/>
                  <w:vAlign w:val="center"/>
                </w:tcPr>
                <w:p w14:paraId="6CBF28F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66795C1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4#煤加压尾气排气筒</w:t>
                  </w:r>
                </w:p>
              </w:tc>
              <w:tc>
                <w:tcPr>
                  <w:tcW w:w="549" w:type="pct"/>
                  <w:shd w:val="clear" w:color="auto" w:fill="auto"/>
                  <w:noWrap w:val="0"/>
                  <w:vAlign w:val="center"/>
                </w:tcPr>
                <w:p w14:paraId="3803FE0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DA017</w:t>
                  </w:r>
                </w:p>
              </w:tc>
              <w:tc>
                <w:tcPr>
                  <w:tcW w:w="605" w:type="pct"/>
                  <w:shd w:val="clear" w:color="auto" w:fill="auto"/>
                  <w:noWrap w:val="0"/>
                  <w:vAlign w:val="center"/>
                </w:tcPr>
                <w:p w14:paraId="422FAA9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75</w:t>
                  </w:r>
                </w:p>
              </w:tc>
              <w:tc>
                <w:tcPr>
                  <w:tcW w:w="605" w:type="pct"/>
                  <w:shd w:val="clear" w:color="auto" w:fill="auto"/>
                  <w:noWrap w:val="0"/>
                  <w:vAlign w:val="center"/>
                </w:tcPr>
                <w:p w14:paraId="1D53B6F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0.98</w:t>
                  </w:r>
                </w:p>
              </w:tc>
            </w:tr>
            <w:tr w14:paraId="5391D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1E4FF62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361CC29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颗粒物、甲醇、硫化氢</w:t>
                  </w:r>
                </w:p>
              </w:tc>
              <w:tc>
                <w:tcPr>
                  <w:tcW w:w="605" w:type="pct"/>
                  <w:shd w:val="clear" w:color="auto" w:fill="auto"/>
                  <w:noWrap w:val="0"/>
                  <w:vAlign w:val="center"/>
                </w:tcPr>
                <w:p w14:paraId="44AE505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30A5EDC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5#煤加压尾气排气筒</w:t>
                  </w:r>
                </w:p>
              </w:tc>
              <w:tc>
                <w:tcPr>
                  <w:tcW w:w="549" w:type="pct"/>
                  <w:shd w:val="clear" w:color="auto" w:fill="auto"/>
                  <w:noWrap w:val="0"/>
                  <w:vAlign w:val="center"/>
                </w:tcPr>
                <w:p w14:paraId="2A77B2B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DA019</w:t>
                  </w:r>
                </w:p>
              </w:tc>
              <w:tc>
                <w:tcPr>
                  <w:tcW w:w="605" w:type="pct"/>
                  <w:shd w:val="clear" w:color="auto" w:fill="auto"/>
                  <w:noWrap w:val="0"/>
                  <w:vAlign w:val="center"/>
                </w:tcPr>
                <w:p w14:paraId="21E0AA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75</w:t>
                  </w:r>
                </w:p>
              </w:tc>
              <w:tc>
                <w:tcPr>
                  <w:tcW w:w="605" w:type="pct"/>
                  <w:shd w:val="clear" w:color="auto" w:fill="auto"/>
                  <w:noWrap w:val="0"/>
                  <w:vAlign w:val="center"/>
                </w:tcPr>
                <w:p w14:paraId="2053E36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0.98</w:t>
                  </w:r>
                </w:p>
              </w:tc>
            </w:tr>
            <w:tr w14:paraId="73B84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59F8702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7825A53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039A5A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布袋除尘</w:t>
                  </w:r>
                </w:p>
              </w:tc>
              <w:tc>
                <w:tcPr>
                  <w:tcW w:w="1164" w:type="pct"/>
                  <w:shd w:val="clear" w:color="auto" w:fill="auto"/>
                  <w:noWrap w:val="0"/>
                  <w:vAlign w:val="center"/>
                </w:tcPr>
                <w:p w14:paraId="296FA47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 xml:space="preserve">华谊炉1#煤加压尾气排气筒 </w:t>
                  </w:r>
                </w:p>
              </w:tc>
              <w:tc>
                <w:tcPr>
                  <w:tcW w:w="549" w:type="pct"/>
                  <w:shd w:val="clear" w:color="auto" w:fill="auto"/>
                  <w:noWrap w:val="0"/>
                  <w:vAlign w:val="center"/>
                </w:tcPr>
                <w:p w14:paraId="621E5C8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DA002</w:t>
                  </w:r>
                </w:p>
              </w:tc>
              <w:tc>
                <w:tcPr>
                  <w:tcW w:w="605" w:type="pct"/>
                  <w:shd w:val="clear" w:color="auto" w:fill="auto"/>
                  <w:noWrap w:val="0"/>
                  <w:vAlign w:val="center"/>
                </w:tcPr>
                <w:p w14:paraId="0FC8871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106</w:t>
                  </w:r>
                </w:p>
              </w:tc>
              <w:tc>
                <w:tcPr>
                  <w:tcW w:w="605" w:type="pct"/>
                  <w:shd w:val="clear" w:color="auto" w:fill="auto"/>
                  <w:noWrap w:val="0"/>
                  <w:vAlign w:val="center"/>
                </w:tcPr>
                <w:p w14:paraId="0AC03A7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0.98</w:t>
                  </w:r>
                </w:p>
              </w:tc>
            </w:tr>
            <w:tr w14:paraId="413BC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55E86F2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3822522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1C98B1C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布袋除尘</w:t>
                  </w:r>
                </w:p>
              </w:tc>
              <w:tc>
                <w:tcPr>
                  <w:tcW w:w="1164" w:type="pct"/>
                  <w:shd w:val="clear" w:color="auto" w:fill="auto"/>
                  <w:noWrap w:val="0"/>
                  <w:vAlign w:val="center"/>
                </w:tcPr>
                <w:p w14:paraId="68115C3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华谊炉2#煤加压尾气排气筒</w:t>
                  </w:r>
                </w:p>
              </w:tc>
              <w:tc>
                <w:tcPr>
                  <w:tcW w:w="549" w:type="pct"/>
                  <w:shd w:val="clear" w:color="auto" w:fill="auto"/>
                  <w:noWrap w:val="0"/>
                  <w:vAlign w:val="center"/>
                </w:tcPr>
                <w:p w14:paraId="585EC76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DA003</w:t>
                  </w:r>
                </w:p>
              </w:tc>
              <w:tc>
                <w:tcPr>
                  <w:tcW w:w="605" w:type="pct"/>
                  <w:shd w:val="clear" w:color="auto" w:fill="auto"/>
                  <w:noWrap w:val="0"/>
                  <w:vAlign w:val="center"/>
                </w:tcPr>
                <w:p w14:paraId="2A24B7C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106</w:t>
                  </w:r>
                </w:p>
              </w:tc>
              <w:tc>
                <w:tcPr>
                  <w:tcW w:w="605" w:type="pct"/>
                  <w:shd w:val="clear" w:color="auto" w:fill="auto"/>
                  <w:noWrap w:val="0"/>
                  <w:vAlign w:val="center"/>
                </w:tcPr>
                <w:p w14:paraId="5BBAF70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0.98</w:t>
                  </w:r>
                </w:p>
              </w:tc>
            </w:tr>
            <w:tr w14:paraId="1AEB4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shd w:val="clear" w:color="auto" w:fill="auto"/>
                  <w:noWrap w:val="0"/>
                  <w:vAlign w:val="center"/>
                </w:tcPr>
                <w:p w14:paraId="7ABF24B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灰渣干燥</w:t>
                  </w:r>
                </w:p>
              </w:tc>
              <w:tc>
                <w:tcPr>
                  <w:tcW w:w="997" w:type="pct"/>
                  <w:shd w:val="clear" w:color="auto" w:fill="auto"/>
                  <w:noWrap w:val="0"/>
                  <w:vAlign w:val="center"/>
                </w:tcPr>
                <w:p w14:paraId="4488082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颗粒物</w:t>
                  </w:r>
                </w:p>
              </w:tc>
              <w:tc>
                <w:tcPr>
                  <w:tcW w:w="605" w:type="pct"/>
                  <w:shd w:val="clear" w:color="auto" w:fill="auto"/>
                  <w:noWrap w:val="0"/>
                  <w:vAlign w:val="center"/>
                </w:tcPr>
                <w:p w14:paraId="25C7C26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hint="eastAsia" w:eastAsia="宋体"/>
                      <w:bCs/>
                      <w:sz w:val="21"/>
                      <w:szCs w:val="21"/>
                      <w:u w:val="none"/>
                    </w:rPr>
                    <w:t>水洗</w:t>
                  </w:r>
                  <w:r>
                    <w:rPr>
                      <w:rFonts w:eastAsia="宋体"/>
                      <w:bCs/>
                      <w:sz w:val="21"/>
                      <w:szCs w:val="21"/>
                      <w:u w:val="none"/>
                    </w:rPr>
                    <w:t>除尘</w:t>
                  </w:r>
                </w:p>
              </w:tc>
              <w:tc>
                <w:tcPr>
                  <w:tcW w:w="1164" w:type="pct"/>
                  <w:shd w:val="clear" w:color="auto" w:fill="auto"/>
                  <w:noWrap w:val="0"/>
                  <w:vAlign w:val="center"/>
                </w:tcPr>
                <w:p w14:paraId="6D0B5B1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灰渣干燥尾排放口</w:t>
                  </w:r>
                </w:p>
              </w:tc>
              <w:tc>
                <w:tcPr>
                  <w:tcW w:w="549" w:type="pct"/>
                  <w:shd w:val="clear" w:color="auto" w:fill="auto"/>
                  <w:noWrap w:val="0"/>
                  <w:vAlign w:val="center"/>
                </w:tcPr>
                <w:p w14:paraId="74B80A7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DA025</w:t>
                  </w:r>
                </w:p>
              </w:tc>
              <w:tc>
                <w:tcPr>
                  <w:tcW w:w="605" w:type="pct"/>
                  <w:shd w:val="clear" w:color="auto" w:fill="auto"/>
                  <w:noWrap w:val="0"/>
                  <w:vAlign w:val="center"/>
                </w:tcPr>
                <w:p w14:paraId="127ABBC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16</w:t>
                  </w:r>
                </w:p>
              </w:tc>
              <w:tc>
                <w:tcPr>
                  <w:tcW w:w="605" w:type="pct"/>
                  <w:shd w:val="clear" w:color="auto" w:fill="auto"/>
                  <w:noWrap w:val="0"/>
                  <w:vAlign w:val="center"/>
                </w:tcPr>
                <w:p w14:paraId="6C24BEB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0.78</w:t>
                  </w:r>
                </w:p>
              </w:tc>
            </w:tr>
            <w:tr w14:paraId="3F098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tcBorders>
                    <w:bottom w:val="single" w:color="000000" w:sz="4" w:space="0"/>
                  </w:tcBorders>
                  <w:shd w:val="clear" w:color="auto" w:fill="auto"/>
                  <w:noWrap w:val="0"/>
                  <w:vAlign w:val="center"/>
                </w:tcPr>
                <w:p w14:paraId="2B50793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变换加热炉</w:t>
                  </w:r>
                </w:p>
              </w:tc>
              <w:tc>
                <w:tcPr>
                  <w:tcW w:w="997" w:type="pct"/>
                  <w:tcBorders>
                    <w:bottom w:val="single" w:color="000000" w:sz="4" w:space="0"/>
                  </w:tcBorders>
                  <w:shd w:val="clear" w:color="auto" w:fill="auto"/>
                  <w:noWrap w:val="0"/>
                  <w:vAlign w:val="center"/>
                </w:tcPr>
                <w:p w14:paraId="0247277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二氧化硫、氮氧化物、颗粒物</w:t>
                  </w:r>
                </w:p>
              </w:tc>
              <w:tc>
                <w:tcPr>
                  <w:tcW w:w="605" w:type="pct"/>
                  <w:tcBorders>
                    <w:bottom w:val="single" w:color="000000" w:sz="4" w:space="0"/>
                  </w:tcBorders>
                  <w:shd w:val="clear" w:color="auto" w:fill="auto"/>
                  <w:noWrap w:val="0"/>
                  <w:vAlign w:val="center"/>
                </w:tcPr>
                <w:p w14:paraId="7DF6EA5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SCR脱硝</w:t>
                  </w:r>
                </w:p>
              </w:tc>
              <w:tc>
                <w:tcPr>
                  <w:tcW w:w="1164" w:type="pct"/>
                  <w:tcBorders>
                    <w:bottom w:val="single" w:color="000000" w:sz="4" w:space="0"/>
                  </w:tcBorders>
                  <w:shd w:val="clear" w:color="auto" w:fill="auto"/>
                  <w:noWrap w:val="0"/>
                  <w:vAlign w:val="center"/>
                </w:tcPr>
                <w:p w14:paraId="2759615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变换加热炉尾气排放口</w:t>
                  </w:r>
                </w:p>
              </w:tc>
              <w:tc>
                <w:tcPr>
                  <w:tcW w:w="549" w:type="pct"/>
                  <w:tcBorders>
                    <w:bottom w:val="single" w:color="000000" w:sz="4" w:space="0"/>
                  </w:tcBorders>
                  <w:shd w:val="clear" w:color="auto" w:fill="auto"/>
                  <w:noWrap w:val="0"/>
                  <w:vAlign w:val="center"/>
                </w:tcPr>
                <w:p w14:paraId="695B73A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DA021</w:t>
                  </w:r>
                </w:p>
              </w:tc>
              <w:tc>
                <w:tcPr>
                  <w:tcW w:w="605" w:type="pct"/>
                  <w:tcBorders>
                    <w:bottom w:val="single" w:color="000000" w:sz="4" w:space="0"/>
                  </w:tcBorders>
                  <w:shd w:val="clear" w:color="auto" w:fill="auto"/>
                  <w:noWrap w:val="0"/>
                  <w:vAlign w:val="center"/>
                </w:tcPr>
                <w:p w14:paraId="1F1914B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61</w:t>
                  </w:r>
                </w:p>
              </w:tc>
              <w:tc>
                <w:tcPr>
                  <w:tcW w:w="605" w:type="pct"/>
                  <w:tcBorders>
                    <w:bottom w:val="single" w:color="000000" w:sz="4" w:space="0"/>
                  </w:tcBorders>
                  <w:shd w:val="clear" w:color="auto" w:fill="auto"/>
                  <w:noWrap w:val="0"/>
                  <w:vAlign w:val="center"/>
                </w:tcPr>
                <w:p w14:paraId="05EEE9E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hint="eastAsia" w:eastAsia="宋体"/>
                      <w:bCs/>
                      <w:sz w:val="21"/>
                      <w:u w:val="none"/>
                    </w:rPr>
                  </w:pPr>
                  <w:r>
                    <w:rPr>
                      <w:rFonts w:eastAsia="宋体"/>
                      <w:bCs/>
                      <w:sz w:val="21"/>
                      <w:szCs w:val="21"/>
                      <w:u w:val="none"/>
                    </w:rPr>
                    <w:t>2.</w:t>
                  </w:r>
                  <w:r>
                    <w:rPr>
                      <w:rFonts w:hint="eastAsia" w:eastAsia="宋体"/>
                      <w:bCs/>
                      <w:sz w:val="21"/>
                      <w:szCs w:val="21"/>
                      <w:u w:val="none"/>
                    </w:rPr>
                    <w:t>254</w:t>
                  </w:r>
                </w:p>
              </w:tc>
            </w:tr>
            <w:tr w14:paraId="016AA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037B9A9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甲醇加热炉</w:t>
                  </w:r>
                </w:p>
              </w:tc>
              <w:tc>
                <w:tcPr>
                  <w:tcW w:w="997" w:type="pct"/>
                  <w:shd w:val="clear" w:color="auto" w:fill="auto"/>
                  <w:noWrap w:val="0"/>
                  <w:vAlign w:val="center"/>
                </w:tcPr>
                <w:p w14:paraId="1ABF253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二氧化硫、氮氧化物、颗粒物</w:t>
                  </w:r>
                </w:p>
              </w:tc>
              <w:tc>
                <w:tcPr>
                  <w:tcW w:w="605" w:type="pct"/>
                  <w:shd w:val="clear" w:color="auto" w:fill="auto"/>
                  <w:noWrap w:val="0"/>
                  <w:vAlign w:val="center"/>
                </w:tcPr>
                <w:p w14:paraId="62E1FE6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SCR脱硝</w:t>
                  </w:r>
                </w:p>
              </w:tc>
              <w:tc>
                <w:tcPr>
                  <w:tcW w:w="1164" w:type="pct"/>
                  <w:shd w:val="clear" w:color="auto" w:fill="auto"/>
                  <w:noWrap w:val="0"/>
                  <w:vAlign w:val="center"/>
                </w:tcPr>
                <w:p w14:paraId="2E43839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甲醇1#装置加热炉尾气排放口</w:t>
                  </w:r>
                </w:p>
              </w:tc>
              <w:tc>
                <w:tcPr>
                  <w:tcW w:w="549" w:type="pct"/>
                  <w:shd w:val="clear" w:color="auto" w:fill="auto"/>
                  <w:noWrap w:val="0"/>
                  <w:vAlign w:val="center"/>
                </w:tcPr>
                <w:p w14:paraId="0DAB443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DA040</w:t>
                  </w:r>
                </w:p>
              </w:tc>
              <w:tc>
                <w:tcPr>
                  <w:tcW w:w="605" w:type="pct"/>
                  <w:shd w:val="clear" w:color="auto" w:fill="auto"/>
                  <w:noWrap w:val="0"/>
                  <w:vAlign w:val="center"/>
                </w:tcPr>
                <w:p w14:paraId="173B206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487B03F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1.6</w:t>
                  </w:r>
                </w:p>
              </w:tc>
            </w:tr>
            <w:tr w14:paraId="53D02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62907D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p>
              </w:tc>
              <w:tc>
                <w:tcPr>
                  <w:tcW w:w="997" w:type="pct"/>
                  <w:shd w:val="clear" w:color="auto" w:fill="auto"/>
                  <w:noWrap w:val="0"/>
                  <w:vAlign w:val="center"/>
                </w:tcPr>
                <w:p w14:paraId="396CD82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二氧化硫、氮氧化物、颗粒物</w:t>
                  </w:r>
                </w:p>
              </w:tc>
              <w:tc>
                <w:tcPr>
                  <w:tcW w:w="605" w:type="pct"/>
                  <w:shd w:val="clear" w:color="auto" w:fill="auto"/>
                  <w:noWrap w:val="0"/>
                  <w:vAlign w:val="center"/>
                </w:tcPr>
                <w:p w14:paraId="1E7D00D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SCR脱硝</w:t>
                  </w:r>
                </w:p>
              </w:tc>
              <w:tc>
                <w:tcPr>
                  <w:tcW w:w="1164" w:type="pct"/>
                  <w:shd w:val="clear" w:color="auto" w:fill="auto"/>
                  <w:noWrap w:val="0"/>
                  <w:vAlign w:val="center"/>
                </w:tcPr>
                <w:p w14:paraId="78E46EF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甲醇2#装置加热炉尾气排放口</w:t>
                  </w:r>
                </w:p>
              </w:tc>
              <w:tc>
                <w:tcPr>
                  <w:tcW w:w="549" w:type="pct"/>
                  <w:shd w:val="clear" w:color="auto" w:fill="auto"/>
                  <w:noWrap w:val="0"/>
                  <w:vAlign w:val="center"/>
                </w:tcPr>
                <w:p w14:paraId="7B4B158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DA043</w:t>
                  </w:r>
                </w:p>
              </w:tc>
              <w:tc>
                <w:tcPr>
                  <w:tcW w:w="605" w:type="pct"/>
                  <w:shd w:val="clear" w:color="auto" w:fill="auto"/>
                  <w:noWrap w:val="0"/>
                  <w:vAlign w:val="center"/>
                </w:tcPr>
                <w:p w14:paraId="35F74B9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60</w:t>
                  </w:r>
                </w:p>
              </w:tc>
              <w:tc>
                <w:tcPr>
                  <w:tcW w:w="605" w:type="pct"/>
                  <w:shd w:val="clear" w:color="auto" w:fill="auto"/>
                  <w:noWrap w:val="0"/>
                  <w:vAlign w:val="center"/>
                </w:tcPr>
                <w:p w14:paraId="408305B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1.6</w:t>
                  </w:r>
                </w:p>
              </w:tc>
            </w:tr>
            <w:tr w14:paraId="461BD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763C94C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甲醇精馏</w:t>
                  </w:r>
                </w:p>
              </w:tc>
              <w:tc>
                <w:tcPr>
                  <w:tcW w:w="997" w:type="pct"/>
                  <w:shd w:val="clear" w:color="auto" w:fill="auto"/>
                  <w:noWrap w:val="0"/>
                  <w:vAlign w:val="center"/>
                </w:tcPr>
                <w:p w14:paraId="4857B34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w:t>
                  </w:r>
                </w:p>
              </w:tc>
              <w:tc>
                <w:tcPr>
                  <w:tcW w:w="605" w:type="pct"/>
                  <w:shd w:val="clear" w:color="auto" w:fill="auto"/>
                  <w:noWrap w:val="0"/>
                  <w:vAlign w:val="center"/>
                </w:tcPr>
                <w:p w14:paraId="2B0562D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洗涤塔</w:t>
                  </w:r>
                </w:p>
              </w:tc>
              <w:tc>
                <w:tcPr>
                  <w:tcW w:w="1164" w:type="pct"/>
                  <w:shd w:val="clear" w:color="auto" w:fill="auto"/>
                  <w:noWrap w:val="0"/>
                  <w:vAlign w:val="center"/>
                </w:tcPr>
                <w:p w14:paraId="41ACEAB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甲醇1#装置精馏放空气排放口</w:t>
                  </w:r>
                </w:p>
              </w:tc>
              <w:tc>
                <w:tcPr>
                  <w:tcW w:w="549" w:type="pct"/>
                  <w:shd w:val="clear" w:color="auto" w:fill="auto"/>
                  <w:noWrap w:val="0"/>
                  <w:vAlign w:val="center"/>
                </w:tcPr>
                <w:p w14:paraId="3137904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DA041</w:t>
                  </w:r>
                </w:p>
              </w:tc>
              <w:tc>
                <w:tcPr>
                  <w:tcW w:w="605" w:type="pct"/>
                  <w:shd w:val="clear" w:color="auto" w:fill="auto"/>
                  <w:noWrap w:val="0"/>
                  <w:vAlign w:val="center"/>
                </w:tcPr>
                <w:p w14:paraId="74916F4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30</w:t>
                  </w:r>
                </w:p>
              </w:tc>
              <w:tc>
                <w:tcPr>
                  <w:tcW w:w="605" w:type="pct"/>
                  <w:shd w:val="clear" w:color="auto" w:fill="auto"/>
                  <w:noWrap w:val="0"/>
                  <w:vAlign w:val="center"/>
                </w:tcPr>
                <w:p w14:paraId="0E96A52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0.15</w:t>
                  </w:r>
                </w:p>
              </w:tc>
            </w:tr>
            <w:tr w14:paraId="3DC46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shd w:val="clear" w:color="auto" w:fill="auto"/>
                  <w:noWrap w:val="0"/>
                  <w:vAlign w:val="center"/>
                </w:tcPr>
                <w:p w14:paraId="4FC28E3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shd w:val="clear" w:color="auto" w:fill="auto"/>
                  <w:noWrap w:val="0"/>
                  <w:vAlign w:val="center"/>
                </w:tcPr>
                <w:p w14:paraId="0FF0345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w:t>
                  </w:r>
                </w:p>
              </w:tc>
              <w:tc>
                <w:tcPr>
                  <w:tcW w:w="605" w:type="pct"/>
                  <w:shd w:val="clear" w:color="auto" w:fill="auto"/>
                  <w:noWrap w:val="0"/>
                  <w:vAlign w:val="center"/>
                </w:tcPr>
                <w:p w14:paraId="03ED85C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洗涤塔</w:t>
                  </w:r>
                </w:p>
              </w:tc>
              <w:tc>
                <w:tcPr>
                  <w:tcW w:w="1164" w:type="pct"/>
                  <w:shd w:val="clear" w:color="auto" w:fill="auto"/>
                  <w:noWrap w:val="0"/>
                  <w:vAlign w:val="center"/>
                </w:tcPr>
                <w:p w14:paraId="7530182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甲醇2#装置精馏放空气排放口</w:t>
                  </w:r>
                </w:p>
              </w:tc>
              <w:tc>
                <w:tcPr>
                  <w:tcW w:w="549" w:type="pct"/>
                  <w:shd w:val="clear" w:color="auto" w:fill="auto"/>
                  <w:noWrap w:val="0"/>
                  <w:vAlign w:val="center"/>
                </w:tcPr>
                <w:p w14:paraId="66AD086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DA039</w:t>
                  </w:r>
                </w:p>
              </w:tc>
              <w:tc>
                <w:tcPr>
                  <w:tcW w:w="605" w:type="pct"/>
                  <w:shd w:val="clear" w:color="auto" w:fill="auto"/>
                  <w:noWrap w:val="0"/>
                  <w:vAlign w:val="center"/>
                </w:tcPr>
                <w:p w14:paraId="3A4BB2A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30</w:t>
                  </w:r>
                </w:p>
              </w:tc>
              <w:tc>
                <w:tcPr>
                  <w:tcW w:w="605" w:type="pct"/>
                  <w:shd w:val="clear" w:color="auto" w:fill="auto"/>
                  <w:noWrap w:val="0"/>
                  <w:vAlign w:val="center"/>
                </w:tcPr>
                <w:p w14:paraId="10D74D0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0.15</w:t>
                  </w:r>
                </w:p>
              </w:tc>
            </w:tr>
            <w:tr w14:paraId="602DC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restart"/>
                  <w:shd w:val="clear" w:color="auto" w:fill="auto"/>
                  <w:noWrap w:val="0"/>
                  <w:vAlign w:val="center"/>
                </w:tcPr>
                <w:p w14:paraId="12529F3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脱硫脱碳</w:t>
                  </w:r>
                </w:p>
              </w:tc>
              <w:tc>
                <w:tcPr>
                  <w:tcW w:w="997" w:type="pct"/>
                  <w:shd w:val="clear" w:color="auto" w:fill="auto"/>
                  <w:noWrap w:val="0"/>
                  <w:vAlign w:val="center"/>
                </w:tcPr>
                <w:p w14:paraId="6818AD5C">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非甲烷总烃、甲醇、硫化氢</w:t>
                  </w:r>
                </w:p>
              </w:tc>
              <w:tc>
                <w:tcPr>
                  <w:tcW w:w="605" w:type="pct"/>
                  <w:shd w:val="clear" w:color="auto" w:fill="auto"/>
                  <w:noWrap w:val="0"/>
                  <w:vAlign w:val="center"/>
                </w:tcPr>
                <w:p w14:paraId="4481C1A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低温甲醇洗</w:t>
                  </w:r>
                </w:p>
              </w:tc>
              <w:tc>
                <w:tcPr>
                  <w:tcW w:w="1164" w:type="pct"/>
                  <w:shd w:val="clear" w:color="auto" w:fill="auto"/>
                  <w:noWrap w:val="0"/>
                  <w:vAlign w:val="center"/>
                </w:tcPr>
                <w:p w14:paraId="1063F16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1#低温甲尾气排放口</w:t>
                  </w:r>
                </w:p>
              </w:tc>
              <w:tc>
                <w:tcPr>
                  <w:tcW w:w="549" w:type="pct"/>
                  <w:shd w:val="clear" w:color="auto" w:fill="auto"/>
                  <w:noWrap w:val="0"/>
                  <w:vAlign w:val="center"/>
                </w:tcPr>
                <w:p w14:paraId="79AB9CB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DA038</w:t>
                  </w:r>
                </w:p>
              </w:tc>
              <w:tc>
                <w:tcPr>
                  <w:tcW w:w="605" w:type="pct"/>
                  <w:shd w:val="clear" w:color="auto" w:fill="auto"/>
                  <w:noWrap w:val="0"/>
                  <w:vAlign w:val="center"/>
                </w:tcPr>
                <w:p w14:paraId="4137B8D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100</w:t>
                  </w:r>
                </w:p>
              </w:tc>
              <w:tc>
                <w:tcPr>
                  <w:tcW w:w="605" w:type="pct"/>
                  <w:shd w:val="clear" w:color="auto" w:fill="auto"/>
                  <w:noWrap w:val="0"/>
                  <w:vAlign w:val="center"/>
                </w:tcPr>
                <w:p w14:paraId="13A7375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1.6</w:t>
                  </w:r>
                </w:p>
              </w:tc>
            </w:tr>
            <w:tr w14:paraId="1646B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vMerge w:val="continue"/>
                  <w:tcBorders>
                    <w:bottom w:val="single" w:color="000000" w:sz="4" w:space="0"/>
                  </w:tcBorders>
                  <w:shd w:val="clear" w:color="auto" w:fill="auto"/>
                  <w:noWrap w:val="0"/>
                  <w:vAlign w:val="center"/>
                </w:tcPr>
                <w:p w14:paraId="5124C48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p>
              </w:tc>
              <w:tc>
                <w:tcPr>
                  <w:tcW w:w="997" w:type="pct"/>
                  <w:tcBorders>
                    <w:bottom w:val="single" w:color="000000" w:sz="4" w:space="0"/>
                  </w:tcBorders>
                  <w:shd w:val="clear" w:color="auto" w:fill="auto"/>
                  <w:noWrap w:val="0"/>
                  <w:vAlign w:val="center"/>
                </w:tcPr>
                <w:p w14:paraId="3A8E399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非甲烷总烃、甲醇、硫化氢</w:t>
                  </w:r>
                </w:p>
              </w:tc>
              <w:tc>
                <w:tcPr>
                  <w:tcW w:w="605" w:type="pct"/>
                  <w:tcBorders>
                    <w:bottom w:val="single" w:color="000000" w:sz="4" w:space="0"/>
                  </w:tcBorders>
                  <w:shd w:val="clear" w:color="auto" w:fill="auto"/>
                  <w:noWrap w:val="0"/>
                  <w:vAlign w:val="center"/>
                </w:tcPr>
                <w:p w14:paraId="7CE2ECB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低温甲醇洗</w:t>
                  </w:r>
                </w:p>
              </w:tc>
              <w:tc>
                <w:tcPr>
                  <w:tcW w:w="1164" w:type="pct"/>
                  <w:tcBorders>
                    <w:bottom w:val="single" w:color="000000" w:sz="4" w:space="0"/>
                  </w:tcBorders>
                  <w:shd w:val="clear" w:color="auto" w:fill="auto"/>
                  <w:noWrap w:val="0"/>
                  <w:vAlign w:val="center"/>
                </w:tcPr>
                <w:p w14:paraId="4660860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2#低温甲尾气排放口</w:t>
                  </w:r>
                </w:p>
              </w:tc>
              <w:tc>
                <w:tcPr>
                  <w:tcW w:w="549" w:type="pct"/>
                  <w:tcBorders>
                    <w:bottom w:val="single" w:color="000000" w:sz="4" w:space="0"/>
                  </w:tcBorders>
                  <w:shd w:val="clear" w:color="auto" w:fill="auto"/>
                  <w:noWrap w:val="0"/>
                  <w:vAlign w:val="center"/>
                </w:tcPr>
                <w:p w14:paraId="40A305A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DA045</w:t>
                  </w:r>
                </w:p>
              </w:tc>
              <w:tc>
                <w:tcPr>
                  <w:tcW w:w="605" w:type="pct"/>
                  <w:tcBorders>
                    <w:bottom w:val="single" w:color="000000" w:sz="4" w:space="0"/>
                  </w:tcBorders>
                  <w:shd w:val="clear" w:color="auto" w:fill="auto"/>
                  <w:noWrap w:val="0"/>
                  <w:vAlign w:val="center"/>
                </w:tcPr>
                <w:p w14:paraId="7A56BC3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100</w:t>
                  </w:r>
                </w:p>
              </w:tc>
              <w:tc>
                <w:tcPr>
                  <w:tcW w:w="605" w:type="pct"/>
                  <w:tcBorders>
                    <w:bottom w:val="single" w:color="000000" w:sz="4" w:space="0"/>
                  </w:tcBorders>
                  <w:shd w:val="clear" w:color="auto" w:fill="auto"/>
                  <w:noWrap w:val="0"/>
                  <w:vAlign w:val="center"/>
                </w:tcPr>
                <w:p w14:paraId="1AFCBC3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1.6</w:t>
                  </w:r>
                </w:p>
              </w:tc>
            </w:tr>
            <w:tr w14:paraId="328E7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shd w:val="clear" w:color="auto" w:fill="auto"/>
                  <w:noWrap w:val="0"/>
                  <w:vAlign w:val="center"/>
                </w:tcPr>
                <w:p w14:paraId="01C1374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硫回收</w:t>
                  </w:r>
                </w:p>
              </w:tc>
              <w:tc>
                <w:tcPr>
                  <w:tcW w:w="997" w:type="pct"/>
                  <w:shd w:val="clear" w:color="auto" w:fill="auto"/>
                  <w:noWrap w:val="0"/>
                  <w:vAlign w:val="center"/>
                </w:tcPr>
                <w:p w14:paraId="5C3CA55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二氧化硫、氮氧化物、颗粒物、硫化氢</w:t>
                  </w:r>
                </w:p>
              </w:tc>
              <w:tc>
                <w:tcPr>
                  <w:tcW w:w="605" w:type="pct"/>
                  <w:shd w:val="clear" w:color="auto" w:fill="auto"/>
                  <w:noWrap w:val="0"/>
                  <w:vAlign w:val="center"/>
                </w:tcPr>
                <w:p w14:paraId="4B1FB0C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二级克劳斯+超级克劳斯+SCR脱硝+碱洗</w:t>
                  </w:r>
                </w:p>
              </w:tc>
              <w:tc>
                <w:tcPr>
                  <w:tcW w:w="1164" w:type="pct"/>
                  <w:shd w:val="clear" w:color="auto" w:fill="auto"/>
                  <w:noWrap w:val="0"/>
                  <w:vAlign w:val="center"/>
                </w:tcPr>
                <w:p w14:paraId="7AC6197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硫回收焚烧炉尾气排放口</w:t>
                  </w:r>
                </w:p>
              </w:tc>
              <w:tc>
                <w:tcPr>
                  <w:tcW w:w="549" w:type="pct"/>
                  <w:shd w:val="clear" w:color="auto" w:fill="auto"/>
                  <w:noWrap w:val="0"/>
                  <w:vAlign w:val="center"/>
                </w:tcPr>
                <w:p w14:paraId="353E505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DA044</w:t>
                  </w:r>
                </w:p>
              </w:tc>
              <w:tc>
                <w:tcPr>
                  <w:tcW w:w="605" w:type="pct"/>
                  <w:shd w:val="clear" w:color="auto" w:fill="auto"/>
                  <w:noWrap w:val="0"/>
                  <w:vAlign w:val="center"/>
                </w:tcPr>
                <w:p w14:paraId="07B10B6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60</w:t>
                  </w:r>
                </w:p>
              </w:tc>
              <w:tc>
                <w:tcPr>
                  <w:tcW w:w="605" w:type="pct"/>
                  <w:shd w:val="clear" w:color="auto" w:fill="auto"/>
                  <w:noWrap w:val="0"/>
                  <w:vAlign w:val="center"/>
                </w:tcPr>
                <w:p w14:paraId="1FA6A69A">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0.898</w:t>
                  </w:r>
                </w:p>
              </w:tc>
            </w:tr>
            <w:tr w14:paraId="64301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tcBorders>
                    <w:bottom w:val="single" w:color="000000" w:sz="4" w:space="0"/>
                  </w:tcBorders>
                  <w:shd w:val="clear" w:color="auto" w:fill="auto"/>
                  <w:noWrap w:val="0"/>
                  <w:vAlign w:val="center"/>
                </w:tcPr>
                <w:p w14:paraId="4D1AB3F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甲醇中间罐区</w:t>
                  </w:r>
                </w:p>
              </w:tc>
              <w:tc>
                <w:tcPr>
                  <w:tcW w:w="997" w:type="pct"/>
                  <w:tcBorders>
                    <w:bottom w:val="single" w:color="000000" w:sz="4" w:space="0"/>
                  </w:tcBorders>
                  <w:shd w:val="clear" w:color="auto" w:fill="auto"/>
                  <w:noWrap w:val="0"/>
                  <w:vAlign w:val="center"/>
                </w:tcPr>
                <w:p w14:paraId="720F667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w:t>
                  </w:r>
                </w:p>
              </w:tc>
              <w:tc>
                <w:tcPr>
                  <w:tcW w:w="605" w:type="pct"/>
                  <w:tcBorders>
                    <w:bottom w:val="single" w:color="000000" w:sz="4" w:space="0"/>
                  </w:tcBorders>
                  <w:shd w:val="clear" w:color="auto" w:fill="auto"/>
                  <w:noWrap w:val="0"/>
                  <w:vAlign w:val="center"/>
                </w:tcPr>
                <w:p w14:paraId="10DAAC9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水洗喷淋</w:t>
                  </w:r>
                </w:p>
              </w:tc>
              <w:tc>
                <w:tcPr>
                  <w:tcW w:w="1164" w:type="pct"/>
                  <w:tcBorders>
                    <w:bottom w:val="single" w:color="000000" w:sz="4" w:space="0"/>
                  </w:tcBorders>
                  <w:shd w:val="clear" w:color="auto" w:fill="auto"/>
                  <w:noWrap w:val="0"/>
                  <w:vAlign w:val="center"/>
                </w:tcPr>
                <w:p w14:paraId="417BD48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甲醇中间罐区水洗塔排放口</w:t>
                  </w:r>
                </w:p>
              </w:tc>
              <w:tc>
                <w:tcPr>
                  <w:tcW w:w="549" w:type="pct"/>
                  <w:tcBorders>
                    <w:bottom w:val="single" w:color="000000" w:sz="4" w:space="0"/>
                  </w:tcBorders>
                  <w:shd w:val="clear" w:color="auto" w:fill="auto"/>
                  <w:noWrap w:val="0"/>
                  <w:vAlign w:val="center"/>
                </w:tcPr>
                <w:p w14:paraId="0CF9772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DA001</w:t>
                  </w:r>
                </w:p>
              </w:tc>
              <w:tc>
                <w:tcPr>
                  <w:tcW w:w="605" w:type="pct"/>
                  <w:tcBorders>
                    <w:bottom w:val="single" w:color="000000" w:sz="4" w:space="0"/>
                  </w:tcBorders>
                  <w:shd w:val="clear" w:color="auto" w:fill="auto"/>
                  <w:noWrap w:val="0"/>
                  <w:vAlign w:val="center"/>
                </w:tcPr>
                <w:p w14:paraId="408765C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19</w:t>
                  </w:r>
                </w:p>
              </w:tc>
              <w:tc>
                <w:tcPr>
                  <w:tcW w:w="605" w:type="pct"/>
                  <w:tcBorders>
                    <w:bottom w:val="single" w:color="000000" w:sz="4" w:space="0"/>
                  </w:tcBorders>
                  <w:shd w:val="clear" w:color="auto" w:fill="auto"/>
                  <w:noWrap w:val="0"/>
                  <w:vAlign w:val="center"/>
                </w:tcPr>
                <w:p w14:paraId="4F21DA81">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0.4</w:t>
                  </w:r>
                </w:p>
              </w:tc>
            </w:tr>
            <w:tr w14:paraId="676C4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shd w:val="clear" w:color="auto" w:fill="auto"/>
                  <w:noWrap w:val="0"/>
                  <w:vAlign w:val="center"/>
                </w:tcPr>
                <w:p w14:paraId="772D6B0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DMO精馏</w:t>
                  </w:r>
                </w:p>
              </w:tc>
              <w:tc>
                <w:tcPr>
                  <w:tcW w:w="997" w:type="pct"/>
                  <w:shd w:val="clear" w:color="auto" w:fill="auto"/>
                  <w:noWrap w:val="0"/>
                  <w:vAlign w:val="center"/>
                </w:tcPr>
                <w:p w14:paraId="254749A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w:t>
                  </w:r>
                  <w:r>
                    <w:rPr>
                      <w:rFonts w:hint="eastAsia" w:eastAsia="宋体"/>
                      <w:bCs/>
                      <w:sz w:val="21"/>
                      <w:szCs w:val="21"/>
                      <w:u w:val="none"/>
                    </w:rPr>
                    <w:t>、非甲烷总烃</w:t>
                  </w:r>
                </w:p>
              </w:tc>
              <w:tc>
                <w:tcPr>
                  <w:tcW w:w="605" w:type="pct"/>
                  <w:shd w:val="clear" w:color="auto" w:fill="auto"/>
                  <w:noWrap w:val="0"/>
                  <w:vAlign w:val="center"/>
                </w:tcPr>
                <w:p w14:paraId="528A37E2">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水洗喷淋</w:t>
                  </w:r>
                </w:p>
              </w:tc>
              <w:tc>
                <w:tcPr>
                  <w:tcW w:w="1164" w:type="pct"/>
                  <w:shd w:val="clear" w:color="auto" w:fill="auto"/>
                  <w:noWrap w:val="0"/>
                  <w:vAlign w:val="center"/>
                </w:tcPr>
                <w:p w14:paraId="1A544CA0">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DMO精馏尾气洗涤塔排放口</w:t>
                  </w:r>
                </w:p>
              </w:tc>
              <w:tc>
                <w:tcPr>
                  <w:tcW w:w="549" w:type="pct"/>
                  <w:shd w:val="clear" w:color="auto" w:fill="auto"/>
                  <w:noWrap w:val="0"/>
                  <w:vAlign w:val="center"/>
                </w:tcPr>
                <w:p w14:paraId="0A3CDBA8">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DA035</w:t>
                  </w:r>
                </w:p>
              </w:tc>
              <w:tc>
                <w:tcPr>
                  <w:tcW w:w="605" w:type="pct"/>
                  <w:shd w:val="clear" w:color="auto" w:fill="auto"/>
                  <w:noWrap w:val="0"/>
                  <w:vAlign w:val="center"/>
                </w:tcPr>
                <w:p w14:paraId="475F0CA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30</w:t>
                  </w:r>
                </w:p>
              </w:tc>
              <w:tc>
                <w:tcPr>
                  <w:tcW w:w="605" w:type="pct"/>
                  <w:shd w:val="clear" w:color="auto" w:fill="auto"/>
                  <w:noWrap w:val="0"/>
                  <w:vAlign w:val="center"/>
                </w:tcPr>
                <w:p w14:paraId="775E9A9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0.1</w:t>
                  </w:r>
                </w:p>
              </w:tc>
            </w:tr>
            <w:tr w14:paraId="1F9B2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tcBorders>
                    <w:bottom w:val="single" w:color="000000" w:sz="4" w:space="0"/>
                  </w:tcBorders>
                  <w:shd w:val="clear" w:color="auto" w:fill="auto"/>
                  <w:noWrap w:val="0"/>
                  <w:vAlign w:val="center"/>
                </w:tcPr>
                <w:p w14:paraId="4E2F426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EG精馏</w:t>
                  </w:r>
                </w:p>
              </w:tc>
              <w:tc>
                <w:tcPr>
                  <w:tcW w:w="997" w:type="pct"/>
                  <w:tcBorders>
                    <w:bottom w:val="single" w:color="000000" w:sz="4" w:space="0"/>
                  </w:tcBorders>
                  <w:shd w:val="clear" w:color="auto" w:fill="auto"/>
                  <w:noWrap w:val="0"/>
                  <w:vAlign w:val="center"/>
                </w:tcPr>
                <w:p w14:paraId="17C937F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乙二醇</w:t>
                  </w:r>
                </w:p>
              </w:tc>
              <w:tc>
                <w:tcPr>
                  <w:tcW w:w="605" w:type="pct"/>
                  <w:tcBorders>
                    <w:bottom w:val="single" w:color="000000" w:sz="4" w:space="0"/>
                  </w:tcBorders>
                  <w:shd w:val="clear" w:color="auto" w:fill="auto"/>
                  <w:noWrap w:val="0"/>
                  <w:vAlign w:val="center"/>
                </w:tcPr>
                <w:p w14:paraId="25B7EDC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水洗喷淋</w:t>
                  </w:r>
                </w:p>
              </w:tc>
              <w:tc>
                <w:tcPr>
                  <w:tcW w:w="1164" w:type="pct"/>
                  <w:tcBorders>
                    <w:bottom w:val="single" w:color="000000" w:sz="4" w:space="0"/>
                  </w:tcBorders>
                  <w:shd w:val="clear" w:color="auto" w:fill="auto"/>
                  <w:noWrap w:val="0"/>
                  <w:vAlign w:val="center"/>
                </w:tcPr>
                <w:p w14:paraId="3153386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EG精馏尾气洗涤塔排放口</w:t>
                  </w:r>
                </w:p>
              </w:tc>
              <w:tc>
                <w:tcPr>
                  <w:tcW w:w="549" w:type="pct"/>
                  <w:tcBorders>
                    <w:bottom w:val="single" w:color="000000" w:sz="4" w:space="0"/>
                  </w:tcBorders>
                  <w:shd w:val="clear" w:color="auto" w:fill="auto"/>
                  <w:noWrap w:val="0"/>
                  <w:vAlign w:val="center"/>
                </w:tcPr>
                <w:p w14:paraId="26A969D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DA034</w:t>
                  </w:r>
                </w:p>
              </w:tc>
              <w:tc>
                <w:tcPr>
                  <w:tcW w:w="605" w:type="pct"/>
                  <w:tcBorders>
                    <w:bottom w:val="single" w:color="000000" w:sz="4" w:space="0"/>
                  </w:tcBorders>
                  <w:shd w:val="clear" w:color="auto" w:fill="auto"/>
                  <w:noWrap w:val="0"/>
                  <w:vAlign w:val="center"/>
                </w:tcPr>
                <w:p w14:paraId="4C791F7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29</w:t>
                  </w:r>
                </w:p>
              </w:tc>
              <w:tc>
                <w:tcPr>
                  <w:tcW w:w="605" w:type="pct"/>
                  <w:tcBorders>
                    <w:bottom w:val="single" w:color="000000" w:sz="4" w:space="0"/>
                  </w:tcBorders>
                  <w:shd w:val="clear" w:color="auto" w:fill="auto"/>
                  <w:noWrap w:val="0"/>
                  <w:vAlign w:val="center"/>
                </w:tcPr>
                <w:p w14:paraId="2DA19D4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0.15</w:t>
                  </w:r>
                </w:p>
              </w:tc>
            </w:tr>
            <w:tr w14:paraId="756F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shd w:val="clear" w:color="auto" w:fill="auto"/>
                  <w:noWrap w:val="0"/>
                  <w:vAlign w:val="center"/>
                </w:tcPr>
                <w:p w14:paraId="2FE76A07">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乙二醇储存</w:t>
                  </w:r>
                </w:p>
              </w:tc>
              <w:tc>
                <w:tcPr>
                  <w:tcW w:w="997" w:type="pct"/>
                  <w:shd w:val="clear" w:color="auto" w:fill="auto"/>
                  <w:noWrap w:val="0"/>
                  <w:vAlign w:val="center"/>
                </w:tcPr>
                <w:p w14:paraId="2F4D10B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甲醇</w:t>
                  </w:r>
                </w:p>
              </w:tc>
              <w:tc>
                <w:tcPr>
                  <w:tcW w:w="605" w:type="pct"/>
                  <w:shd w:val="clear" w:color="auto" w:fill="auto"/>
                  <w:noWrap w:val="0"/>
                  <w:vAlign w:val="center"/>
                </w:tcPr>
                <w:p w14:paraId="0B9EF1B9">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水洗喷淋</w:t>
                  </w:r>
                </w:p>
              </w:tc>
              <w:tc>
                <w:tcPr>
                  <w:tcW w:w="1164" w:type="pct"/>
                  <w:shd w:val="clear" w:color="auto" w:fill="auto"/>
                  <w:noWrap w:val="0"/>
                  <w:vAlign w:val="center"/>
                </w:tcPr>
                <w:p w14:paraId="57A36B75">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乙二醇罐区尾气吸收2塔排放口</w:t>
                  </w:r>
                </w:p>
              </w:tc>
              <w:tc>
                <w:tcPr>
                  <w:tcW w:w="549" w:type="pct"/>
                  <w:shd w:val="clear" w:color="auto" w:fill="auto"/>
                  <w:noWrap w:val="0"/>
                  <w:vAlign w:val="center"/>
                </w:tcPr>
                <w:p w14:paraId="30E657BF">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DA032</w:t>
                  </w:r>
                </w:p>
              </w:tc>
              <w:tc>
                <w:tcPr>
                  <w:tcW w:w="605" w:type="pct"/>
                  <w:shd w:val="clear" w:color="auto" w:fill="auto"/>
                  <w:noWrap w:val="0"/>
                  <w:vAlign w:val="center"/>
                </w:tcPr>
                <w:p w14:paraId="50AF14C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hint="eastAsia" w:eastAsia="宋体"/>
                      <w:bCs/>
                      <w:sz w:val="21"/>
                      <w:u w:val="none"/>
                    </w:rPr>
                  </w:pPr>
                  <w:r>
                    <w:rPr>
                      <w:rFonts w:hint="eastAsia" w:eastAsia="宋体"/>
                      <w:bCs/>
                      <w:sz w:val="21"/>
                      <w:szCs w:val="21"/>
                      <w:u w:val="none"/>
                    </w:rPr>
                    <w:t>17</w:t>
                  </w:r>
                </w:p>
              </w:tc>
              <w:tc>
                <w:tcPr>
                  <w:tcW w:w="605" w:type="pct"/>
                  <w:shd w:val="clear" w:color="auto" w:fill="auto"/>
                  <w:noWrap w:val="0"/>
                  <w:vAlign w:val="center"/>
                </w:tcPr>
                <w:p w14:paraId="289EB243">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0.3</w:t>
                  </w:r>
                </w:p>
              </w:tc>
            </w:tr>
            <w:tr w14:paraId="16860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472" w:type="pct"/>
                  <w:shd w:val="clear" w:color="auto" w:fill="auto"/>
                  <w:noWrap w:val="0"/>
                  <w:vAlign w:val="center"/>
                </w:tcPr>
                <w:p w14:paraId="52BC3E7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u w:val="none"/>
                    </w:rPr>
                    <w:t>乙二醇储存</w:t>
                  </w:r>
                </w:p>
              </w:tc>
              <w:tc>
                <w:tcPr>
                  <w:tcW w:w="997" w:type="pct"/>
                  <w:shd w:val="clear" w:color="auto" w:fill="auto"/>
                  <w:noWrap w:val="0"/>
                  <w:vAlign w:val="center"/>
                </w:tcPr>
                <w:p w14:paraId="1409160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乙二醇</w:t>
                  </w:r>
                </w:p>
              </w:tc>
              <w:tc>
                <w:tcPr>
                  <w:tcW w:w="605" w:type="pct"/>
                  <w:shd w:val="clear" w:color="auto" w:fill="auto"/>
                  <w:noWrap w:val="0"/>
                  <w:vAlign w:val="center"/>
                </w:tcPr>
                <w:p w14:paraId="00686536">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水洗喷淋</w:t>
                  </w:r>
                </w:p>
              </w:tc>
              <w:tc>
                <w:tcPr>
                  <w:tcW w:w="1164" w:type="pct"/>
                  <w:shd w:val="clear" w:color="auto" w:fill="auto"/>
                  <w:noWrap w:val="0"/>
                  <w:vAlign w:val="center"/>
                </w:tcPr>
                <w:p w14:paraId="3794B984">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乙二醇罐区尾气吸收1塔排放口</w:t>
                  </w:r>
                </w:p>
              </w:tc>
              <w:tc>
                <w:tcPr>
                  <w:tcW w:w="549" w:type="pct"/>
                  <w:shd w:val="clear" w:color="auto" w:fill="auto"/>
                  <w:noWrap w:val="0"/>
                  <w:vAlign w:val="center"/>
                </w:tcPr>
                <w:p w14:paraId="29ABD35B">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szCs w:val="21"/>
                      <w:u w:val="none"/>
                    </w:rPr>
                  </w:pPr>
                  <w:r>
                    <w:rPr>
                      <w:rFonts w:eastAsia="宋体"/>
                      <w:bCs/>
                      <w:sz w:val="21"/>
                      <w:szCs w:val="21"/>
                      <w:u w:val="none"/>
                    </w:rPr>
                    <w:t>DA033</w:t>
                  </w:r>
                </w:p>
              </w:tc>
              <w:tc>
                <w:tcPr>
                  <w:tcW w:w="605" w:type="pct"/>
                  <w:shd w:val="clear" w:color="auto" w:fill="auto"/>
                  <w:noWrap w:val="0"/>
                  <w:vAlign w:val="center"/>
                </w:tcPr>
                <w:p w14:paraId="6F30BC9D">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15</w:t>
                  </w:r>
                </w:p>
              </w:tc>
              <w:tc>
                <w:tcPr>
                  <w:tcW w:w="605" w:type="pct"/>
                  <w:shd w:val="clear" w:color="auto" w:fill="auto"/>
                  <w:noWrap w:val="0"/>
                  <w:vAlign w:val="center"/>
                </w:tcPr>
                <w:p w14:paraId="2A12FCEE">
                  <w:pPr>
                    <w:keepNext w:val="0"/>
                    <w:keepLines w:val="0"/>
                    <w:pageBreakBefore w:val="0"/>
                    <w:widowControl w:val="0"/>
                    <w:kinsoku w:val="0"/>
                    <w:wordWrap/>
                    <w:overflowPunct w:val="0"/>
                    <w:topLinePunct w:val="0"/>
                    <w:autoSpaceDE/>
                    <w:autoSpaceDN/>
                    <w:bidi w:val="0"/>
                    <w:adjustRightInd/>
                    <w:snapToGrid/>
                    <w:spacing w:line="240" w:lineRule="auto"/>
                    <w:jc w:val="center"/>
                    <w:textAlignment w:val="auto"/>
                    <w:rPr>
                      <w:rFonts w:eastAsia="宋体"/>
                      <w:bCs/>
                      <w:sz w:val="21"/>
                      <w:u w:val="none"/>
                    </w:rPr>
                  </w:pPr>
                  <w:r>
                    <w:rPr>
                      <w:rFonts w:eastAsia="宋体"/>
                      <w:bCs/>
                      <w:sz w:val="21"/>
                      <w:szCs w:val="21"/>
                      <w:u w:val="none"/>
                    </w:rPr>
                    <w:t>0.1</w:t>
                  </w:r>
                </w:p>
              </w:tc>
            </w:tr>
          </w:tbl>
          <w:p w14:paraId="334CC78E">
            <w:pPr>
              <w:spacing w:line="500" w:lineRule="atLeast"/>
              <w:ind w:firstLine="480" w:firstLineChars="200"/>
              <w:jc w:val="left"/>
              <w:rPr>
                <w:rFonts w:hint="default" w:ascii="宋体" w:hAnsi="宋体" w:eastAsia="宋体" w:cs="宋体"/>
                <w:bCs/>
                <w:sz w:val="24"/>
                <w:lang w:val="en-US" w:eastAsia="zh-CN"/>
              </w:rPr>
            </w:pPr>
            <w:r>
              <w:rPr>
                <w:rFonts w:hint="eastAsia" w:ascii="宋体" w:hAnsi="宋体" w:eastAsia="宋体" w:cs="宋体"/>
                <w:bCs/>
                <w:sz w:val="24"/>
                <w:lang w:val="en-US" w:eastAsia="zh-CN"/>
              </w:rPr>
              <w:t>②排放达标分析</w:t>
            </w:r>
          </w:p>
          <w:p w14:paraId="74DE9198">
            <w:pPr>
              <w:spacing w:line="500" w:lineRule="atLeast"/>
              <w:ind w:firstLine="480" w:firstLineChars="200"/>
              <w:jc w:val="left"/>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根据排污许可证，现有工程有43根排气筒（华谊炉为备用，共4根排气筒），均制定了监测方案，其中排气筒DA021、DA040、DA043和DA044为加热炉和焚烧炉排口，均安装自动监测装置并联网。</w:t>
            </w:r>
          </w:p>
          <w:p w14:paraId="385E7ADF">
            <w:pPr>
              <w:spacing w:line="500" w:lineRule="atLeast"/>
              <w:ind w:firstLine="480" w:firstLineChars="200"/>
              <w:jc w:val="left"/>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根据建设单位提供的例行监测数据（HY（综合）〔2023〕59号、绿保环监字〔2023〕第09~08号、宁大环监（气）字〔2024〕1069号）和各个项目验收监测报告，现有工程各有组织排放口监测数据及达标情况见</w:t>
            </w:r>
            <w:r>
              <w:rPr>
                <w:rFonts w:hint="eastAsia" w:cs="Times New Roman"/>
                <w:bCs/>
                <w:sz w:val="24"/>
                <w:lang w:val="en-US" w:eastAsia="zh-CN"/>
              </w:rPr>
              <w:t>下表</w:t>
            </w:r>
            <w:r>
              <w:rPr>
                <w:rFonts w:hint="default" w:ascii="Times New Roman" w:hAnsi="Times New Roman" w:cs="Times New Roman"/>
                <w:bCs/>
                <w:sz w:val="24"/>
                <w:lang w:val="en-US" w:eastAsia="zh-CN"/>
              </w:rPr>
              <w:t>。</w:t>
            </w:r>
          </w:p>
          <w:p w14:paraId="1B8B04B5">
            <w:pPr>
              <w:pStyle w:val="51"/>
              <w:numPr>
                <w:ilvl w:val="2"/>
                <w:numId w:val="3"/>
              </w:numPr>
              <w:spacing w:line="500" w:lineRule="atLeast"/>
              <w:ind w:firstLineChars="0"/>
              <w:jc w:val="center"/>
              <w:rPr>
                <w:rFonts w:hint="default" w:ascii="Times New Roman" w:hAnsi="Times New Roman" w:cs="Times New Roman"/>
                <w:bCs/>
                <w:sz w:val="24"/>
                <w:lang w:val="en-US" w:eastAsia="zh-CN"/>
              </w:rPr>
            </w:pPr>
            <w:r>
              <w:rPr>
                <w:rFonts w:hint="eastAsia"/>
                <w:b/>
                <w:sz w:val="24"/>
                <w:lang w:val="en-US" w:eastAsia="zh-CN"/>
              </w:rPr>
              <w:t>各排气筒监测数据一览表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4"/>
              <w:gridCol w:w="1521"/>
              <w:gridCol w:w="764"/>
              <w:gridCol w:w="1211"/>
              <w:gridCol w:w="1231"/>
              <w:gridCol w:w="1026"/>
              <w:gridCol w:w="957"/>
              <w:gridCol w:w="954"/>
            </w:tblGrid>
            <w:tr w14:paraId="51AD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trPr>
              <w:tc>
                <w:tcPr>
                  <w:tcW w:w="443" w:type="pct"/>
                  <w:vMerge w:val="restart"/>
                  <w:shd w:val="clear" w:color="auto" w:fill="auto"/>
                  <w:noWrap w:val="0"/>
                  <w:vAlign w:val="center"/>
                </w:tcPr>
                <w:p w14:paraId="2705E067">
                  <w:pPr>
                    <w:jc w:val="center"/>
                    <w:rPr>
                      <w:rFonts w:eastAsia="宋体"/>
                      <w:sz w:val="21"/>
                      <w:szCs w:val="21"/>
                      <w:u w:val="none"/>
                    </w:rPr>
                  </w:pPr>
                  <w:r>
                    <w:rPr>
                      <w:rFonts w:eastAsia="宋体"/>
                      <w:sz w:val="21"/>
                      <w:szCs w:val="21"/>
                      <w:u w:val="none"/>
                    </w:rPr>
                    <w:t>排气筒</w:t>
                  </w:r>
                </w:p>
              </w:tc>
              <w:tc>
                <w:tcPr>
                  <w:tcW w:w="904" w:type="pct"/>
                  <w:vMerge w:val="restart"/>
                  <w:shd w:val="clear" w:color="auto" w:fill="auto"/>
                  <w:noWrap w:val="0"/>
                  <w:vAlign w:val="center"/>
                </w:tcPr>
                <w:p w14:paraId="41EAA1CF">
                  <w:pPr>
                    <w:jc w:val="center"/>
                    <w:rPr>
                      <w:rFonts w:eastAsia="宋体"/>
                      <w:sz w:val="21"/>
                      <w:szCs w:val="21"/>
                      <w:u w:val="none"/>
                    </w:rPr>
                  </w:pPr>
                  <w:r>
                    <w:rPr>
                      <w:rFonts w:eastAsia="宋体"/>
                      <w:sz w:val="21"/>
                      <w:szCs w:val="21"/>
                      <w:u w:val="none"/>
                    </w:rPr>
                    <w:t>污染源</w:t>
                  </w:r>
                </w:p>
              </w:tc>
              <w:tc>
                <w:tcPr>
                  <w:tcW w:w="454" w:type="pct"/>
                  <w:vMerge w:val="restart"/>
                  <w:shd w:val="clear" w:color="auto" w:fill="auto"/>
                  <w:noWrap w:val="0"/>
                  <w:vAlign w:val="center"/>
                </w:tcPr>
                <w:p w14:paraId="3B6C5BB4">
                  <w:pPr>
                    <w:jc w:val="center"/>
                    <w:rPr>
                      <w:rFonts w:eastAsia="宋体"/>
                      <w:sz w:val="21"/>
                      <w:szCs w:val="21"/>
                      <w:u w:val="none"/>
                    </w:rPr>
                  </w:pPr>
                  <w:r>
                    <w:rPr>
                      <w:rFonts w:eastAsia="宋体"/>
                      <w:sz w:val="21"/>
                      <w:szCs w:val="21"/>
                      <w:u w:val="none"/>
                    </w:rPr>
                    <w:t>污染物</w:t>
                  </w:r>
                </w:p>
              </w:tc>
              <w:tc>
                <w:tcPr>
                  <w:tcW w:w="1452" w:type="pct"/>
                  <w:gridSpan w:val="2"/>
                  <w:shd w:val="clear" w:color="auto" w:fill="auto"/>
                  <w:noWrap w:val="0"/>
                  <w:vAlign w:val="center"/>
                </w:tcPr>
                <w:p w14:paraId="12DD1D70">
                  <w:pPr>
                    <w:jc w:val="center"/>
                    <w:rPr>
                      <w:rFonts w:eastAsia="宋体"/>
                      <w:sz w:val="21"/>
                      <w:szCs w:val="21"/>
                      <w:u w:val="none"/>
                    </w:rPr>
                  </w:pPr>
                  <w:r>
                    <w:rPr>
                      <w:rFonts w:hint="eastAsia" w:eastAsia="宋体"/>
                      <w:sz w:val="21"/>
                      <w:szCs w:val="21"/>
                      <w:u w:val="none"/>
                    </w:rPr>
                    <w:t>例行监测数据</w:t>
                  </w:r>
                </w:p>
              </w:tc>
              <w:tc>
                <w:tcPr>
                  <w:tcW w:w="1179" w:type="pct"/>
                  <w:gridSpan w:val="2"/>
                  <w:shd w:val="clear" w:color="auto" w:fill="auto"/>
                  <w:noWrap w:val="0"/>
                  <w:vAlign w:val="center"/>
                </w:tcPr>
                <w:p w14:paraId="7F85D6C0">
                  <w:pPr>
                    <w:jc w:val="center"/>
                    <w:rPr>
                      <w:rFonts w:eastAsia="宋体"/>
                      <w:sz w:val="21"/>
                      <w:szCs w:val="21"/>
                      <w:u w:val="none"/>
                    </w:rPr>
                  </w:pPr>
                  <w:r>
                    <w:rPr>
                      <w:rFonts w:eastAsia="宋体"/>
                      <w:sz w:val="21"/>
                      <w:szCs w:val="21"/>
                      <w:u w:val="none"/>
                    </w:rPr>
                    <w:t>排放标准</w:t>
                  </w:r>
                </w:p>
              </w:tc>
              <w:tc>
                <w:tcPr>
                  <w:tcW w:w="567" w:type="pct"/>
                  <w:vMerge w:val="restart"/>
                  <w:shd w:val="clear" w:color="auto" w:fill="auto"/>
                  <w:noWrap w:val="0"/>
                  <w:vAlign w:val="center"/>
                </w:tcPr>
                <w:p w14:paraId="717FD09A">
                  <w:pPr>
                    <w:jc w:val="center"/>
                    <w:rPr>
                      <w:rFonts w:eastAsia="宋体"/>
                      <w:sz w:val="21"/>
                      <w:szCs w:val="21"/>
                      <w:u w:val="none"/>
                    </w:rPr>
                  </w:pPr>
                  <w:r>
                    <w:rPr>
                      <w:rFonts w:eastAsia="宋体"/>
                      <w:sz w:val="21"/>
                      <w:szCs w:val="21"/>
                      <w:u w:val="none"/>
                    </w:rPr>
                    <w:t>是否达标</w:t>
                  </w:r>
                </w:p>
              </w:tc>
            </w:tr>
            <w:tr w14:paraId="7389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trPr>
              <w:tc>
                <w:tcPr>
                  <w:tcW w:w="443" w:type="pct"/>
                  <w:vMerge w:val="continue"/>
                  <w:shd w:val="clear" w:color="auto" w:fill="auto"/>
                  <w:noWrap w:val="0"/>
                  <w:vAlign w:val="center"/>
                </w:tcPr>
                <w:p w14:paraId="1E747D73">
                  <w:pPr>
                    <w:jc w:val="center"/>
                    <w:rPr>
                      <w:rFonts w:eastAsia="宋体"/>
                      <w:sz w:val="21"/>
                      <w:szCs w:val="21"/>
                      <w:u w:val="none"/>
                    </w:rPr>
                  </w:pPr>
                </w:p>
              </w:tc>
              <w:tc>
                <w:tcPr>
                  <w:tcW w:w="904" w:type="pct"/>
                  <w:vMerge w:val="continue"/>
                  <w:shd w:val="clear" w:color="auto" w:fill="auto"/>
                  <w:noWrap w:val="0"/>
                  <w:vAlign w:val="center"/>
                </w:tcPr>
                <w:p w14:paraId="348B8E26">
                  <w:pPr>
                    <w:jc w:val="center"/>
                    <w:rPr>
                      <w:rFonts w:eastAsia="宋体"/>
                      <w:sz w:val="21"/>
                      <w:szCs w:val="21"/>
                      <w:u w:val="none"/>
                    </w:rPr>
                  </w:pPr>
                </w:p>
              </w:tc>
              <w:tc>
                <w:tcPr>
                  <w:tcW w:w="454" w:type="pct"/>
                  <w:vMerge w:val="continue"/>
                  <w:shd w:val="clear" w:color="auto" w:fill="auto"/>
                  <w:noWrap w:val="0"/>
                  <w:vAlign w:val="center"/>
                </w:tcPr>
                <w:p w14:paraId="1A2B4232">
                  <w:pPr>
                    <w:jc w:val="center"/>
                    <w:rPr>
                      <w:rFonts w:eastAsia="宋体"/>
                      <w:sz w:val="21"/>
                      <w:szCs w:val="21"/>
                      <w:u w:val="none"/>
                    </w:rPr>
                  </w:pPr>
                </w:p>
              </w:tc>
              <w:tc>
                <w:tcPr>
                  <w:tcW w:w="720" w:type="pct"/>
                  <w:shd w:val="clear" w:color="auto" w:fill="auto"/>
                  <w:noWrap w:val="0"/>
                  <w:vAlign w:val="center"/>
                </w:tcPr>
                <w:p w14:paraId="483E02D8">
                  <w:pPr>
                    <w:jc w:val="center"/>
                    <w:rPr>
                      <w:rFonts w:eastAsia="宋体"/>
                      <w:sz w:val="21"/>
                      <w:szCs w:val="21"/>
                      <w:u w:val="none"/>
                    </w:rPr>
                  </w:pPr>
                  <w:r>
                    <w:rPr>
                      <w:rFonts w:eastAsia="宋体"/>
                      <w:sz w:val="21"/>
                      <w:szCs w:val="21"/>
                      <w:u w:val="none"/>
                    </w:rPr>
                    <w:t>浓度mg/m</w:t>
                  </w:r>
                  <w:r>
                    <w:rPr>
                      <w:rFonts w:eastAsia="宋体"/>
                      <w:sz w:val="21"/>
                      <w:szCs w:val="21"/>
                      <w:u w:val="none"/>
                      <w:vertAlign w:val="superscript"/>
                    </w:rPr>
                    <w:t>3</w:t>
                  </w:r>
                </w:p>
              </w:tc>
              <w:tc>
                <w:tcPr>
                  <w:tcW w:w="732" w:type="pct"/>
                  <w:shd w:val="clear" w:color="auto" w:fill="auto"/>
                  <w:noWrap w:val="0"/>
                  <w:vAlign w:val="center"/>
                </w:tcPr>
                <w:p w14:paraId="4A63BDE9">
                  <w:pPr>
                    <w:jc w:val="center"/>
                    <w:rPr>
                      <w:rFonts w:eastAsia="宋体"/>
                      <w:sz w:val="21"/>
                      <w:szCs w:val="21"/>
                      <w:u w:val="none"/>
                    </w:rPr>
                  </w:pPr>
                  <w:r>
                    <w:rPr>
                      <w:rFonts w:eastAsia="宋体"/>
                      <w:sz w:val="21"/>
                      <w:szCs w:val="21"/>
                      <w:u w:val="none"/>
                    </w:rPr>
                    <w:t>排放速率kg/h</w:t>
                  </w:r>
                </w:p>
              </w:tc>
              <w:tc>
                <w:tcPr>
                  <w:tcW w:w="610" w:type="pct"/>
                  <w:shd w:val="clear" w:color="auto" w:fill="auto"/>
                  <w:noWrap w:val="0"/>
                  <w:vAlign w:val="center"/>
                </w:tcPr>
                <w:p w14:paraId="06DE14A1">
                  <w:pPr>
                    <w:jc w:val="center"/>
                    <w:rPr>
                      <w:rFonts w:eastAsia="宋体"/>
                      <w:sz w:val="21"/>
                      <w:szCs w:val="21"/>
                      <w:u w:val="none"/>
                    </w:rPr>
                  </w:pPr>
                  <w:r>
                    <w:rPr>
                      <w:rFonts w:eastAsia="宋体"/>
                      <w:sz w:val="21"/>
                      <w:szCs w:val="21"/>
                      <w:u w:val="none"/>
                    </w:rPr>
                    <w:t>浓度mg/m</w:t>
                  </w:r>
                  <w:r>
                    <w:rPr>
                      <w:rFonts w:eastAsia="宋体"/>
                      <w:sz w:val="21"/>
                      <w:szCs w:val="21"/>
                      <w:u w:val="none"/>
                      <w:vertAlign w:val="superscript"/>
                    </w:rPr>
                    <w:t>3</w:t>
                  </w:r>
                </w:p>
              </w:tc>
              <w:tc>
                <w:tcPr>
                  <w:tcW w:w="569" w:type="pct"/>
                  <w:shd w:val="clear" w:color="auto" w:fill="auto"/>
                  <w:noWrap w:val="0"/>
                  <w:vAlign w:val="center"/>
                </w:tcPr>
                <w:p w14:paraId="5EEE6085">
                  <w:pPr>
                    <w:jc w:val="center"/>
                    <w:rPr>
                      <w:rFonts w:eastAsia="宋体"/>
                      <w:sz w:val="21"/>
                      <w:szCs w:val="21"/>
                      <w:u w:val="none"/>
                    </w:rPr>
                  </w:pPr>
                  <w:r>
                    <w:rPr>
                      <w:rFonts w:eastAsia="宋体"/>
                      <w:sz w:val="21"/>
                      <w:szCs w:val="21"/>
                      <w:u w:val="none"/>
                    </w:rPr>
                    <w:t>速率kg/h</w:t>
                  </w:r>
                </w:p>
              </w:tc>
              <w:tc>
                <w:tcPr>
                  <w:tcW w:w="567" w:type="pct"/>
                  <w:vMerge w:val="continue"/>
                  <w:shd w:val="clear" w:color="auto" w:fill="auto"/>
                  <w:noWrap w:val="0"/>
                  <w:vAlign w:val="center"/>
                </w:tcPr>
                <w:p w14:paraId="593BF8BC">
                  <w:pPr>
                    <w:jc w:val="center"/>
                    <w:rPr>
                      <w:rFonts w:eastAsia="宋体"/>
                      <w:sz w:val="21"/>
                      <w:szCs w:val="21"/>
                      <w:u w:val="none"/>
                    </w:rPr>
                  </w:pPr>
                </w:p>
              </w:tc>
            </w:tr>
            <w:tr w14:paraId="5E5E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41D8D39E">
                  <w:pPr>
                    <w:jc w:val="center"/>
                    <w:rPr>
                      <w:rFonts w:eastAsia="宋体"/>
                      <w:sz w:val="21"/>
                      <w:szCs w:val="21"/>
                      <w:u w:val="none"/>
                    </w:rPr>
                  </w:pPr>
                  <w:r>
                    <w:rPr>
                      <w:rFonts w:eastAsia="宋体"/>
                      <w:sz w:val="21"/>
                      <w:szCs w:val="21"/>
                      <w:u w:val="none"/>
                    </w:rPr>
                    <w:t>DA004</w:t>
                  </w:r>
                </w:p>
              </w:tc>
              <w:tc>
                <w:tcPr>
                  <w:tcW w:w="904" w:type="pct"/>
                  <w:vMerge w:val="restart"/>
                  <w:shd w:val="clear" w:color="auto" w:fill="auto"/>
                  <w:noWrap w:val="0"/>
                  <w:vAlign w:val="center"/>
                </w:tcPr>
                <w:p w14:paraId="01EE8A53">
                  <w:pPr>
                    <w:jc w:val="center"/>
                    <w:rPr>
                      <w:rFonts w:eastAsia="宋体"/>
                      <w:sz w:val="21"/>
                      <w:szCs w:val="21"/>
                      <w:u w:val="none"/>
                    </w:rPr>
                  </w:pPr>
                  <w:r>
                    <w:rPr>
                      <w:rFonts w:eastAsia="宋体"/>
                      <w:sz w:val="21"/>
                      <w:szCs w:val="21"/>
                      <w:u w:val="none"/>
                    </w:rPr>
                    <w:t>1#磨煤干燥尾气处理设施</w:t>
                  </w:r>
                </w:p>
              </w:tc>
              <w:tc>
                <w:tcPr>
                  <w:tcW w:w="454" w:type="pct"/>
                  <w:shd w:val="clear" w:color="auto" w:fill="auto"/>
                  <w:noWrap w:val="0"/>
                  <w:vAlign w:val="center"/>
                </w:tcPr>
                <w:p w14:paraId="67008A60">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6B8B5468">
                  <w:pPr>
                    <w:jc w:val="center"/>
                    <w:rPr>
                      <w:rFonts w:eastAsia="宋体"/>
                      <w:sz w:val="21"/>
                      <w:szCs w:val="21"/>
                      <w:u w:val="none"/>
                    </w:rPr>
                  </w:pPr>
                  <w:r>
                    <w:rPr>
                      <w:rFonts w:eastAsia="宋体"/>
                      <w:sz w:val="21"/>
                      <w:szCs w:val="21"/>
                      <w:u w:val="none"/>
                    </w:rPr>
                    <w:t>30.5~46.6</w:t>
                  </w:r>
                </w:p>
              </w:tc>
              <w:tc>
                <w:tcPr>
                  <w:tcW w:w="732" w:type="pct"/>
                  <w:shd w:val="clear" w:color="auto" w:fill="auto"/>
                  <w:noWrap w:val="0"/>
                  <w:vAlign w:val="center"/>
                </w:tcPr>
                <w:p w14:paraId="1781B9E6">
                  <w:pPr>
                    <w:jc w:val="center"/>
                    <w:rPr>
                      <w:rFonts w:eastAsia="宋体"/>
                      <w:sz w:val="21"/>
                      <w:szCs w:val="21"/>
                      <w:u w:val="none"/>
                    </w:rPr>
                  </w:pPr>
                  <w:r>
                    <w:rPr>
                      <w:rFonts w:eastAsia="宋体"/>
                      <w:sz w:val="21"/>
                      <w:szCs w:val="21"/>
                      <w:u w:val="none"/>
                    </w:rPr>
                    <w:t>0.572</w:t>
                  </w:r>
                </w:p>
              </w:tc>
              <w:tc>
                <w:tcPr>
                  <w:tcW w:w="610" w:type="pct"/>
                  <w:shd w:val="clear" w:color="auto" w:fill="auto"/>
                  <w:noWrap w:val="0"/>
                  <w:vAlign w:val="center"/>
                </w:tcPr>
                <w:p w14:paraId="4DF43A58">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26A35A2F">
                  <w:pPr>
                    <w:jc w:val="center"/>
                    <w:rPr>
                      <w:rFonts w:hint="eastAsia"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1926C339">
                  <w:pPr>
                    <w:jc w:val="center"/>
                    <w:rPr>
                      <w:rFonts w:eastAsia="宋体"/>
                      <w:sz w:val="21"/>
                      <w:szCs w:val="21"/>
                      <w:u w:val="none"/>
                    </w:rPr>
                  </w:pPr>
                  <w:r>
                    <w:rPr>
                      <w:rFonts w:eastAsia="宋体"/>
                      <w:sz w:val="21"/>
                      <w:szCs w:val="21"/>
                      <w:u w:val="none"/>
                    </w:rPr>
                    <w:t>是</w:t>
                  </w:r>
                </w:p>
              </w:tc>
            </w:tr>
            <w:tr w14:paraId="7F78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2A74DE7">
                  <w:pPr>
                    <w:jc w:val="center"/>
                    <w:rPr>
                      <w:rFonts w:eastAsia="宋体"/>
                      <w:sz w:val="21"/>
                      <w:szCs w:val="21"/>
                      <w:u w:val="none"/>
                    </w:rPr>
                  </w:pPr>
                </w:p>
              </w:tc>
              <w:tc>
                <w:tcPr>
                  <w:tcW w:w="904" w:type="pct"/>
                  <w:vMerge w:val="continue"/>
                  <w:shd w:val="clear" w:color="auto" w:fill="auto"/>
                  <w:noWrap w:val="0"/>
                  <w:vAlign w:val="center"/>
                </w:tcPr>
                <w:p w14:paraId="27FE997E">
                  <w:pPr>
                    <w:jc w:val="center"/>
                    <w:rPr>
                      <w:rFonts w:eastAsia="宋体"/>
                      <w:sz w:val="21"/>
                      <w:szCs w:val="21"/>
                      <w:u w:val="none"/>
                    </w:rPr>
                  </w:pPr>
                </w:p>
              </w:tc>
              <w:tc>
                <w:tcPr>
                  <w:tcW w:w="454" w:type="pct"/>
                  <w:shd w:val="clear" w:color="auto" w:fill="auto"/>
                  <w:noWrap w:val="0"/>
                  <w:vAlign w:val="center"/>
                </w:tcPr>
                <w:p w14:paraId="4240E577">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30AA0214">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774EC3B7">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13FB95D4">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39242BBA">
                  <w:pPr>
                    <w:jc w:val="center"/>
                    <w:rPr>
                      <w:rFonts w:hint="eastAsia"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180E43C6">
                  <w:pPr>
                    <w:jc w:val="center"/>
                    <w:rPr>
                      <w:rFonts w:eastAsia="宋体"/>
                      <w:sz w:val="21"/>
                      <w:szCs w:val="21"/>
                      <w:u w:val="none"/>
                    </w:rPr>
                  </w:pPr>
                  <w:r>
                    <w:rPr>
                      <w:rFonts w:eastAsia="宋体"/>
                      <w:sz w:val="21"/>
                      <w:szCs w:val="21"/>
                      <w:u w:val="none"/>
                    </w:rPr>
                    <w:t>是</w:t>
                  </w:r>
                </w:p>
              </w:tc>
            </w:tr>
            <w:tr w14:paraId="3576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17B5D63C">
                  <w:pPr>
                    <w:jc w:val="center"/>
                    <w:rPr>
                      <w:rFonts w:eastAsia="宋体"/>
                      <w:sz w:val="21"/>
                      <w:szCs w:val="21"/>
                      <w:u w:val="none"/>
                    </w:rPr>
                  </w:pPr>
                  <w:r>
                    <w:rPr>
                      <w:rFonts w:eastAsia="宋体"/>
                      <w:sz w:val="21"/>
                      <w:szCs w:val="21"/>
                      <w:u w:val="none"/>
                    </w:rPr>
                    <w:t>DA005</w:t>
                  </w:r>
                </w:p>
              </w:tc>
              <w:tc>
                <w:tcPr>
                  <w:tcW w:w="904" w:type="pct"/>
                  <w:vMerge w:val="restart"/>
                  <w:shd w:val="clear" w:color="auto" w:fill="auto"/>
                  <w:noWrap w:val="0"/>
                  <w:vAlign w:val="center"/>
                </w:tcPr>
                <w:p w14:paraId="4073B515">
                  <w:pPr>
                    <w:jc w:val="center"/>
                    <w:rPr>
                      <w:rFonts w:eastAsia="宋体"/>
                      <w:sz w:val="21"/>
                      <w:szCs w:val="21"/>
                      <w:u w:val="none"/>
                    </w:rPr>
                  </w:pPr>
                  <w:r>
                    <w:rPr>
                      <w:rFonts w:eastAsia="宋体"/>
                      <w:sz w:val="21"/>
                      <w:szCs w:val="21"/>
                      <w:u w:val="none"/>
                    </w:rPr>
                    <w:t>2#磨煤干燥尾气处理设施</w:t>
                  </w:r>
                </w:p>
              </w:tc>
              <w:tc>
                <w:tcPr>
                  <w:tcW w:w="454" w:type="pct"/>
                  <w:shd w:val="clear" w:color="auto" w:fill="auto"/>
                  <w:noWrap w:val="0"/>
                  <w:vAlign w:val="center"/>
                </w:tcPr>
                <w:p w14:paraId="509B23C9">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315D34D">
                  <w:pPr>
                    <w:jc w:val="center"/>
                    <w:rPr>
                      <w:rFonts w:eastAsia="宋体"/>
                      <w:sz w:val="21"/>
                      <w:szCs w:val="21"/>
                      <w:u w:val="none"/>
                    </w:rPr>
                  </w:pPr>
                  <w:r>
                    <w:rPr>
                      <w:rFonts w:eastAsia="宋体"/>
                      <w:sz w:val="21"/>
                      <w:szCs w:val="21"/>
                      <w:u w:val="none"/>
                    </w:rPr>
                    <w:t>7.4~12.4</w:t>
                  </w:r>
                </w:p>
              </w:tc>
              <w:tc>
                <w:tcPr>
                  <w:tcW w:w="732" w:type="pct"/>
                  <w:shd w:val="clear" w:color="auto" w:fill="auto"/>
                  <w:noWrap w:val="0"/>
                  <w:vAlign w:val="center"/>
                </w:tcPr>
                <w:p w14:paraId="3339C2E8">
                  <w:pPr>
                    <w:jc w:val="center"/>
                    <w:rPr>
                      <w:rFonts w:eastAsia="宋体"/>
                      <w:sz w:val="21"/>
                      <w:szCs w:val="21"/>
                      <w:u w:val="none"/>
                    </w:rPr>
                  </w:pPr>
                  <w:r>
                    <w:rPr>
                      <w:rFonts w:eastAsia="宋体"/>
                      <w:sz w:val="21"/>
                      <w:szCs w:val="21"/>
                      <w:u w:val="none"/>
                    </w:rPr>
                    <w:t>0.625</w:t>
                  </w:r>
                </w:p>
              </w:tc>
              <w:tc>
                <w:tcPr>
                  <w:tcW w:w="610" w:type="pct"/>
                  <w:shd w:val="clear" w:color="auto" w:fill="auto"/>
                  <w:noWrap w:val="0"/>
                  <w:vAlign w:val="center"/>
                </w:tcPr>
                <w:p w14:paraId="714EC6AB">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3C3DFE89">
                  <w:pPr>
                    <w:jc w:val="center"/>
                    <w:rPr>
                      <w:rFonts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6BCD07A1">
                  <w:pPr>
                    <w:jc w:val="center"/>
                    <w:rPr>
                      <w:rFonts w:eastAsia="宋体"/>
                      <w:sz w:val="21"/>
                      <w:szCs w:val="21"/>
                      <w:u w:val="none"/>
                    </w:rPr>
                  </w:pPr>
                  <w:r>
                    <w:rPr>
                      <w:rFonts w:eastAsia="宋体"/>
                      <w:sz w:val="21"/>
                      <w:szCs w:val="21"/>
                      <w:u w:val="none"/>
                    </w:rPr>
                    <w:t>是</w:t>
                  </w:r>
                </w:p>
              </w:tc>
            </w:tr>
            <w:tr w14:paraId="75E1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0349D0C">
                  <w:pPr>
                    <w:jc w:val="center"/>
                    <w:rPr>
                      <w:rFonts w:eastAsia="宋体"/>
                      <w:sz w:val="21"/>
                      <w:szCs w:val="21"/>
                      <w:u w:val="none"/>
                    </w:rPr>
                  </w:pPr>
                </w:p>
              </w:tc>
              <w:tc>
                <w:tcPr>
                  <w:tcW w:w="904" w:type="pct"/>
                  <w:vMerge w:val="continue"/>
                  <w:shd w:val="clear" w:color="auto" w:fill="auto"/>
                  <w:noWrap w:val="0"/>
                  <w:vAlign w:val="center"/>
                </w:tcPr>
                <w:p w14:paraId="2DBFAEBB">
                  <w:pPr>
                    <w:jc w:val="center"/>
                    <w:rPr>
                      <w:rFonts w:eastAsia="宋体"/>
                      <w:sz w:val="21"/>
                      <w:szCs w:val="21"/>
                      <w:u w:val="none"/>
                    </w:rPr>
                  </w:pPr>
                </w:p>
              </w:tc>
              <w:tc>
                <w:tcPr>
                  <w:tcW w:w="454" w:type="pct"/>
                  <w:shd w:val="clear" w:color="auto" w:fill="auto"/>
                  <w:noWrap w:val="0"/>
                  <w:vAlign w:val="center"/>
                </w:tcPr>
                <w:p w14:paraId="11B27A6A">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7FB32998">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44CFD3F0">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6C377884">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6E21E470">
                  <w:pPr>
                    <w:jc w:val="center"/>
                    <w:rPr>
                      <w:rFonts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5CCBEA42">
                  <w:pPr>
                    <w:jc w:val="center"/>
                    <w:rPr>
                      <w:rFonts w:eastAsia="宋体"/>
                      <w:sz w:val="21"/>
                      <w:szCs w:val="21"/>
                      <w:u w:val="none"/>
                    </w:rPr>
                  </w:pPr>
                  <w:r>
                    <w:rPr>
                      <w:rFonts w:eastAsia="宋体"/>
                      <w:sz w:val="21"/>
                      <w:szCs w:val="21"/>
                      <w:u w:val="none"/>
                    </w:rPr>
                    <w:t>是</w:t>
                  </w:r>
                </w:p>
              </w:tc>
            </w:tr>
            <w:tr w14:paraId="706B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1857047E">
                  <w:pPr>
                    <w:jc w:val="center"/>
                    <w:rPr>
                      <w:rFonts w:eastAsia="宋体"/>
                      <w:sz w:val="21"/>
                      <w:szCs w:val="21"/>
                      <w:u w:val="none"/>
                    </w:rPr>
                  </w:pPr>
                  <w:r>
                    <w:rPr>
                      <w:rFonts w:eastAsia="宋体"/>
                      <w:sz w:val="21"/>
                      <w:szCs w:val="21"/>
                      <w:u w:val="none"/>
                    </w:rPr>
                    <w:t>DA006</w:t>
                  </w:r>
                </w:p>
              </w:tc>
              <w:tc>
                <w:tcPr>
                  <w:tcW w:w="904" w:type="pct"/>
                  <w:vMerge w:val="restart"/>
                  <w:shd w:val="clear" w:color="auto" w:fill="auto"/>
                  <w:noWrap w:val="0"/>
                  <w:vAlign w:val="center"/>
                </w:tcPr>
                <w:p w14:paraId="5280CAA9">
                  <w:pPr>
                    <w:jc w:val="center"/>
                    <w:rPr>
                      <w:rFonts w:eastAsia="宋体"/>
                      <w:sz w:val="21"/>
                      <w:szCs w:val="21"/>
                      <w:u w:val="none"/>
                    </w:rPr>
                  </w:pPr>
                  <w:r>
                    <w:rPr>
                      <w:rFonts w:eastAsia="宋体"/>
                      <w:sz w:val="21"/>
                      <w:szCs w:val="21"/>
                      <w:u w:val="none"/>
                    </w:rPr>
                    <w:t>3#磨煤干燥尾气处理设施</w:t>
                  </w:r>
                </w:p>
              </w:tc>
              <w:tc>
                <w:tcPr>
                  <w:tcW w:w="454" w:type="pct"/>
                  <w:shd w:val="clear" w:color="auto" w:fill="auto"/>
                  <w:noWrap w:val="0"/>
                  <w:vAlign w:val="center"/>
                </w:tcPr>
                <w:p w14:paraId="13A40A21">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2FB424E">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7C929F1C">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16F2A96F">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7A4E72E2">
                  <w:pPr>
                    <w:jc w:val="center"/>
                    <w:rPr>
                      <w:rFonts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71BE9388">
                  <w:pPr>
                    <w:jc w:val="center"/>
                    <w:rPr>
                      <w:rFonts w:eastAsia="宋体"/>
                      <w:sz w:val="21"/>
                      <w:szCs w:val="21"/>
                      <w:u w:val="none"/>
                    </w:rPr>
                  </w:pPr>
                  <w:r>
                    <w:rPr>
                      <w:rFonts w:eastAsia="宋体"/>
                      <w:sz w:val="21"/>
                      <w:szCs w:val="21"/>
                      <w:u w:val="none"/>
                    </w:rPr>
                    <w:t>是</w:t>
                  </w:r>
                </w:p>
              </w:tc>
            </w:tr>
            <w:tr w14:paraId="7D59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0F67A230">
                  <w:pPr>
                    <w:jc w:val="center"/>
                    <w:rPr>
                      <w:rFonts w:eastAsia="宋体"/>
                      <w:sz w:val="21"/>
                      <w:szCs w:val="21"/>
                      <w:u w:val="none"/>
                    </w:rPr>
                  </w:pPr>
                </w:p>
              </w:tc>
              <w:tc>
                <w:tcPr>
                  <w:tcW w:w="904" w:type="pct"/>
                  <w:vMerge w:val="continue"/>
                  <w:shd w:val="clear" w:color="auto" w:fill="auto"/>
                  <w:noWrap w:val="0"/>
                  <w:vAlign w:val="center"/>
                </w:tcPr>
                <w:p w14:paraId="6265AC90">
                  <w:pPr>
                    <w:jc w:val="center"/>
                    <w:rPr>
                      <w:rFonts w:eastAsia="宋体"/>
                      <w:sz w:val="21"/>
                      <w:szCs w:val="21"/>
                      <w:u w:val="none"/>
                    </w:rPr>
                  </w:pPr>
                </w:p>
              </w:tc>
              <w:tc>
                <w:tcPr>
                  <w:tcW w:w="454" w:type="pct"/>
                  <w:shd w:val="clear" w:color="auto" w:fill="auto"/>
                  <w:noWrap w:val="0"/>
                  <w:vAlign w:val="center"/>
                </w:tcPr>
                <w:p w14:paraId="6FA75C49">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6D63F805">
                  <w:pPr>
                    <w:jc w:val="center"/>
                    <w:rPr>
                      <w:rFonts w:eastAsia="宋体"/>
                      <w:sz w:val="21"/>
                      <w:szCs w:val="21"/>
                      <w:u w:val="none"/>
                    </w:rPr>
                  </w:pPr>
                  <w:r>
                    <w:rPr>
                      <w:rFonts w:eastAsia="宋体"/>
                      <w:sz w:val="21"/>
                      <w:szCs w:val="21"/>
                      <w:u w:val="none"/>
                    </w:rPr>
                    <w:t>127~1</w:t>
                  </w:r>
                  <w:r>
                    <w:rPr>
                      <w:rFonts w:hint="eastAsia" w:eastAsia="宋体"/>
                      <w:sz w:val="21"/>
                      <w:szCs w:val="21"/>
                      <w:u w:val="none"/>
                    </w:rPr>
                    <w:t>5</w:t>
                  </w:r>
                  <w:r>
                    <w:rPr>
                      <w:rFonts w:eastAsia="宋体"/>
                      <w:sz w:val="21"/>
                      <w:szCs w:val="21"/>
                      <w:u w:val="none"/>
                    </w:rPr>
                    <w:t>6</w:t>
                  </w:r>
                </w:p>
              </w:tc>
              <w:tc>
                <w:tcPr>
                  <w:tcW w:w="732" w:type="pct"/>
                  <w:shd w:val="clear" w:color="auto" w:fill="auto"/>
                  <w:noWrap w:val="0"/>
                  <w:vAlign w:val="center"/>
                </w:tcPr>
                <w:p w14:paraId="06E3F93A">
                  <w:pPr>
                    <w:jc w:val="center"/>
                    <w:rPr>
                      <w:rFonts w:eastAsia="宋体"/>
                      <w:sz w:val="21"/>
                      <w:szCs w:val="21"/>
                      <w:u w:val="none"/>
                    </w:rPr>
                  </w:pPr>
                  <w:r>
                    <w:rPr>
                      <w:rFonts w:eastAsia="宋体"/>
                      <w:sz w:val="21"/>
                      <w:szCs w:val="21"/>
                      <w:u w:val="none"/>
                    </w:rPr>
                    <w:t>6.59~</w:t>
                  </w:r>
                  <w:r>
                    <w:rPr>
                      <w:rFonts w:hint="eastAsia" w:eastAsia="宋体"/>
                      <w:sz w:val="21"/>
                      <w:szCs w:val="21"/>
                      <w:u w:val="none"/>
                    </w:rPr>
                    <w:t>8.19</w:t>
                  </w:r>
                </w:p>
              </w:tc>
              <w:tc>
                <w:tcPr>
                  <w:tcW w:w="610" w:type="pct"/>
                  <w:shd w:val="clear" w:color="auto" w:fill="auto"/>
                  <w:noWrap w:val="0"/>
                  <w:vAlign w:val="center"/>
                </w:tcPr>
                <w:p w14:paraId="08BD02BF">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79F56672">
                  <w:pPr>
                    <w:jc w:val="center"/>
                    <w:rPr>
                      <w:rFonts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1365745F">
                  <w:pPr>
                    <w:jc w:val="center"/>
                    <w:rPr>
                      <w:rFonts w:eastAsia="宋体"/>
                      <w:sz w:val="21"/>
                      <w:szCs w:val="21"/>
                      <w:u w:val="none"/>
                    </w:rPr>
                  </w:pPr>
                  <w:r>
                    <w:rPr>
                      <w:rFonts w:eastAsia="宋体"/>
                      <w:sz w:val="21"/>
                      <w:szCs w:val="21"/>
                      <w:u w:val="none"/>
                    </w:rPr>
                    <w:t>是</w:t>
                  </w:r>
                </w:p>
              </w:tc>
            </w:tr>
            <w:tr w14:paraId="5F2C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70843B64">
                  <w:pPr>
                    <w:jc w:val="center"/>
                    <w:rPr>
                      <w:rFonts w:eastAsia="宋体"/>
                      <w:sz w:val="21"/>
                      <w:szCs w:val="21"/>
                      <w:u w:val="none"/>
                    </w:rPr>
                  </w:pPr>
                  <w:r>
                    <w:rPr>
                      <w:rFonts w:eastAsia="宋体"/>
                      <w:sz w:val="21"/>
                      <w:szCs w:val="21"/>
                      <w:u w:val="none"/>
                    </w:rPr>
                    <w:t>DA007</w:t>
                  </w:r>
                </w:p>
              </w:tc>
              <w:tc>
                <w:tcPr>
                  <w:tcW w:w="904" w:type="pct"/>
                  <w:vMerge w:val="restart"/>
                  <w:shd w:val="clear" w:color="auto" w:fill="auto"/>
                  <w:noWrap w:val="0"/>
                  <w:vAlign w:val="center"/>
                </w:tcPr>
                <w:p w14:paraId="34FD572E">
                  <w:pPr>
                    <w:jc w:val="center"/>
                    <w:rPr>
                      <w:rFonts w:eastAsia="宋体"/>
                      <w:sz w:val="21"/>
                      <w:szCs w:val="21"/>
                      <w:u w:val="none"/>
                    </w:rPr>
                  </w:pPr>
                  <w:r>
                    <w:rPr>
                      <w:rFonts w:eastAsia="宋体"/>
                      <w:sz w:val="21"/>
                      <w:szCs w:val="21"/>
                      <w:u w:val="none"/>
                    </w:rPr>
                    <w:t>4#磨煤干燥尾气处理设施</w:t>
                  </w:r>
                </w:p>
              </w:tc>
              <w:tc>
                <w:tcPr>
                  <w:tcW w:w="454" w:type="pct"/>
                  <w:shd w:val="clear" w:color="auto" w:fill="auto"/>
                  <w:noWrap w:val="0"/>
                  <w:vAlign w:val="center"/>
                </w:tcPr>
                <w:p w14:paraId="1C7E4F70">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4583321">
                  <w:pPr>
                    <w:jc w:val="center"/>
                    <w:rPr>
                      <w:rFonts w:eastAsia="宋体"/>
                      <w:sz w:val="21"/>
                      <w:szCs w:val="21"/>
                      <w:u w:val="none"/>
                    </w:rPr>
                  </w:pPr>
                  <w:r>
                    <w:rPr>
                      <w:rFonts w:eastAsia="宋体"/>
                      <w:sz w:val="21"/>
                      <w:szCs w:val="21"/>
                      <w:u w:val="none"/>
                    </w:rPr>
                    <w:t>1.5~4.3</w:t>
                  </w:r>
                </w:p>
              </w:tc>
              <w:tc>
                <w:tcPr>
                  <w:tcW w:w="732" w:type="pct"/>
                  <w:shd w:val="clear" w:color="auto" w:fill="auto"/>
                  <w:noWrap w:val="0"/>
                  <w:vAlign w:val="center"/>
                </w:tcPr>
                <w:p w14:paraId="2BD0AE5C">
                  <w:pPr>
                    <w:jc w:val="center"/>
                    <w:rPr>
                      <w:rFonts w:eastAsia="宋体"/>
                      <w:sz w:val="21"/>
                      <w:szCs w:val="21"/>
                      <w:u w:val="none"/>
                    </w:rPr>
                  </w:pPr>
                  <w:r>
                    <w:rPr>
                      <w:rFonts w:eastAsia="宋体"/>
                      <w:sz w:val="21"/>
                      <w:szCs w:val="21"/>
                      <w:u w:val="none"/>
                    </w:rPr>
                    <w:t>0.152</w:t>
                  </w:r>
                </w:p>
              </w:tc>
              <w:tc>
                <w:tcPr>
                  <w:tcW w:w="610" w:type="pct"/>
                  <w:shd w:val="clear" w:color="auto" w:fill="auto"/>
                  <w:noWrap w:val="0"/>
                  <w:vAlign w:val="center"/>
                </w:tcPr>
                <w:p w14:paraId="0D0F3347">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099FF453">
                  <w:pPr>
                    <w:jc w:val="center"/>
                    <w:rPr>
                      <w:rFonts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1203B577">
                  <w:pPr>
                    <w:jc w:val="center"/>
                    <w:rPr>
                      <w:rFonts w:eastAsia="宋体"/>
                      <w:sz w:val="21"/>
                      <w:szCs w:val="21"/>
                      <w:u w:val="none"/>
                    </w:rPr>
                  </w:pPr>
                  <w:r>
                    <w:rPr>
                      <w:rFonts w:eastAsia="宋体"/>
                      <w:sz w:val="21"/>
                      <w:szCs w:val="21"/>
                      <w:u w:val="none"/>
                    </w:rPr>
                    <w:t>是</w:t>
                  </w:r>
                </w:p>
              </w:tc>
            </w:tr>
            <w:tr w14:paraId="3C5E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33CD9F61">
                  <w:pPr>
                    <w:jc w:val="center"/>
                    <w:rPr>
                      <w:rFonts w:eastAsia="宋体"/>
                      <w:sz w:val="21"/>
                      <w:szCs w:val="21"/>
                      <w:u w:val="none"/>
                    </w:rPr>
                  </w:pPr>
                </w:p>
              </w:tc>
              <w:tc>
                <w:tcPr>
                  <w:tcW w:w="904" w:type="pct"/>
                  <w:vMerge w:val="continue"/>
                  <w:shd w:val="clear" w:color="auto" w:fill="auto"/>
                  <w:noWrap w:val="0"/>
                  <w:vAlign w:val="center"/>
                </w:tcPr>
                <w:p w14:paraId="65E4A50E">
                  <w:pPr>
                    <w:jc w:val="center"/>
                    <w:rPr>
                      <w:rFonts w:eastAsia="宋体"/>
                      <w:sz w:val="21"/>
                      <w:szCs w:val="21"/>
                      <w:u w:val="none"/>
                    </w:rPr>
                  </w:pPr>
                </w:p>
              </w:tc>
              <w:tc>
                <w:tcPr>
                  <w:tcW w:w="454" w:type="pct"/>
                  <w:shd w:val="clear" w:color="auto" w:fill="auto"/>
                  <w:noWrap w:val="0"/>
                  <w:vAlign w:val="center"/>
                </w:tcPr>
                <w:p w14:paraId="147C7ABA">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6303D467">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0DBFDF19">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4B88E222">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08D3C448">
                  <w:pPr>
                    <w:jc w:val="center"/>
                    <w:rPr>
                      <w:rFonts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55FE0CF3">
                  <w:pPr>
                    <w:jc w:val="center"/>
                    <w:rPr>
                      <w:rFonts w:eastAsia="宋体"/>
                      <w:sz w:val="21"/>
                      <w:szCs w:val="21"/>
                      <w:u w:val="none"/>
                    </w:rPr>
                  </w:pPr>
                  <w:r>
                    <w:rPr>
                      <w:rFonts w:eastAsia="宋体"/>
                      <w:sz w:val="21"/>
                      <w:szCs w:val="21"/>
                      <w:u w:val="none"/>
                    </w:rPr>
                    <w:t>是</w:t>
                  </w:r>
                </w:p>
              </w:tc>
            </w:tr>
            <w:tr w14:paraId="0A55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44900DCE">
                  <w:pPr>
                    <w:jc w:val="center"/>
                    <w:rPr>
                      <w:rFonts w:eastAsia="宋体"/>
                      <w:sz w:val="21"/>
                      <w:szCs w:val="21"/>
                      <w:u w:val="none"/>
                    </w:rPr>
                  </w:pPr>
                  <w:r>
                    <w:rPr>
                      <w:rFonts w:eastAsia="宋体"/>
                      <w:sz w:val="21"/>
                      <w:szCs w:val="21"/>
                      <w:u w:val="none"/>
                    </w:rPr>
                    <w:t>DA008</w:t>
                  </w:r>
                </w:p>
              </w:tc>
              <w:tc>
                <w:tcPr>
                  <w:tcW w:w="904" w:type="pct"/>
                  <w:vMerge w:val="restart"/>
                  <w:shd w:val="clear" w:color="auto" w:fill="auto"/>
                  <w:noWrap w:val="0"/>
                  <w:vAlign w:val="center"/>
                </w:tcPr>
                <w:p w14:paraId="49044A97">
                  <w:pPr>
                    <w:jc w:val="center"/>
                    <w:rPr>
                      <w:rFonts w:eastAsia="宋体"/>
                      <w:sz w:val="21"/>
                      <w:szCs w:val="21"/>
                      <w:u w:val="none"/>
                    </w:rPr>
                  </w:pPr>
                  <w:r>
                    <w:rPr>
                      <w:rFonts w:eastAsia="宋体"/>
                      <w:sz w:val="21"/>
                      <w:szCs w:val="21"/>
                      <w:u w:val="none"/>
                    </w:rPr>
                    <w:t>5#磨煤干燥尾气处理设施</w:t>
                  </w:r>
                </w:p>
              </w:tc>
              <w:tc>
                <w:tcPr>
                  <w:tcW w:w="454" w:type="pct"/>
                  <w:shd w:val="clear" w:color="auto" w:fill="auto"/>
                  <w:noWrap w:val="0"/>
                  <w:vAlign w:val="center"/>
                </w:tcPr>
                <w:p w14:paraId="59268637">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5741044">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14BE81E5">
                  <w:pPr>
                    <w:jc w:val="center"/>
                    <w:rPr>
                      <w:rFonts w:eastAsia="宋体"/>
                      <w:sz w:val="21"/>
                      <w:szCs w:val="21"/>
                      <w:u w:val="none"/>
                    </w:rPr>
                  </w:pPr>
                  <w:r>
                    <w:rPr>
                      <w:rFonts w:eastAsia="宋体"/>
                      <w:sz w:val="21"/>
                      <w:szCs w:val="21"/>
                      <w:u w:val="none"/>
                    </w:rPr>
                    <w:t>0.0227</w:t>
                  </w:r>
                </w:p>
              </w:tc>
              <w:tc>
                <w:tcPr>
                  <w:tcW w:w="610" w:type="pct"/>
                  <w:shd w:val="clear" w:color="auto" w:fill="auto"/>
                  <w:noWrap w:val="0"/>
                  <w:vAlign w:val="center"/>
                </w:tcPr>
                <w:p w14:paraId="77C6A3B5">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6B209E9B">
                  <w:pPr>
                    <w:jc w:val="center"/>
                    <w:rPr>
                      <w:rFonts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76C14C91">
                  <w:pPr>
                    <w:jc w:val="center"/>
                    <w:rPr>
                      <w:rFonts w:eastAsia="宋体"/>
                      <w:sz w:val="21"/>
                      <w:szCs w:val="21"/>
                      <w:u w:val="none"/>
                    </w:rPr>
                  </w:pPr>
                  <w:r>
                    <w:rPr>
                      <w:rFonts w:eastAsia="宋体"/>
                      <w:sz w:val="21"/>
                      <w:szCs w:val="21"/>
                      <w:u w:val="none"/>
                    </w:rPr>
                    <w:t>是</w:t>
                  </w:r>
                </w:p>
              </w:tc>
            </w:tr>
            <w:tr w14:paraId="4CC2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CA76DDA">
                  <w:pPr>
                    <w:jc w:val="center"/>
                    <w:rPr>
                      <w:rFonts w:eastAsia="宋体"/>
                      <w:sz w:val="21"/>
                      <w:szCs w:val="21"/>
                      <w:u w:val="none"/>
                    </w:rPr>
                  </w:pPr>
                </w:p>
              </w:tc>
              <w:tc>
                <w:tcPr>
                  <w:tcW w:w="904" w:type="pct"/>
                  <w:vMerge w:val="continue"/>
                  <w:shd w:val="clear" w:color="auto" w:fill="auto"/>
                  <w:noWrap w:val="0"/>
                  <w:vAlign w:val="center"/>
                </w:tcPr>
                <w:p w14:paraId="6A4B39F0">
                  <w:pPr>
                    <w:jc w:val="center"/>
                    <w:rPr>
                      <w:rFonts w:eastAsia="宋体"/>
                      <w:sz w:val="21"/>
                      <w:szCs w:val="21"/>
                      <w:u w:val="none"/>
                    </w:rPr>
                  </w:pPr>
                </w:p>
              </w:tc>
              <w:tc>
                <w:tcPr>
                  <w:tcW w:w="454" w:type="pct"/>
                  <w:shd w:val="clear" w:color="auto" w:fill="auto"/>
                  <w:noWrap w:val="0"/>
                  <w:vAlign w:val="center"/>
                </w:tcPr>
                <w:p w14:paraId="763D781F">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19FE3623">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5854E161">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0ECD82BB">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018FBCCE">
                  <w:pPr>
                    <w:jc w:val="center"/>
                    <w:rPr>
                      <w:rFonts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0ED789C9">
                  <w:pPr>
                    <w:jc w:val="center"/>
                    <w:rPr>
                      <w:rFonts w:eastAsia="宋体"/>
                      <w:sz w:val="21"/>
                      <w:szCs w:val="21"/>
                      <w:u w:val="none"/>
                    </w:rPr>
                  </w:pPr>
                  <w:r>
                    <w:rPr>
                      <w:rFonts w:eastAsia="宋体"/>
                      <w:sz w:val="21"/>
                      <w:szCs w:val="21"/>
                      <w:u w:val="none"/>
                    </w:rPr>
                    <w:t>是</w:t>
                  </w:r>
                </w:p>
              </w:tc>
            </w:tr>
            <w:tr w14:paraId="1F03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3B1F69A7">
                  <w:pPr>
                    <w:jc w:val="center"/>
                    <w:rPr>
                      <w:rFonts w:eastAsia="宋体"/>
                      <w:sz w:val="21"/>
                      <w:szCs w:val="21"/>
                      <w:u w:val="none"/>
                    </w:rPr>
                  </w:pPr>
                  <w:r>
                    <w:rPr>
                      <w:rFonts w:eastAsia="宋体"/>
                      <w:sz w:val="21"/>
                      <w:szCs w:val="21"/>
                      <w:u w:val="none"/>
                    </w:rPr>
                    <w:t>DA009</w:t>
                  </w:r>
                </w:p>
              </w:tc>
              <w:tc>
                <w:tcPr>
                  <w:tcW w:w="904" w:type="pct"/>
                  <w:vMerge w:val="restart"/>
                  <w:shd w:val="clear" w:color="auto" w:fill="auto"/>
                  <w:noWrap w:val="0"/>
                  <w:vAlign w:val="center"/>
                </w:tcPr>
                <w:p w14:paraId="643B03A5">
                  <w:pPr>
                    <w:jc w:val="center"/>
                    <w:rPr>
                      <w:rFonts w:eastAsia="宋体"/>
                      <w:sz w:val="21"/>
                      <w:szCs w:val="21"/>
                      <w:u w:val="none"/>
                    </w:rPr>
                  </w:pPr>
                  <w:r>
                    <w:rPr>
                      <w:rFonts w:eastAsia="宋体"/>
                      <w:sz w:val="21"/>
                      <w:szCs w:val="21"/>
                      <w:u w:val="none"/>
                    </w:rPr>
                    <w:t>6#磨煤干燥尾气处理设施</w:t>
                  </w:r>
                </w:p>
              </w:tc>
              <w:tc>
                <w:tcPr>
                  <w:tcW w:w="454" w:type="pct"/>
                  <w:shd w:val="clear" w:color="auto" w:fill="auto"/>
                  <w:noWrap w:val="0"/>
                  <w:vAlign w:val="center"/>
                </w:tcPr>
                <w:p w14:paraId="1A2D9EDB">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86DE6E4">
                  <w:pPr>
                    <w:jc w:val="center"/>
                    <w:rPr>
                      <w:rFonts w:eastAsia="宋体"/>
                      <w:sz w:val="21"/>
                      <w:szCs w:val="21"/>
                      <w:u w:val="none"/>
                    </w:rPr>
                  </w:pPr>
                  <w:r>
                    <w:rPr>
                      <w:rFonts w:eastAsia="宋体"/>
                      <w:sz w:val="21"/>
                      <w:szCs w:val="21"/>
                      <w:u w:val="none"/>
                    </w:rPr>
                    <w:t>20.1~29.3</w:t>
                  </w:r>
                </w:p>
              </w:tc>
              <w:tc>
                <w:tcPr>
                  <w:tcW w:w="732" w:type="pct"/>
                  <w:shd w:val="clear" w:color="auto" w:fill="auto"/>
                  <w:noWrap w:val="0"/>
                  <w:vAlign w:val="center"/>
                </w:tcPr>
                <w:p w14:paraId="5AB06068">
                  <w:pPr>
                    <w:jc w:val="center"/>
                    <w:rPr>
                      <w:rFonts w:eastAsia="宋体"/>
                      <w:sz w:val="21"/>
                      <w:szCs w:val="21"/>
                      <w:u w:val="none"/>
                    </w:rPr>
                  </w:pPr>
                  <w:r>
                    <w:rPr>
                      <w:rFonts w:eastAsia="宋体"/>
                      <w:sz w:val="21"/>
                      <w:szCs w:val="21"/>
                      <w:u w:val="none"/>
                    </w:rPr>
                    <w:t>1.06</w:t>
                  </w:r>
                </w:p>
              </w:tc>
              <w:tc>
                <w:tcPr>
                  <w:tcW w:w="610" w:type="pct"/>
                  <w:shd w:val="clear" w:color="auto" w:fill="auto"/>
                  <w:noWrap w:val="0"/>
                  <w:vAlign w:val="center"/>
                </w:tcPr>
                <w:p w14:paraId="7E3A5C03">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19FE68AE">
                  <w:pPr>
                    <w:jc w:val="center"/>
                    <w:rPr>
                      <w:rFonts w:eastAsia="宋体"/>
                      <w:sz w:val="21"/>
                      <w:szCs w:val="21"/>
                      <w:u w:val="none"/>
                    </w:rPr>
                  </w:pPr>
                  <w:r>
                    <w:rPr>
                      <w:rFonts w:hint="eastAsia" w:eastAsia="宋体"/>
                      <w:sz w:val="21"/>
                      <w:szCs w:val="21"/>
                      <w:u w:val="none"/>
                    </w:rPr>
                    <w:t>99.76</w:t>
                  </w:r>
                </w:p>
              </w:tc>
              <w:tc>
                <w:tcPr>
                  <w:tcW w:w="567" w:type="pct"/>
                  <w:shd w:val="clear" w:color="auto" w:fill="auto"/>
                  <w:noWrap w:val="0"/>
                  <w:vAlign w:val="center"/>
                </w:tcPr>
                <w:p w14:paraId="7A11ACD2">
                  <w:pPr>
                    <w:jc w:val="center"/>
                    <w:rPr>
                      <w:rFonts w:eastAsia="宋体"/>
                      <w:sz w:val="21"/>
                      <w:szCs w:val="21"/>
                      <w:u w:val="none"/>
                    </w:rPr>
                  </w:pPr>
                  <w:r>
                    <w:rPr>
                      <w:rFonts w:eastAsia="宋体"/>
                      <w:sz w:val="21"/>
                      <w:szCs w:val="21"/>
                      <w:u w:val="none"/>
                    </w:rPr>
                    <w:t>是</w:t>
                  </w:r>
                </w:p>
              </w:tc>
            </w:tr>
            <w:tr w14:paraId="2C02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B78B85A">
                  <w:pPr>
                    <w:jc w:val="center"/>
                    <w:rPr>
                      <w:rFonts w:eastAsia="宋体"/>
                      <w:sz w:val="21"/>
                      <w:szCs w:val="21"/>
                      <w:u w:val="none"/>
                    </w:rPr>
                  </w:pPr>
                </w:p>
              </w:tc>
              <w:tc>
                <w:tcPr>
                  <w:tcW w:w="904" w:type="pct"/>
                  <w:vMerge w:val="continue"/>
                  <w:shd w:val="clear" w:color="auto" w:fill="auto"/>
                  <w:noWrap w:val="0"/>
                  <w:vAlign w:val="center"/>
                </w:tcPr>
                <w:p w14:paraId="2FD2D866">
                  <w:pPr>
                    <w:jc w:val="center"/>
                    <w:rPr>
                      <w:rFonts w:eastAsia="宋体"/>
                      <w:sz w:val="21"/>
                      <w:szCs w:val="21"/>
                      <w:u w:val="none"/>
                    </w:rPr>
                  </w:pPr>
                </w:p>
              </w:tc>
              <w:tc>
                <w:tcPr>
                  <w:tcW w:w="454" w:type="pct"/>
                  <w:shd w:val="clear" w:color="auto" w:fill="auto"/>
                  <w:noWrap w:val="0"/>
                  <w:vAlign w:val="center"/>
                </w:tcPr>
                <w:p w14:paraId="5C54D3A2">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5A3695BD">
                  <w:pPr>
                    <w:jc w:val="center"/>
                    <w:rPr>
                      <w:rFonts w:eastAsia="宋体"/>
                      <w:sz w:val="21"/>
                      <w:szCs w:val="21"/>
                      <w:u w:val="none"/>
                    </w:rPr>
                  </w:pPr>
                  <w:r>
                    <w:rPr>
                      <w:rFonts w:eastAsia="宋体"/>
                      <w:sz w:val="21"/>
                      <w:szCs w:val="21"/>
                      <w:u w:val="none"/>
                    </w:rPr>
                    <w:t>未监测</w:t>
                  </w:r>
                </w:p>
              </w:tc>
              <w:tc>
                <w:tcPr>
                  <w:tcW w:w="732" w:type="pct"/>
                  <w:shd w:val="clear" w:color="auto" w:fill="auto"/>
                  <w:noWrap w:val="0"/>
                  <w:vAlign w:val="center"/>
                </w:tcPr>
                <w:p w14:paraId="1B67C277">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4D0B4BD5">
                  <w:pPr>
                    <w:jc w:val="center"/>
                    <w:rPr>
                      <w:rFonts w:eastAsia="宋体"/>
                      <w:sz w:val="21"/>
                      <w:szCs w:val="21"/>
                      <w:u w:val="none"/>
                    </w:rPr>
                  </w:pPr>
                  <w:r>
                    <w:rPr>
                      <w:rFonts w:eastAsia="宋体"/>
                      <w:sz w:val="21"/>
                      <w:szCs w:val="21"/>
                      <w:u w:val="none"/>
                    </w:rPr>
                    <w:t>240</w:t>
                  </w:r>
                </w:p>
              </w:tc>
              <w:tc>
                <w:tcPr>
                  <w:tcW w:w="569" w:type="pct"/>
                  <w:shd w:val="clear" w:color="auto" w:fill="auto"/>
                  <w:noWrap w:val="0"/>
                  <w:vAlign w:val="center"/>
                </w:tcPr>
                <w:p w14:paraId="36FBA027">
                  <w:pPr>
                    <w:jc w:val="center"/>
                    <w:rPr>
                      <w:rFonts w:eastAsia="宋体"/>
                      <w:sz w:val="21"/>
                      <w:szCs w:val="21"/>
                      <w:u w:val="none"/>
                    </w:rPr>
                  </w:pPr>
                  <w:r>
                    <w:rPr>
                      <w:rFonts w:hint="eastAsia" w:eastAsia="宋体"/>
                      <w:sz w:val="21"/>
                      <w:szCs w:val="21"/>
                      <w:u w:val="none"/>
                    </w:rPr>
                    <w:t>19.5</w:t>
                  </w:r>
                </w:p>
              </w:tc>
              <w:tc>
                <w:tcPr>
                  <w:tcW w:w="567" w:type="pct"/>
                  <w:shd w:val="clear" w:color="auto" w:fill="auto"/>
                  <w:noWrap w:val="0"/>
                  <w:vAlign w:val="center"/>
                </w:tcPr>
                <w:p w14:paraId="3F3D28C6">
                  <w:pPr>
                    <w:jc w:val="center"/>
                    <w:rPr>
                      <w:rFonts w:eastAsia="宋体"/>
                      <w:sz w:val="21"/>
                      <w:szCs w:val="21"/>
                      <w:u w:val="none"/>
                    </w:rPr>
                  </w:pPr>
                  <w:r>
                    <w:rPr>
                      <w:rFonts w:eastAsia="宋体"/>
                      <w:sz w:val="21"/>
                      <w:szCs w:val="21"/>
                      <w:u w:val="none"/>
                    </w:rPr>
                    <w:t>是</w:t>
                  </w:r>
                </w:p>
              </w:tc>
            </w:tr>
            <w:tr w14:paraId="7270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4AB30B6D">
                  <w:pPr>
                    <w:jc w:val="center"/>
                    <w:rPr>
                      <w:rFonts w:eastAsia="宋体"/>
                      <w:sz w:val="21"/>
                      <w:szCs w:val="21"/>
                      <w:u w:val="none"/>
                    </w:rPr>
                  </w:pPr>
                  <w:r>
                    <w:rPr>
                      <w:rFonts w:eastAsia="宋体"/>
                      <w:sz w:val="21"/>
                      <w:szCs w:val="21"/>
                      <w:u w:val="none"/>
                    </w:rPr>
                    <w:t>DA001</w:t>
                  </w:r>
                </w:p>
              </w:tc>
              <w:tc>
                <w:tcPr>
                  <w:tcW w:w="904" w:type="pct"/>
                  <w:shd w:val="clear" w:color="auto" w:fill="auto"/>
                  <w:noWrap w:val="0"/>
                  <w:vAlign w:val="center"/>
                </w:tcPr>
                <w:p w14:paraId="1D185A2E">
                  <w:pPr>
                    <w:jc w:val="center"/>
                    <w:rPr>
                      <w:rFonts w:eastAsia="宋体"/>
                      <w:sz w:val="21"/>
                      <w:szCs w:val="21"/>
                      <w:u w:val="none"/>
                    </w:rPr>
                  </w:pPr>
                  <w:r>
                    <w:rPr>
                      <w:rFonts w:eastAsia="宋体"/>
                      <w:sz w:val="21"/>
                      <w:szCs w:val="21"/>
                      <w:u w:val="none"/>
                    </w:rPr>
                    <w:t>甲醇中间罐区水洗塔</w:t>
                  </w:r>
                </w:p>
              </w:tc>
              <w:tc>
                <w:tcPr>
                  <w:tcW w:w="454" w:type="pct"/>
                  <w:shd w:val="clear" w:color="auto" w:fill="auto"/>
                  <w:noWrap w:val="0"/>
                  <w:vAlign w:val="center"/>
                </w:tcPr>
                <w:p w14:paraId="6AC098C8">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6E8AB7C3">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169D9D5B">
                  <w:pPr>
                    <w:jc w:val="center"/>
                    <w:rPr>
                      <w:rFonts w:eastAsia="宋体"/>
                      <w:sz w:val="21"/>
                      <w:szCs w:val="21"/>
                      <w:u w:val="none"/>
                    </w:rPr>
                  </w:pPr>
                  <w:r>
                    <w:rPr>
                      <w:rFonts w:eastAsia="宋体"/>
                      <w:sz w:val="21"/>
                      <w:szCs w:val="21"/>
                      <w:u w:val="none"/>
                    </w:rPr>
                    <w:t>ND</w:t>
                  </w:r>
                </w:p>
              </w:tc>
              <w:tc>
                <w:tcPr>
                  <w:tcW w:w="610" w:type="pct"/>
                  <w:shd w:val="clear" w:color="auto" w:fill="auto"/>
                  <w:noWrap w:val="0"/>
                  <w:vAlign w:val="center"/>
                </w:tcPr>
                <w:p w14:paraId="5BB55980">
                  <w:pPr>
                    <w:jc w:val="center"/>
                    <w:rPr>
                      <w:rFonts w:hint="eastAsia"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62C27E7E">
                  <w:pPr>
                    <w:jc w:val="center"/>
                    <w:rPr>
                      <w:rFonts w:hint="eastAsia" w:eastAsia="宋体"/>
                      <w:sz w:val="21"/>
                      <w:szCs w:val="21"/>
                      <w:u w:val="none"/>
                    </w:rPr>
                  </w:pPr>
                  <w:r>
                    <w:rPr>
                      <w:rFonts w:hint="eastAsia" w:eastAsia="宋体"/>
                      <w:sz w:val="21"/>
                      <w:szCs w:val="21"/>
                      <w:u w:val="none"/>
                    </w:rPr>
                    <w:t>7.9</w:t>
                  </w:r>
                </w:p>
              </w:tc>
              <w:tc>
                <w:tcPr>
                  <w:tcW w:w="567" w:type="pct"/>
                  <w:shd w:val="clear" w:color="auto" w:fill="auto"/>
                  <w:noWrap w:val="0"/>
                  <w:vAlign w:val="center"/>
                </w:tcPr>
                <w:p w14:paraId="2AA7C6AF">
                  <w:pPr>
                    <w:jc w:val="center"/>
                    <w:rPr>
                      <w:rFonts w:eastAsia="宋体"/>
                      <w:sz w:val="21"/>
                      <w:szCs w:val="21"/>
                      <w:u w:val="none"/>
                    </w:rPr>
                  </w:pPr>
                  <w:r>
                    <w:rPr>
                      <w:rFonts w:eastAsia="宋体"/>
                      <w:sz w:val="21"/>
                      <w:szCs w:val="21"/>
                      <w:u w:val="none"/>
                    </w:rPr>
                    <w:t>是</w:t>
                  </w:r>
                </w:p>
              </w:tc>
            </w:tr>
            <w:tr w14:paraId="36F8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6D634339">
                  <w:pPr>
                    <w:jc w:val="center"/>
                    <w:rPr>
                      <w:rFonts w:eastAsia="宋体"/>
                      <w:sz w:val="21"/>
                      <w:szCs w:val="21"/>
                      <w:u w:val="none"/>
                    </w:rPr>
                  </w:pPr>
                  <w:r>
                    <w:rPr>
                      <w:rFonts w:eastAsia="宋体"/>
                      <w:sz w:val="21"/>
                      <w:szCs w:val="21"/>
                      <w:u w:val="none"/>
                    </w:rPr>
                    <w:t>DA039</w:t>
                  </w:r>
                </w:p>
              </w:tc>
              <w:tc>
                <w:tcPr>
                  <w:tcW w:w="904" w:type="pct"/>
                  <w:shd w:val="clear" w:color="auto" w:fill="auto"/>
                  <w:noWrap w:val="0"/>
                  <w:vAlign w:val="center"/>
                </w:tcPr>
                <w:p w14:paraId="4FAB37F1">
                  <w:pPr>
                    <w:jc w:val="center"/>
                    <w:rPr>
                      <w:rFonts w:eastAsia="宋体"/>
                      <w:sz w:val="21"/>
                      <w:szCs w:val="21"/>
                      <w:u w:val="none"/>
                    </w:rPr>
                  </w:pPr>
                  <w:r>
                    <w:rPr>
                      <w:rFonts w:eastAsia="宋体"/>
                      <w:sz w:val="21"/>
                      <w:szCs w:val="21"/>
                      <w:u w:val="none"/>
                    </w:rPr>
                    <w:t>甲醇2#装置精馏放空气</w:t>
                  </w:r>
                </w:p>
              </w:tc>
              <w:tc>
                <w:tcPr>
                  <w:tcW w:w="454" w:type="pct"/>
                  <w:shd w:val="clear" w:color="auto" w:fill="auto"/>
                  <w:noWrap w:val="0"/>
                  <w:vAlign w:val="center"/>
                </w:tcPr>
                <w:p w14:paraId="772D7B7A">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19294B16">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3BAFDA34">
                  <w:pPr>
                    <w:jc w:val="center"/>
                    <w:rPr>
                      <w:rFonts w:eastAsia="宋体"/>
                      <w:sz w:val="21"/>
                      <w:szCs w:val="21"/>
                      <w:u w:val="none"/>
                    </w:rPr>
                  </w:pPr>
                  <w:r>
                    <w:rPr>
                      <w:rFonts w:eastAsia="宋体"/>
                      <w:sz w:val="21"/>
                      <w:szCs w:val="21"/>
                      <w:u w:val="none"/>
                    </w:rPr>
                    <w:t>0.00062~0.000635</w:t>
                  </w:r>
                </w:p>
              </w:tc>
              <w:tc>
                <w:tcPr>
                  <w:tcW w:w="610" w:type="pct"/>
                  <w:shd w:val="clear" w:color="auto" w:fill="auto"/>
                  <w:noWrap w:val="0"/>
                  <w:vAlign w:val="center"/>
                </w:tcPr>
                <w:p w14:paraId="4BB38A7B">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38F12C48">
                  <w:pPr>
                    <w:jc w:val="center"/>
                    <w:rPr>
                      <w:rFonts w:hint="eastAsia" w:eastAsia="宋体"/>
                      <w:sz w:val="21"/>
                      <w:szCs w:val="21"/>
                      <w:u w:val="none"/>
                    </w:rPr>
                  </w:pPr>
                  <w:r>
                    <w:rPr>
                      <w:rFonts w:hint="eastAsia" w:eastAsia="宋体"/>
                      <w:sz w:val="21"/>
                      <w:szCs w:val="21"/>
                      <w:u w:val="none"/>
                    </w:rPr>
                    <w:t>29</w:t>
                  </w:r>
                </w:p>
              </w:tc>
              <w:tc>
                <w:tcPr>
                  <w:tcW w:w="567" w:type="pct"/>
                  <w:shd w:val="clear" w:color="auto" w:fill="auto"/>
                  <w:noWrap w:val="0"/>
                  <w:vAlign w:val="center"/>
                </w:tcPr>
                <w:p w14:paraId="1D9E370D">
                  <w:pPr>
                    <w:jc w:val="center"/>
                    <w:rPr>
                      <w:rFonts w:eastAsia="宋体"/>
                      <w:sz w:val="21"/>
                      <w:szCs w:val="21"/>
                      <w:u w:val="none"/>
                    </w:rPr>
                  </w:pPr>
                  <w:r>
                    <w:rPr>
                      <w:rFonts w:eastAsia="宋体"/>
                      <w:sz w:val="21"/>
                      <w:szCs w:val="21"/>
                      <w:u w:val="none"/>
                    </w:rPr>
                    <w:t>是</w:t>
                  </w:r>
                </w:p>
              </w:tc>
            </w:tr>
            <w:tr w14:paraId="0B3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53666992">
                  <w:pPr>
                    <w:jc w:val="center"/>
                    <w:rPr>
                      <w:rFonts w:eastAsia="宋体"/>
                      <w:sz w:val="21"/>
                      <w:szCs w:val="21"/>
                      <w:u w:val="none"/>
                    </w:rPr>
                  </w:pPr>
                  <w:r>
                    <w:rPr>
                      <w:rFonts w:eastAsia="宋体"/>
                      <w:sz w:val="21"/>
                      <w:szCs w:val="21"/>
                      <w:u w:val="none"/>
                    </w:rPr>
                    <w:t>DA041</w:t>
                  </w:r>
                </w:p>
              </w:tc>
              <w:tc>
                <w:tcPr>
                  <w:tcW w:w="904" w:type="pct"/>
                  <w:shd w:val="clear" w:color="auto" w:fill="auto"/>
                  <w:noWrap w:val="0"/>
                  <w:vAlign w:val="center"/>
                </w:tcPr>
                <w:p w14:paraId="678D1045">
                  <w:pPr>
                    <w:jc w:val="center"/>
                    <w:rPr>
                      <w:rFonts w:eastAsia="宋体"/>
                      <w:sz w:val="21"/>
                      <w:szCs w:val="21"/>
                      <w:u w:val="none"/>
                    </w:rPr>
                  </w:pPr>
                  <w:r>
                    <w:rPr>
                      <w:rFonts w:eastAsia="宋体"/>
                      <w:sz w:val="21"/>
                      <w:szCs w:val="21"/>
                      <w:u w:val="none"/>
                    </w:rPr>
                    <w:t>甲醇1#装置精馏放空气</w:t>
                  </w:r>
                </w:p>
              </w:tc>
              <w:tc>
                <w:tcPr>
                  <w:tcW w:w="454" w:type="pct"/>
                  <w:shd w:val="clear" w:color="auto" w:fill="auto"/>
                  <w:noWrap w:val="0"/>
                  <w:vAlign w:val="center"/>
                </w:tcPr>
                <w:p w14:paraId="670C43DB">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611C3C39">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607CF29C">
                  <w:pPr>
                    <w:jc w:val="center"/>
                    <w:rPr>
                      <w:rFonts w:eastAsia="宋体"/>
                      <w:sz w:val="21"/>
                      <w:szCs w:val="21"/>
                      <w:u w:val="none"/>
                    </w:rPr>
                  </w:pPr>
                  <w:r>
                    <w:rPr>
                      <w:rFonts w:eastAsia="宋体"/>
                      <w:sz w:val="21"/>
                      <w:szCs w:val="21"/>
                      <w:u w:val="none"/>
                    </w:rPr>
                    <w:t>0.000615~0.000631</w:t>
                  </w:r>
                </w:p>
              </w:tc>
              <w:tc>
                <w:tcPr>
                  <w:tcW w:w="610" w:type="pct"/>
                  <w:shd w:val="clear" w:color="auto" w:fill="auto"/>
                  <w:noWrap w:val="0"/>
                  <w:vAlign w:val="center"/>
                </w:tcPr>
                <w:p w14:paraId="25BADEEA">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3C61533C">
                  <w:pPr>
                    <w:jc w:val="center"/>
                    <w:rPr>
                      <w:rFonts w:hint="eastAsia" w:eastAsia="宋体"/>
                      <w:sz w:val="21"/>
                      <w:szCs w:val="21"/>
                      <w:u w:val="none"/>
                    </w:rPr>
                  </w:pPr>
                  <w:r>
                    <w:rPr>
                      <w:rFonts w:hint="eastAsia" w:eastAsia="宋体"/>
                      <w:sz w:val="21"/>
                      <w:szCs w:val="21"/>
                      <w:u w:val="none"/>
                    </w:rPr>
                    <w:t>29</w:t>
                  </w:r>
                </w:p>
              </w:tc>
              <w:tc>
                <w:tcPr>
                  <w:tcW w:w="567" w:type="pct"/>
                  <w:shd w:val="clear" w:color="auto" w:fill="auto"/>
                  <w:noWrap w:val="0"/>
                  <w:vAlign w:val="center"/>
                </w:tcPr>
                <w:p w14:paraId="5C318D34">
                  <w:pPr>
                    <w:jc w:val="center"/>
                    <w:rPr>
                      <w:rFonts w:eastAsia="宋体"/>
                      <w:sz w:val="21"/>
                      <w:szCs w:val="21"/>
                      <w:u w:val="none"/>
                    </w:rPr>
                  </w:pPr>
                  <w:r>
                    <w:rPr>
                      <w:rFonts w:eastAsia="宋体"/>
                      <w:sz w:val="21"/>
                      <w:szCs w:val="21"/>
                      <w:u w:val="none"/>
                    </w:rPr>
                    <w:t>是</w:t>
                  </w:r>
                </w:p>
              </w:tc>
            </w:tr>
            <w:tr w14:paraId="5DC7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63C7D15C">
                  <w:pPr>
                    <w:jc w:val="center"/>
                    <w:rPr>
                      <w:rFonts w:eastAsia="宋体"/>
                      <w:sz w:val="21"/>
                      <w:szCs w:val="21"/>
                      <w:u w:val="none"/>
                    </w:rPr>
                  </w:pPr>
                  <w:r>
                    <w:rPr>
                      <w:rFonts w:eastAsia="宋体"/>
                      <w:sz w:val="21"/>
                      <w:szCs w:val="21"/>
                      <w:u w:val="none"/>
                    </w:rPr>
                    <w:t>DA027</w:t>
                  </w:r>
                </w:p>
              </w:tc>
              <w:tc>
                <w:tcPr>
                  <w:tcW w:w="904" w:type="pct"/>
                  <w:shd w:val="clear" w:color="auto" w:fill="auto"/>
                  <w:noWrap w:val="0"/>
                  <w:vAlign w:val="center"/>
                </w:tcPr>
                <w:p w14:paraId="682DC086">
                  <w:pPr>
                    <w:jc w:val="center"/>
                    <w:rPr>
                      <w:rFonts w:eastAsia="宋体"/>
                      <w:sz w:val="21"/>
                      <w:szCs w:val="21"/>
                      <w:u w:val="none"/>
                    </w:rPr>
                  </w:pPr>
                  <w:r>
                    <w:rPr>
                      <w:rFonts w:eastAsia="宋体"/>
                      <w:sz w:val="21"/>
                      <w:szCs w:val="21"/>
                      <w:u w:val="none"/>
                    </w:rPr>
                    <w:t>2#转运站</w:t>
                  </w:r>
                </w:p>
              </w:tc>
              <w:tc>
                <w:tcPr>
                  <w:tcW w:w="454" w:type="pct"/>
                  <w:shd w:val="clear" w:color="auto" w:fill="auto"/>
                  <w:noWrap w:val="0"/>
                  <w:vAlign w:val="center"/>
                </w:tcPr>
                <w:p w14:paraId="63976F08">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5D4C46D">
                  <w:pPr>
                    <w:jc w:val="center"/>
                    <w:rPr>
                      <w:rFonts w:eastAsia="宋体"/>
                      <w:sz w:val="21"/>
                      <w:szCs w:val="21"/>
                      <w:u w:val="none"/>
                    </w:rPr>
                  </w:pPr>
                  <w:r>
                    <w:rPr>
                      <w:rFonts w:eastAsia="宋体"/>
                      <w:sz w:val="21"/>
                      <w:szCs w:val="21"/>
                      <w:u w:val="none"/>
                    </w:rPr>
                    <w:t>28.1~29.2</w:t>
                  </w:r>
                </w:p>
              </w:tc>
              <w:tc>
                <w:tcPr>
                  <w:tcW w:w="732" w:type="pct"/>
                  <w:shd w:val="clear" w:color="auto" w:fill="auto"/>
                  <w:noWrap w:val="0"/>
                  <w:vAlign w:val="center"/>
                </w:tcPr>
                <w:p w14:paraId="6AAC15B1">
                  <w:pPr>
                    <w:jc w:val="center"/>
                    <w:rPr>
                      <w:rFonts w:eastAsia="宋体"/>
                      <w:sz w:val="21"/>
                      <w:szCs w:val="21"/>
                      <w:u w:val="none"/>
                    </w:rPr>
                  </w:pPr>
                  <w:r>
                    <w:rPr>
                      <w:rFonts w:eastAsia="宋体"/>
                      <w:sz w:val="21"/>
                      <w:szCs w:val="21"/>
                      <w:u w:val="none"/>
                    </w:rPr>
                    <w:t>0.171~0.182</w:t>
                  </w:r>
                </w:p>
              </w:tc>
              <w:tc>
                <w:tcPr>
                  <w:tcW w:w="610" w:type="pct"/>
                  <w:shd w:val="clear" w:color="auto" w:fill="auto"/>
                  <w:noWrap w:val="0"/>
                  <w:vAlign w:val="center"/>
                </w:tcPr>
                <w:p w14:paraId="00C0F264">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40A3D3B9">
                  <w:pPr>
                    <w:jc w:val="center"/>
                    <w:rPr>
                      <w:rFonts w:hint="eastAsia" w:eastAsia="宋体"/>
                      <w:sz w:val="21"/>
                      <w:szCs w:val="21"/>
                      <w:u w:val="none"/>
                    </w:rPr>
                  </w:pPr>
                  <w:r>
                    <w:rPr>
                      <w:rFonts w:hint="eastAsia" w:eastAsia="宋体"/>
                      <w:sz w:val="21"/>
                      <w:szCs w:val="21"/>
                      <w:u w:val="none"/>
                    </w:rPr>
                    <w:t>55.8</w:t>
                  </w:r>
                </w:p>
              </w:tc>
              <w:tc>
                <w:tcPr>
                  <w:tcW w:w="567" w:type="pct"/>
                  <w:shd w:val="clear" w:color="auto" w:fill="auto"/>
                  <w:noWrap w:val="0"/>
                  <w:vAlign w:val="center"/>
                </w:tcPr>
                <w:p w14:paraId="7C18C57B">
                  <w:pPr>
                    <w:jc w:val="center"/>
                    <w:rPr>
                      <w:rFonts w:eastAsia="宋体"/>
                      <w:sz w:val="21"/>
                      <w:szCs w:val="21"/>
                      <w:u w:val="none"/>
                    </w:rPr>
                  </w:pPr>
                  <w:r>
                    <w:rPr>
                      <w:rFonts w:eastAsia="宋体"/>
                      <w:sz w:val="21"/>
                      <w:szCs w:val="21"/>
                      <w:u w:val="none"/>
                    </w:rPr>
                    <w:t>是</w:t>
                  </w:r>
                </w:p>
              </w:tc>
            </w:tr>
            <w:tr w14:paraId="41C7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0DC9F28D">
                  <w:pPr>
                    <w:jc w:val="center"/>
                    <w:rPr>
                      <w:rFonts w:eastAsia="宋体"/>
                      <w:sz w:val="21"/>
                      <w:szCs w:val="21"/>
                      <w:u w:val="none"/>
                    </w:rPr>
                  </w:pPr>
                  <w:r>
                    <w:rPr>
                      <w:rFonts w:eastAsia="宋体"/>
                      <w:sz w:val="21"/>
                      <w:szCs w:val="21"/>
                      <w:u w:val="none"/>
                    </w:rPr>
                    <w:t>DA028</w:t>
                  </w:r>
                </w:p>
              </w:tc>
              <w:tc>
                <w:tcPr>
                  <w:tcW w:w="904" w:type="pct"/>
                  <w:shd w:val="clear" w:color="auto" w:fill="auto"/>
                  <w:noWrap w:val="0"/>
                  <w:vAlign w:val="center"/>
                </w:tcPr>
                <w:p w14:paraId="601C070B">
                  <w:pPr>
                    <w:jc w:val="center"/>
                    <w:rPr>
                      <w:rFonts w:eastAsia="宋体"/>
                      <w:sz w:val="21"/>
                      <w:szCs w:val="21"/>
                      <w:u w:val="none"/>
                    </w:rPr>
                  </w:pPr>
                  <w:r>
                    <w:rPr>
                      <w:rFonts w:eastAsia="宋体"/>
                      <w:sz w:val="21"/>
                      <w:szCs w:val="21"/>
                      <w:u w:val="none"/>
                    </w:rPr>
                    <w:t>3#转运站</w:t>
                  </w:r>
                </w:p>
              </w:tc>
              <w:tc>
                <w:tcPr>
                  <w:tcW w:w="454" w:type="pct"/>
                  <w:shd w:val="clear" w:color="auto" w:fill="auto"/>
                  <w:noWrap w:val="0"/>
                  <w:vAlign w:val="center"/>
                </w:tcPr>
                <w:p w14:paraId="0FA89BB7">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016F0E29">
                  <w:pPr>
                    <w:jc w:val="center"/>
                    <w:rPr>
                      <w:rFonts w:eastAsia="宋体"/>
                      <w:sz w:val="21"/>
                      <w:szCs w:val="21"/>
                      <w:u w:val="none"/>
                    </w:rPr>
                  </w:pPr>
                  <w:r>
                    <w:rPr>
                      <w:rFonts w:eastAsia="宋体"/>
                      <w:sz w:val="21"/>
                      <w:szCs w:val="21"/>
                      <w:u w:val="none"/>
                    </w:rPr>
                    <w:t>10.3~11.7</w:t>
                  </w:r>
                </w:p>
              </w:tc>
              <w:tc>
                <w:tcPr>
                  <w:tcW w:w="732" w:type="pct"/>
                  <w:shd w:val="clear" w:color="auto" w:fill="auto"/>
                  <w:noWrap w:val="0"/>
                  <w:vAlign w:val="center"/>
                </w:tcPr>
                <w:p w14:paraId="12562249">
                  <w:pPr>
                    <w:jc w:val="center"/>
                    <w:rPr>
                      <w:rFonts w:eastAsia="宋体"/>
                      <w:sz w:val="21"/>
                      <w:szCs w:val="21"/>
                      <w:u w:val="none"/>
                    </w:rPr>
                  </w:pPr>
                  <w:r>
                    <w:rPr>
                      <w:rFonts w:eastAsia="宋体"/>
                      <w:sz w:val="21"/>
                      <w:szCs w:val="21"/>
                      <w:u w:val="none"/>
                    </w:rPr>
                    <w:t>0.109~0.127</w:t>
                  </w:r>
                </w:p>
              </w:tc>
              <w:tc>
                <w:tcPr>
                  <w:tcW w:w="610" w:type="pct"/>
                  <w:shd w:val="clear" w:color="auto" w:fill="auto"/>
                  <w:noWrap w:val="0"/>
                  <w:vAlign w:val="center"/>
                </w:tcPr>
                <w:p w14:paraId="0873BC7C">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0D4300D6">
                  <w:pPr>
                    <w:jc w:val="center"/>
                    <w:rPr>
                      <w:rFonts w:hint="eastAsia" w:eastAsia="宋体"/>
                      <w:sz w:val="21"/>
                      <w:szCs w:val="21"/>
                      <w:u w:val="none"/>
                    </w:rPr>
                  </w:pPr>
                  <w:r>
                    <w:rPr>
                      <w:rFonts w:hint="eastAsia" w:eastAsia="宋体"/>
                      <w:sz w:val="21"/>
                      <w:szCs w:val="21"/>
                      <w:u w:val="none"/>
                    </w:rPr>
                    <w:t>3.5</w:t>
                  </w:r>
                </w:p>
              </w:tc>
              <w:tc>
                <w:tcPr>
                  <w:tcW w:w="567" w:type="pct"/>
                  <w:shd w:val="clear" w:color="auto" w:fill="auto"/>
                  <w:noWrap w:val="0"/>
                  <w:vAlign w:val="center"/>
                </w:tcPr>
                <w:p w14:paraId="474156FD">
                  <w:pPr>
                    <w:jc w:val="center"/>
                    <w:rPr>
                      <w:rFonts w:eastAsia="宋体"/>
                      <w:sz w:val="21"/>
                      <w:szCs w:val="21"/>
                      <w:u w:val="none"/>
                    </w:rPr>
                  </w:pPr>
                  <w:r>
                    <w:rPr>
                      <w:rFonts w:eastAsia="宋体"/>
                      <w:sz w:val="21"/>
                      <w:szCs w:val="21"/>
                      <w:u w:val="none"/>
                    </w:rPr>
                    <w:t>是</w:t>
                  </w:r>
                </w:p>
              </w:tc>
            </w:tr>
            <w:tr w14:paraId="0CAE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4C7E49BA">
                  <w:pPr>
                    <w:jc w:val="center"/>
                    <w:rPr>
                      <w:rFonts w:eastAsia="宋体"/>
                      <w:sz w:val="21"/>
                      <w:szCs w:val="21"/>
                      <w:u w:val="none"/>
                    </w:rPr>
                  </w:pPr>
                  <w:r>
                    <w:rPr>
                      <w:rFonts w:eastAsia="宋体"/>
                      <w:sz w:val="21"/>
                      <w:szCs w:val="21"/>
                      <w:u w:val="none"/>
                    </w:rPr>
                    <w:t>DA029</w:t>
                  </w:r>
                </w:p>
              </w:tc>
              <w:tc>
                <w:tcPr>
                  <w:tcW w:w="904" w:type="pct"/>
                  <w:shd w:val="clear" w:color="auto" w:fill="auto"/>
                  <w:noWrap w:val="0"/>
                  <w:vAlign w:val="center"/>
                </w:tcPr>
                <w:p w14:paraId="6C4B6CB7">
                  <w:pPr>
                    <w:jc w:val="center"/>
                    <w:rPr>
                      <w:rFonts w:eastAsia="宋体"/>
                      <w:sz w:val="21"/>
                      <w:szCs w:val="21"/>
                      <w:u w:val="none"/>
                    </w:rPr>
                  </w:pPr>
                  <w:r>
                    <w:rPr>
                      <w:rFonts w:eastAsia="宋体"/>
                      <w:sz w:val="21"/>
                      <w:szCs w:val="21"/>
                      <w:u w:val="none"/>
                    </w:rPr>
                    <w:t>4#转运站</w:t>
                  </w:r>
                </w:p>
              </w:tc>
              <w:tc>
                <w:tcPr>
                  <w:tcW w:w="454" w:type="pct"/>
                  <w:shd w:val="clear" w:color="auto" w:fill="auto"/>
                  <w:noWrap w:val="0"/>
                  <w:vAlign w:val="center"/>
                </w:tcPr>
                <w:p w14:paraId="3DEFE378">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17D3030">
                  <w:pPr>
                    <w:jc w:val="center"/>
                    <w:rPr>
                      <w:rFonts w:eastAsia="宋体"/>
                      <w:sz w:val="21"/>
                      <w:szCs w:val="21"/>
                      <w:u w:val="none"/>
                    </w:rPr>
                  </w:pPr>
                  <w:r>
                    <w:rPr>
                      <w:rFonts w:eastAsia="宋体"/>
                      <w:sz w:val="21"/>
                      <w:szCs w:val="21"/>
                      <w:u w:val="none"/>
                    </w:rPr>
                    <w:t>31.9~36.2</w:t>
                  </w:r>
                </w:p>
              </w:tc>
              <w:tc>
                <w:tcPr>
                  <w:tcW w:w="732" w:type="pct"/>
                  <w:shd w:val="clear" w:color="auto" w:fill="auto"/>
                  <w:noWrap w:val="0"/>
                  <w:vAlign w:val="center"/>
                </w:tcPr>
                <w:p w14:paraId="26130D6D">
                  <w:pPr>
                    <w:jc w:val="center"/>
                    <w:rPr>
                      <w:rFonts w:eastAsia="宋体"/>
                      <w:sz w:val="21"/>
                      <w:szCs w:val="21"/>
                      <w:u w:val="none"/>
                    </w:rPr>
                  </w:pPr>
                  <w:r>
                    <w:rPr>
                      <w:rFonts w:eastAsia="宋体"/>
                      <w:sz w:val="21"/>
                      <w:szCs w:val="21"/>
                      <w:u w:val="none"/>
                    </w:rPr>
                    <w:t>0.212</w:t>
                  </w:r>
                </w:p>
              </w:tc>
              <w:tc>
                <w:tcPr>
                  <w:tcW w:w="610" w:type="pct"/>
                  <w:shd w:val="clear" w:color="auto" w:fill="auto"/>
                  <w:noWrap w:val="0"/>
                  <w:vAlign w:val="center"/>
                </w:tcPr>
                <w:p w14:paraId="55FA4382">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430DBA46">
                  <w:pPr>
                    <w:jc w:val="center"/>
                    <w:rPr>
                      <w:rFonts w:hint="eastAsia" w:eastAsia="宋体"/>
                      <w:sz w:val="21"/>
                      <w:szCs w:val="21"/>
                      <w:u w:val="none"/>
                    </w:rPr>
                  </w:pPr>
                  <w:r>
                    <w:rPr>
                      <w:rFonts w:hint="eastAsia" w:eastAsia="宋体"/>
                      <w:sz w:val="21"/>
                      <w:szCs w:val="21"/>
                      <w:u w:val="none"/>
                    </w:rPr>
                    <w:t>3.98</w:t>
                  </w:r>
                </w:p>
              </w:tc>
              <w:tc>
                <w:tcPr>
                  <w:tcW w:w="567" w:type="pct"/>
                  <w:shd w:val="clear" w:color="auto" w:fill="auto"/>
                  <w:noWrap w:val="0"/>
                  <w:vAlign w:val="center"/>
                </w:tcPr>
                <w:p w14:paraId="0A022459">
                  <w:pPr>
                    <w:jc w:val="center"/>
                    <w:rPr>
                      <w:rFonts w:eastAsia="宋体"/>
                      <w:sz w:val="21"/>
                      <w:szCs w:val="21"/>
                      <w:u w:val="none"/>
                    </w:rPr>
                  </w:pPr>
                  <w:r>
                    <w:rPr>
                      <w:rFonts w:eastAsia="宋体"/>
                      <w:sz w:val="21"/>
                      <w:szCs w:val="21"/>
                      <w:u w:val="none"/>
                    </w:rPr>
                    <w:t>是</w:t>
                  </w:r>
                </w:p>
              </w:tc>
            </w:tr>
            <w:tr w14:paraId="2713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77C3A191">
                  <w:pPr>
                    <w:jc w:val="center"/>
                    <w:rPr>
                      <w:rFonts w:eastAsia="宋体"/>
                      <w:sz w:val="21"/>
                      <w:szCs w:val="21"/>
                      <w:u w:val="none"/>
                    </w:rPr>
                  </w:pPr>
                  <w:r>
                    <w:rPr>
                      <w:rFonts w:eastAsia="宋体"/>
                      <w:sz w:val="21"/>
                      <w:szCs w:val="21"/>
                      <w:u w:val="none"/>
                    </w:rPr>
                    <w:t>DA010</w:t>
                  </w:r>
                </w:p>
              </w:tc>
              <w:tc>
                <w:tcPr>
                  <w:tcW w:w="904" w:type="pct"/>
                  <w:shd w:val="clear" w:color="auto" w:fill="auto"/>
                  <w:noWrap w:val="0"/>
                  <w:vAlign w:val="center"/>
                </w:tcPr>
                <w:p w14:paraId="6677B775">
                  <w:pPr>
                    <w:jc w:val="center"/>
                    <w:rPr>
                      <w:rFonts w:eastAsia="宋体"/>
                      <w:sz w:val="21"/>
                      <w:szCs w:val="21"/>
                      <w:u w:val="none"/>
                    </w:rPr>
                  </w:pPr>
                  <w:r>
                    <w:rPr>
                      <w:rFonts w:eastAsia="宋体"/>
                      <w:sz w:val="21"/>
                      <w:szCs w:val="21"/>
                      <w:u w:val="none"/>
                    </w:rPr>
                    <w:t>1#磨前煤仓</w:t>
                  </w:r>
                </w:p>
              </w:tc>
              <w:tc>
                <w:tcPr>
                  <w:tcW w:w="454" w:type="pct"/>
                  <w:shd w:val="clear" w:color="auto" w:fill="auto"/>
                  <w:noWrap w:val="0"/>
                  <w:vAlign w:val="center"/>
                </w:tcPr>
                <w:p w14:paraId="7EC6E3DE">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66F83EF">
                  <w:pPr>
                    <w:jc w:val="center"/>
                    <w:rPr>
                      <w:rFonts w:eastAsia="宋体"/>
                      <w:sz w:val="21"/>
                      <w:szCs w:val="21"/>
                      <w:u w:val="none"/>
                    </w:rPr>
                  </w:pPr>
                  <w:r>
                    <w:rPr>
                      <w:rFonts w:eastAsia="宋体"/>
                      <w:sz w:val="21"/>
                      <w:szCs w:val="21"/>
                      <w:u w:val="none"/>
                    </w:rPr>
                    <w:t>46.6~49.1</w:t>
                  </w:r>
                </w:p>
              </w:tc>
              <w:tc>
                <w:tcPr>
                  <w:tcW w:w="732" w:type="pct"/>
                  <w:shd w:val="clear" w:color="auto" w:fill="auto"/>
                  <w:noWrap w:val="0"/>
                  <w:vAlign w:val="center"/>
                </w:tcPr>
                <w:p w14:paraId="01AB74B2">
                  <w:pPr>
                    <w:jc w:val="center"/>
                    <w:rPr>
                      <w:rFonts w:eastAsia="宋体"/>
                      <w:sz w:val="21"/>
                      <w:szCs w:val="21"/>
                      <w:u w:val="none"/>
                    </w:rPr>
                  </w:pPr>
                  <w:r>
                    <w:rPr>
                      <w:rFonts w:eastAsia="宋体"/>
                      <w:sz w:val="21"/>
                      <w:szCs w:val="21"/>
                      <w:u w:val="none"/>
                    </w:rPr>
                    <w:t>0.0637~0.0669</w:t>
                  </w:r>
                </w:p>
              </w:tc>
              <w:tc>
                <w:tcPr>
                  <w:tcW w:w="610" w:type="pct"/>
                  <w:shd w:val="clear" w:color="auto" w:fill="auto"/>
                  <w:noWrap w:val="0"/>
                  <w:vAlign w:val="center"/>
                </w:tcPr>
                <w:p w14:paraId="0B1A3BD8">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3BAE5D6A">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653F15B8">
                  <w:pPr>
                    <w:jc w:val="center"/>
                    <w:rPr>
                      <w:rFonts w:eastAsia="宋体"/>
                      <w:sz w:val="21"/>
                      <w:szCs w:val="21"/>
                      <w:u w:val="none"/>
                    </w:rPr>
                  </w:pPr>
                  <w:r>
                    <w:rPr>
                      <w:rFonts w:eastAsia="宋体"/>
                      <w:sz w:val="21"/>
                      <w:szCs w:val="21"/>
                      <w:u w:val="none"/>
                    </w:rPr>
                    <w:t>是</w:t>
                  </w:r>
                </w:p>
              </w:tc>
            </w:tr>
            <w:tr w14:paraId="3D50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4FFF1DF2">
                  <w:pPr>
                    <w:jc w:val="center"/>
                    <w:rPr>
                      <w:rFonts w:eastAsia="宋体"/>
                      <w:sz w:val="21"/>
                      <w:szCs w:val="21"/>
                      <w:u w:val="none"/>
                    </w:rPr>
                  </w:pPr>
                  <w:r>
                    <w:rPr>
                      <w:rFonts w:eastAsia="宋体"/>
                      <w:sz w:val="21"/>
                      <w:szCs w:val="21"/>
                      <w:u w:val="none"/>
                    </w:rPr>
                    <w:t>DA012</w:t>
                  </w:r>
                </w:p>
              </w:tc>
              <w:tc>
                <w:tcPr>
                  <w:tcW w:w="904" w:type="pct"/>
                  <w:shd w:val="clear" w:color="auto" w:fill="auto"/>
                  <w:noWrap w:val="0"/>
                  <w:vAlign w:val="center"/>
                </w:tcPr>
                <w:p w14:paraId="36F42D34">
                  <w:pPr>
                    <w:jc w:val="center"/>
                    <w:rPr>
                      <w:rFonts w:eastAsia="宋体"/>
                      <w:sz w:val="21"/>
                      <w:szCs w:val="21"/>
                      <w:u w:val="none"/>
                    </w:rPr>
                  </w:pPr>
                  <w:r>
                    <w:rPr>
                      <w:rFonts w:eastAsia="宋体"/>
                      <w:sz w:val="21"/>
                      <w:szCs w:val="21"/>
                      <w:u w:val="none"/>
                    </w:rPr>
                    <w:t>2#磨前煤仓</w:t>
                  </w:r>
                </w:p>
              </w:tc>
              <w:tc>
                <w:tcPr>
                  <w:tcW w:w="454" w:type="pct"/>
                  <w:shd w:val="clear" w:color="auto" w:fill="auto"/>
                  <w:noWrap w:val="0"/>
                  <w:vAlign w:val="center"/>
                </w:tcPr>
                <w:p w14:paraId="4D4EF8F2">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CEB1ABB">
                  <w:pPr>
                    <w:jc w:val="center"/>
                    <w:rPr>
                      <w:rFonts w:eastAsia="宋体"/>
                      <w:sz w:val="21"/>
                      <w:szCs w:val="21"/>
                      <w:u w:val="none"/>
                    </w:rPr>
                  </w:pPr>
                  <w:r>
                    <w:rPr>
                      <w:rFonts w:eastAsia="宋体"/>
                      <w:sz w:val="21"/>
                      <w:szCs w:val="21"/>
                      <w:u w:val="none"/>
                    </w:rPr>
                    <w:t>30.7~35.2</w:t>
                  </w:r>
                </w:p>
              </w:tc>
              <w:tc>
                <w:tcPr>
                  <w:tcW w:w="732" w:type="pct"/>
                  <w:shd w:val="clear" w:color="auto" w:fill="auto"/>
                  <w:noWrap w:val="0"/>
                  <w:vAlign w:val="center"/>
                </w:tcPr>
                <w:p w14:paraId="0F2B26D2">
                  <w:pPr>
                    <w:jc w:val="center"/>
                    <w:rPr>
                      <w:rFonts w:eastAsia="宋体"/>
                      <w:sz w:val="21"/>
                      <w:szCs w:val="21"/>
                      <w:u w:val="none"/>
                    </w:rPr>
                  </w:pPr>
                  <w:r>
                    <w:rPr>
                      <w:rFonts w:eastAsia="宋体"/>
                      <w:sz w:val="21"/>
                      <w:szCs w:val="21"/>
                      <w:u w:val="none"/>
                    </w:rPr>
                    <w:t>0.0494</w:t>
                  </w:r>
                </w:p>
              </w:tc>
              <w:tc>
                <w:tcPr>
                  <w:tcW w:w="610" w:type="pct"/>
                  <w:shd w:val="clear" w:color="auto" w:fill="auto"/>
                  <w:noWrap w:val="0"/>
                  <w:vAlign w:val="center"/>
                </w:tcPr>
                <w:p w14:paraId="124938D1">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12B8E174">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500F1B1D">
                  <w:pPr>
                    <w:jc w:val="center"/>
                    <w:rPr>
                      <w:rFonts w:eastAsia="宋体"/>
                      <w:sz w:val="21"/>
                      <w:szCs w:val="21"/>
                      <w:u w:val="none"/>
                    </w:rPr>
                  </w:pPr>
                  <w:r>
                    <w:rPr>
                      <w:rFonts w:eastAsia="宋体"/>
                      <w:sz w:val="21"/>
                      <w:szCs w:val="21"/>
                      <w:u w:val="none"/>
                    </w:rPr>
                    <w:t>是</w:t>
                  </w:r>
                </w:p>
              </w:tc>
            </w:tr>
            <w:tr w14:paraId="10F9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21E85ECB">
                  <w:pPr>
                    <w:jc w:val="center"/>
                    <w:rPr>
                      <w:rFonts w:eastAsia="宋体"/>
                      <w:sz w:val="21"/>
                      <w:szCs w:val="21"/>
                      <w:u w:val="none"/>
                    </w:rPr>
                  </w:pPr>
                  <w:r>
                    <w:rPr>
                      <w:rFonts w:eastAsia="宋体"/>
                      <w:sz w:val="21"/>
                      <w:szCs w:val="21"/>
                      <w:u w:val="none"/>
                    </w:rPr>
                    <w:t>DA014</w:t>
                  </w:r>
                </w:p>
              </w:tc>
              <w:tc>
                <w:tcPr>
                  <w:tcW w:w="904" w:type="pct"/>
                  <w:shd w:val="clear" w:color="auto" w:fill="auto"/>
                  <w:noWrap w:val="0"/>
                  <w:vAlign w:val="center"/>
                </w:tcPr>
                <w:p w14:paraId="134120C8">
                  <w:pPr>
                    <w:jc w:val="center"/>
                    <w:rPr>
                      <w:rFonts w:eastAsia="宋体"/>
                      <w:sz w:val="21"/>
                      <w:szCs w:val="21"/>
                      <w:u w:val="none"/>
                    </w:rPr>
                  </w:pPr>
                  <w:r>
                    <w:rPr>
                      <w:rFonts w:eastAsia="宋体"/>
                      <w:sz w:val="21"/>
                      <w:szCs w:val="21"/>
                      <w:u w:val="none"/>
                    </w:rPr>
                    <w:t>3#磨前煤仓</w:t>
                  </w:r>
                </w:p>
              </w:tc>
              <w:tc>
                <w:tcPr>
                  <w:tcW w:w="454" w:type="pct"/>
                  <w:shd w:val="clear" w:color="auto" w:fill="auto"/>
                  <w:noWrap w:val="0"/>
                  <w:vAlign w:val="center"/>
                </w:tcPr>
                <w:p w14:paraId="16BD44AC">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34F50E4C">
                  <w:pPr>
                    <w:jc w:val="center"/>
                    <w:rPr>
                      <w:rFonts w:eastAsia="宋体"/>
                      <w:sz w:val="21"/>
                      <w:szCs w:val="21"/>
                      <w:u w:val="none"/>
                    </w:rPr>
                  </w:pPr>
                  <w:r>
                    <w:rPr>
                      <w:rFonts w:eastAsia="宋体"/>
                      <w:sz w:val="21"/>
                      <w:szCs w:val="21"/>
                      <w:u w:val="none"/>
                    </w:rPr>
                    <w:t>16.4~17.2</w:t>
                  </w:r>
                </w:p>
              </w:tc>
              <w:tc>
                <w:tcPr>
                  <w:tcW w:w="732" w:type="pct"/>
                  <w:shd w:val="clear" w:color="auto" w:fill="auto"/>
                  <w:noWrap w:val="0"/>
                  <w:vAlign w:val="center"/>
                </w:tcPr>
                <w:p w14:paraId="35E5A6D3">
                  <w:pPr>
                    <w:jc w:val="center"/>
                    <w:rPr>
                      <w:rFonts w:eastAsia="宋体"/>
                      <w:sz w:val="21"/>
                      <w:szCs w:val="21"/>
                      <w:u w:val="none"/>
                    </w:rPr>
                  </w:pPr>
                  <w:r>
                    <w:rPr>
                      <w:rFonts w:eastAsia="宋体"/>
                      <w:sz w:val="21"/>
                      <w:szCs w:val="21"/>
                      <w:u w:val="none"/>
                    </w:rPr>
                    <w:t>0.0249~0.0259</w:t>
                  </w:r>
                </w:p>
              </w:tc>
              <w:tc>
                <w:tcPr>
                  <w:tcW w:w="610" w:type="pct"/>
                  <w:shd w:val="clear" w:color="auto" w:fill="auto"/>
                  <w:noWrap w:val="0"/>
                  <w:vAlign w:val="center"/>
                </w:tcPr>
                <w:p w14:paraId="2E6173C5">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0CAFA153">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54C7EB05">
                  <w:pPr>
                    <w:jc w:val="center"/>
                    <w:rPr>
                      <w:rFonts w:eastAsia="宋体"/>
                      <w:sz w:val="21"/>
                      <w:szCs w:val="21"/>
                      <w:u w:val="none"/>
                    </w:rPr>
                  </w:pPr>
                  <w:r>
                    <w:rPr>
                      <w:rFonts w:eastAsia="宋体"/>
                      <w:sz w:val="21"/>
                      <w:szCs w:val="21"/>
                      <w:u w:val="none"/>
                    </w:rPr>
                    <w:t>是</w:t>
                  </w:r>
                </w:p>
              </w:tc>
            </w:tr>
            <w:tr w14:paraId="4F33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1B4511EA">
                  <w:pPr>
                    <w:jc w:val="center"/>
                    <w:rPr>
                      <w:rFonts w:eastAsia="宋体"/>
                      <w:sz w:val="21"/>
                      <w:szCs w:val="21"/>
                      <w:u w:val="none"/>
                    </w:rPr>
                  </w:pPr>
                  <w:r>
                    <w:rPr>
                      <w:rFonts w:eastAsia="宋体"/>
                      <w:sz w:val="21"/>
                      <w:szCs w:val="21"/>
                      <w:u w:val="none"/>
                    </w:rPr>
                    <w:t>DA016</w:t>
                  </w:r>
                </w:p>
              </w:tc>
              <w:tc>
                <w:tcPr>
                  <w:tcW w:w="904" w:type="pct"/>
                  <w:shd w:val="clear" w:color="auto" w:fill="auto"/>
                  <w:noWrap w:val="0"/>
                  <w:vAlign w:val="center"/>
                </w:tcPr>
                <w:p w14:paraId="7A0519D0">
                  <w:pPr>
                    <w:jc w:val="center"/>
                    <w:rPr>
                      <w:rFonts w:eastAsia="宋体"/>
                      <w:sz w:val="21"/>
                      <w:szCs w:val="21"/>
                      <w:u w:val="none"/>
                    </w:rPr>
                  </w:pPr>
                  <w:r>
                    <w:rPr>
                      <w:rFonts w:eastAsia="宋体"/>
                      <w:sz w:val="21"/>
                      <w:szCs w:val="21"/>
                      <w:u w:val="none"/>
                    </w:rPr>
                    <w:t>4#磨前煤仓</w:t>
                  </w:r>
                </w:p>
              </w:tc>
              <w:tc>
                <w:tcPr>
                  <w:tcW w:w="454" w:type="pct"/>
                  <w:shd w:val="clear" w:color="auto" w:fill="auto"/>
                  <w:noWrap w:val="0"/>
                  <w:vAlign w:val="center"/>
                </w:tcPr>
                <w:p w14:paraId="771FFAD5">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33182F76">
                  <w:pPr>
                    <w:jc w:val="center"/>
                    <w:rPr>
                      <w:rFonts w:eastAsia="宋体"/>
                      <w:sz w:val="21"/>
                      <w:szCs w:val="21"/>
                      <w:u w:val="none"/>
                    </w:rPr>
                  </w:pPr>
                  <w:r>
                    <w:rPr>
                      <w:rFonts w:eastAsia="宋体"/>
                      <w:sz w:val="21"/>
                      <w:szCs w:val="21"/>
                      <w:u w:val="none"/>
                    </w:rPr>
                    <w:t>47.7~53.0</w:t>
                  </w:r>
                </w:p>
              </w:tc>
              <w:tc>
                <w:tcPr>
                  <w:tcW w:w="732" w:type="pct"/>
                  <w:shd w:val="clear" w:color="auto" w:fill="auto"/>
                  <w:noWrap w:val="0"/>
                  <w:vAlign w:val="center"/>
                </w:tcPr>
                <w:p w14:paraId="798C484C">
                  <w:pPr>
                    <w:jc w:val="center"/>
                    <w:rPr>
                      <w:rFonts w:eastAsia="宋体"/>
                      <w:sz w:val="21"/>
                      <w:szCs w:val="21"/>
                      <w:u w:val="none"/>
                    </w:rPr>
                  </w:pPr>
                  <w:r>
                    <w:rPr>
                      <w:rFonts w:eastAsia="宋体"/>
                      <w:sz w:val="21"/>
                      <w:szCs w:val="21"/>
                      <w:u w:val="none"/>
                    </w:rPr>
                    <w:t>0.0147</w:t>
                  </w:r>
                </w:p>
              </w:tc>
              <w:tc>
                <w:tcPr>
                  <w:tcW w:w="610" w:type="pct"/>
                  <w:shd w:val="clear" w:color="auto" w:fill="auto"/>
                  <w:noWrap w:val="0"/>
                  <w:vAlign w:val="center"/>
                </w:tcPr>
                <w:p w14:paraId="2104DCFB">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6C1BFC9B">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3D681A83">
                  <w:pPr>
                    <w:jc w:val="center"/>
                    <w:rPr>
                      <w:rFonts w:eastAsia="宋体"/>
                      <w:sz w:val="21"/>
                      <w:szCs w:val="21"/>
                      <w:u w:val="none"/>
                    </w:rPr>
                  </w:pPr>
                  <w:r>
                    <w:rPr>
                      <w:rFonts w:eastAsia="宋体"/>
                      <w:sz w:val="21"/>
                      <w:szCs w:val="21"/>
                      <w:u w:val="none"/>
                    </w:rPr>
                    <w:t>是</w:t>
                  </w:r>
                </w:p>
              </w:tc>
            </w:tr>
            <w:tr w14:paraId="7EDF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4B2980C8">
                  <w:pPr>
                    <w:jc w:val="center"/>
                    <w:rPr>
                      <w:rFonts w:eastAsia="宋体"/>
                      <w:sz w:val="21"/>
                      <w:szCs w:val="21"/>
                      <w:u w:val="none"/>
                    </w:rPr>
                  </w:pPr>
                  <w:r>
                    <w:rPr>
                      <w:rFonts w:eastAsia="宋体"/>
                      <w:sz w:val="21"/>
                      <w:szCs w:val="21"/>
                      <w:u w:val="none"/>
                    </w:rPr>
                    <w:t>DA018</w:t>
                  </w:r>
                </w:p>
              </w:tc>
              <w:tc>
                <w:tcPr>
                  <w:tcW w:w="904" w:type="pct"/>
                  <w:shd w:val="clear" w:color="auto" w:fill="auto"/>
                  <w:noWrap w:val="0"/>
                  <w:vAlign w:val="center"/>
                </w:tcPr>
                <w:p w14:paraId="74429ACC">
                  <w:pPr>
                    <w:jc w:val="center"/>
                    <w:rPr>
                      <w:rFonts w:eastAsia="宋体"/>
                      <w:sz w:val="21"/>
                      <w:szCs w:val="21"/>
                      <w:u w:val="none"/>
                    </w:rPr>
                  </w:pPr>
                  <w:r>
                    <w:rPr>
                      <w:rFonts w:eastAsia="宋体"/>
                      <w:sz w:val="21"/>
                      <w:szCs w:val="21"/>
                      <w:u w:val="none"/>
                    </w:rPr>
                    <w:t>5#磨前煤仓</w:t>
                  </w:r>
                </w:p>
              </w:tc>
              <w:tc>
                <w:tcPr>
                  <w:tcW w:w="454" w:type="pct"/>
                  <w:shd w:val="clear" w:color="auto" w:fill="auto"/>
                  <w:noWrap w:val="0"/>
                  <w:vAlign w:val="center"/>
                </w:tcPr>
                <w:p w14:paraId="12AC5A7D">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5ECE734C">
                  <w:pPr>
                    <w:jc w:val="center"/>
                    <w:rPr>
                      <w:rFonts w:eastAsia="宋体"/>
                      <w:sz w:val="21"/>
                      <w:szCs w:val="21"/>
                      <w:u w:val="none"/>
                    </w:rPr>
                  </w:pPr>
                  <w:r>
                    <w:rPr>
                      <w:rFonts w:eastAsia="宋体"/>
                      <w:sz w:val="21"/>
                      <w:szCs w:val="21"/>
                      <w:u w:val="none"/>
                    </w:rPr>
                    <w:t>15.5~16.0</w:t>
                  </w:r>
                </w:p>
              </w:tc>
              <w:tc>
                <w:tcPr>
                  <w:tcW w:w="732" w:type="pct"/>
                  <w:shd w:val="clear" w:color="auto" w:fill="auto"/>
                  <w:noWrap w:val="0"/>
                  <w:vAlign w:val="center"/>
                </w:tcPr>
                <w:p w14:paraId="30AC3503">
                  <w:pPr>
                    <w:jc w:val="center"/>
                    <w:rPr>
                      <w:rFonts w:eastAsia="宋体"/>
                      <w:sz w:val="21"/>
                      <w:szCs w:val="21"/>
                      <w:u w:val="none"/>
                    </w:rPr>
                  </w:pPr>
                  <w:r>
                    <w:rPr>
                      <w:rFonts w:eastAsia="宋体"/>
                      <w:sz w:val="21"/>
                      <w:szCs w:val="21"/>
                      <w:u w:val="none"/>
                    </w:rPr>
                    <w:t>0.0060~0.0061</w:t>
                  </w:r>
                </w:p>
              </w:tc>
              <w:tc>
                <w:tcPr>
                  <w:tcW w:w="610" w:type="pct"/>
                  <w:shd w:val="clear" w:color="auto" w:fill="auto"/>
                  <w:noWrap w:val="0"/>
                  <w:vAlign w:val="center"/>
                </w:tcPr>
                <w:p w14:paraId="40931551">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3F741A39">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27B75A52">
                  <w:pPr>
                    <w:jc w:val="center"/>
                    <w:rPr>
                      <w:rFonts w:eastAsia="宋体"/>
                      <w:sz w:val="21"/>
                      <w:szCs w:val="21"/>
                      <w:u w:val="none"/>
                    </w:rPr>
                  </w:pPr>
                  <w:r>
                    <w:rPr>
                      <w:rFonts w:eastAsia="宋体"/>
                      <w:sz w:val="21"/>
                      <w:szCs w:val="21"/>
                      <w:u w:val="none"/>
                    </w:rPr>
                    <w:t>是</w:t>
                  </w:r>
                </w:p>
              </w:tc>
            </w:tr>
            <w:tr w14:paraId="661B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3C926CD0">
                  <w:pPr>
                    <w:jc w:val="center"/>
                    <w:rPr>
                      <w:rFonts w:eastAsia="宋体"/>
                      <w:sz w:val="21"/>
                      <w:szCs w:val="21"/>
                      <w:u w:val="none"/>
                    </w:rPr>
                  </w:pPr>
                  <w:r>
                    <w:rPr>
                      <w:rFonts w:eastAsia="宋体"/>
                      <w:sz w:val="21"/>
                      <w:szCs w:val="21"/>
                      <w:u w:val="none"/>
                    </w:rPr>
                    <w:t>DA020</w:t>
                  </w:r>
                </w:p>
              </w:tc>
              <w:tc>
                <w:tcPr>
                  <w:tcW w:w="904" w:type="pct"/>
                  <w:shd w:val="clear" w:color="auto" w:fill="auto"/>
                  <w:noWrap w:val="0"/>
                  <w:vAlign w:val="center"/>
                </w:tcPr>
                <w:p w14:paraId="528C87EF">
                  <w:pPr>
                    <w:jc w:val="center"/>
                    <w:rPr>
                      <w:rFonts w:eastAsia="宋体"/>
                      <w:sz w:val="21"/>
                      <w:szCs w:val="21"/>
                      <w:u w:val="none"/>
                    </w:rPr>
                  </w:pPr>
                  <w:r>
                    <w:rPr>
                      <w:rFonts w:eastAsia="宋体"/>
                      <w:sz w:val="21"/>
                      <w:szCs w:val="21"/>
                      <w:u w:val="none"/>
                    </w:rPr>
                    <w:t>6#磨前煤仓</w:t>
                  </w:r>
                </w:p>
              </w:tc>
              <w:tc>
                <w:tcPr>
                  <w:tcW w:w="454" w:type="pct"/>
                  <w:shd w:val="clear" w:color="auto" w:fill="auto"/>
                  <w:noWrap w:val="0"/>
                  <w:vAlign w:val="center"/>
                </w:tcPr>
                <w:p w14:paraId="1DD4E52C">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18C4929A">
                  <w:pPr>
                    <w:jc w:val="center"/>
                    <w:rPr>
                      <w:rFonts w:eastAsia="宋体"/>
                      <w:sz w:val="21"/>
                      <w:szCs w:val="21"/>
                      <w:u w:val="none"/>
                    </w:rPr>
                  </w:pPr>
                  <w:r>
                    <w:rPr>
                      <w:rFonts w:eastAsia="宋体"/>
                      <w:sz w:val="21"/>
                      <w:szCs w:val="21"/>
                      <w:u w:val="none"/>
                    </w:rPr>
                    <w:t>13.8~14.5</w:t>
                  </w:r>
                </w:p>
              </w:tc>
              <w:tc>
                <w:tcPr>
                  <w:tcW w:w="732" w:type="pct"/>
                  <w:shd w:val="clear" w:color="auto" w:fill="auto"/>
                  <w:noWrap w:val="0"/>
                  <w:vAlign w:val="center"/>
                </w:tcPr>
                <w:p w14:paraId="1A8721D1">
                  <w:pPr>
                    <w:jc w:val="center"/>
                    <w:rPr>
                      <w:rFonts w:eastAsia="宋体"/>
                      <w:sz w:val="21"/>
                      <w:szCs w:val="21"/>
                      <w:u w:val="none"/>
                    </w:rPr>
                  </w:pPr>
                  <w:r>
                    <w:rPr>
                      <w:rFonts w:eastAsia="宋体"/>
                      <w:sz w:val="21"/>
                      <w:szCs w:val="21"/>
                      <w:u w:val="none"/>
                    </w:rPr>
                    <w:t>0.737~0.761</w:t>
                  </w:r>
                </w:p>
              </w:tc>
              <w:tc>
                <w:tcPr>
                  <w:tcW w:w="610" w:type="pct"/>
                  <w:shd w:val="clear" w:color="auto" w:fill="auto"/>
                  <w:noWrap w:val="0"/>
                  <w:vAlign w:val="center"/>
                </w:tcPr>
                <w:p w14:paraId="4EB330C1">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2F2FE07D">
                  <w:pPr>
                    <w:jc w:val="center"/>
                    <w:rPr>
                      <w:rFonts w:eastAsia="宋体"/>
                      <w:sz w:val="21"/>
                      <w:szCs w:val="21"/>
                      <w:u w:val="none"/>
                    </w:rPr>
                  </w:pPr>
                  <w:r>
                    <w:rPr>
                      <w:rFonts w:eastAsia="宋体"/>
                      <w:sz w:val="21"/>
                      <w:szCs w:val="21"/>
                      <w:u w:val="none"/>
                    </w:rPr>
                    <w:t>85</w:t>
                  </w:r>
                </w:p>
              </w:tc>
              <w:tc>
                <w:tcPr>
                  <w:tcW w:w="567" w:type="pct"/>
                  <w:shd w:val="clear" w:color="auto" w:fill="auto"/>
                  <w:noWrap w:val="0"/>
                  <w:vAlign w:val="center"/>
                </w:tcPr>
                <w:p w14:paraId="6B72B6D2">
                  <w:pPr>
                    <w:jc w:val="center"/>
                    <w:rPr>
                      <w:rFonts w:eastAsia="宋体"/>
                      <w:sz w:val="21"/>
                      <w:szCs w:val="21"/>
                      <w:u w:val="none"/>
                    </w:rPr>
                  </w:pPr>
                  <w:r>
                    <w:rPr>
                      <w:rFonts w:eastAsia="宋体"/>
                      <w:sz w:val="21"/>
                      <w:szCs w:val="21"/>
                      <w:u w:val="none"/>
                    </w:rPr>
                    <w:t>是</w:t>
                  </w:r>
                </w:p>
              </w:tc>
            </w:tr>
            <w:tr w14:paraId="2E79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55BA9711">
                  <w:pPr>
                    <w:jc w:val="center"/>
                    <w:rPr>
                      <w:rFonts w:eastAsia="宋体"/>
                      <w:sz w:val="21"/>
                      <w:szCs w:val="21"/>
                      <w:u w:val="none"/>
                    </w:rPr>
                  </w:pPr>
                  <w:r>
                    <w:rPr>
                      <w:rFonts w:eastAsia="宋体"/>
                      <w:sz w:val="21"/>
                      <w:szCs w:val="21"/>
                      <w:u w:val="none"/>
                    </w:rPr>
                    <w:t>DA011</w:t>
                  </w:r>
                </w:p>
              </w:tc>
              <w:tc>
                <w:tcPr>
                  <w:tcW w:w="904" w:type="pct"/>
                  <w:vMerge w:val="restart"/>
                  <w:shd w:val="clear" w:color="auto" w:fill="auto"/>
                  <w:noWrap w:val="0"/>
                  <w:vAlign w:val="center"/>
                </w:tcPr>
                <w:p w14:paraId="1D580D4E">
                  <w:pPr>
                    <w:jc w:val="center"/>
                    <w:rPr>
                      <w:rFonts w:eastAsia="宋体"/>
                      <w:sz w:val="21"/>
                      <w:szCs w:val="21"/>
                      <w:u w:val="none"/>
                    </w:rPr>
                  </w:pPr>
                  <w:r>
                    <w:rPr>
                      <w:rFonts w:eastAsia="宋体"/>
                      <w:sz w:val="21"/>
                      <w:szCs w:val="21"/>
                      <w:u w:val="none"/>
                    </w:rPr>
                    <w:t>1#煤加压尾气处理设施</w:t>
                  </w:r>
                </w:p>
              </w:tc>
              <w:tc>
                <w:tcPr>
                  <w:tcW w:w="454" w:type="pct"/>
                  <w:shd w:val="clear" w:color="auto" w:fill="auto"/>
                  <w:noWrap w:val="0"/>
                  <w:vAlign w:val="center"/>
                </w:tcPr>
                <w:p w14:paraId="0E319C33">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0BFA8503">
                  <w:pPr>
                    <w:jc w:val="center"/>
                    <w:rPr>
                      <w:rFonts w:eastAsia="宋体"/>
                      <w:sz w:val="21"/>
                      <w:szCs w:val="21"/>
                      <w:u w:val="none"/>
                    </w:rPr>
                  </w:pPr>
                  <w:r>
                    <w:rPr>
                      <w:rFonts w:eastAsia="宋体"/>
                      <w:sz w:val="21"/>
                      <w:szCs w:val="21"/>
                      <w:u w:val="none"/>
                    </w:rPr>
                    <w:t>14.6~15.2</w:t>
                  </w:r>
                </w:p>
              </w:tc>
              <w:tc>
                <w:tcPr>
                  <w:tcW w:w="732" w:type="pct"/>
                  <w:shd w:val="clear" w:color="auto" w:fill="auto"/>
                  <w:noWrap w:val="0"/>
                  <w:vAlign w:val="center"/>
                </w:tcPr>
                <w:p w14:paraId="2C56B8B1">
                  <w:pPr>
                    <w:jc w:val="center"/>
                    <w:rPr>
                      <w:rFonts w:eastAsia="宋体"/>
                      <w:sz w:val="21"/>
                      <w:szCs w:val="21"/>
                      <w:u w:val="none"/>
                    </w:rPr>
                  </w:pPr>
                  <w:r>
                    <w:rPr>
                      <w:rFonts w:eastAsia="宋体"/>
                      <w:sz w:val="21"/>
                      <w:szCs w:val="21"/>
                      <w:u w:val="none"/>
                    </w:rPr>
                    <w:t>0.0062~0.0069</w:t>
                  </w:r>
                </w:p>
              </w:tc>
              <w:tc>
                <w:tcPr>
                  <w:tcW w:w="610" w:type="pct"/>
                  <w:shd w:val="clear" w:color="auto" w:fill="auto"/>
                  <w:noWrap w:val="0"/>
                  <w:vAlign w:val="center"/>
                </w:tcPr>
                <w:p w14:paraId="3992D437">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54C18E05">
                  <w:pPr>
                    <w:jc w:val="center"/>
                    <w:rPr>
                      <w:rFonts w:hint="eastAsia" w:eastAsia="宋体"/>
                      <w:sz w:val="21"/>
                      <w:szCs w:val="21"/>
                      <w:u w:val="none"/>
                    </w:rPr>
                  </w:pPr>
                  <w:r>
                    <w:rPr>
                      <w:rFonts w:hint="eastAsia" w:eastAsia="宋体"/>
                      <w:sz w:val="21"/>
                      <w:szCs w:val="21"/>
                      <w:u w:val="none"/>
                    </w:rPr>
                    <w:t>132.81</w:t>
                  </w:r>
                </w:p>
              </w:tc>
              <w:tc>
                <w:tcPr>
                  <w:tcW w:w="567" w:type="pct"/>
                  <w:shd w:val="clear" w:color="auto" w:fill="auto"/>
                  <w:noWrap w:val="0"/>
                  <w:vAlign w:val="center"/>
                </w:tcPr>
                <w:p w14:paraId="49935BDB">
                  <w:pPr>
                    <w:jc w:val="center"/>
                    <w:rPr>
                      <w:rFonts w:eastAsia="宋体"/>
                      <w:sz w:val="21"/>
                      <w:szCs w:val="21"/>
                      <w:u w:val="none"/>
                    </w:rPr>
                  </w:pPr>
                  <w:r>
                    <w:rPr>
                      <w:rFonts w:eastAsia="宋体"/>
                      <w:sz w:val="21"/>
                      <w:szCs w:val="21"/>
                      <w:u w:val="none"/>
                    </w:rPr>
                    <w:t>是</w:t>
                  </w:r>
                </w:p>
              </w:tc>
            </w:tr>
            <w:tr w14:paraId="1000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6D3A5B1">
                  <w:pPr>
                    <w:jc w:val="center"/>
                    <w:rPr>
                      <w:rFonts w:eastAsia="宋体"/>
                      <w:sz w:val="21"/>
                      <w:szCs w:val="21"/>
                      <w:u w:val="none"/>
                    </w:rPr>
                  </w:pPr>
                </w:p>
              </w:tc>
              <w:tc>
                <w:tcPr>
                  <w:tcW w:w="904" w:type="pct"/>
                  <w:vMerge w:val="continue"/>
                  <w:shd w:val="clear" w:color="auto" w:fill="auto"/>
                  <w:noWrap w:val="0"/>
                  <w:vAlign w:val="center"/>
                </w:tcPr>
                <w:p w14:paraId="6DFAA2F9">
                  <w:pPr>
                    <w:jc w:val="center"/>
                    <w:rPr>
                      <w:rFonts w:eastAsia="宋体"/>
                      <w:sz w:val="21"/>
                      <w:szCs w:val="21"/>
                      <w:u w:val="none"/>
                    </w:rPr>
                  </w:pPr>
                </w:p>
              </w:tc>
              <w:tc>
                <w:tcPr>
                  <w:tcW w:w="454" w:type="pct"/>
                  <w:shd w:val="clear" w:color="auto" w:fill="auto"/>
                  <w:noWrap w:val="0"/>
                  <w:vAlign w:val="center"/>
                </w:tcPr>
                <w:p w14:paraId="332D1FE7">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630AF6F6">
                  <w:pPr>
                    <w:jc w:val="center"/>
                    <w:rPr>
                      <w:rFonts w:eastAsia="宋体"/>
                      <w:sz w:val="21"/>
                      <w:szCs w:val="21"/>
                      <w:u w:val="none"/>
                    </w:rPr>
                  </w:pPr>
                  <w:r>
                    <w:rPr>
                      <w:rFonts w:eastAsia="宋体"/>
                      <w:sz w:val="21"/>
                      <w:szCs w:val="21"/>
                      <w:u w:val="none"/>
                    </w:rPr>
                    <w:t>0.06</w:t>
                  </w:r>
                </w:p>
              </w:tc>
              <w:tc>
                <w:tcPr>
                  <w:tcW w:w="732" w:type="pct"/>
                  <w:shd w:val="clear" w:color="auto" w:fill="auto"/>
                  <w:noWrap w:val="0"/>
                  <w:vAlign w:val="center"/>
                </w:tcPr>
                <w:p w14:paraId="50E3F9FB">
                  <w:pPr>
                    <w:jc w:val="center"/>
                    <w:rPr>
                      <w:rFonts w:eastAsia="宋体"/>
                      <w:sz w:val="21"/>
                      <w:szCs w:val="21"/>
                      <w:u w:val="none"/>
                    </w:rPr>
                  </w:pPr>
                  <w:r>
                    <w:rPr>
                      <w:rFonts w:eastAsia="宋体"/>
                      <w:sz w:val="21"/>
                      <w:szCs w:val="21"/>
                      <w:u w:val="none"/>
                    </w:rPr>
                    <w:t>0.0030</w:t>
                  </w:r>
                </w:p>
              </w:tc>
              <w:tc>
                <w:tcPr>
                  <w:tcW w:w="610" w:type="pct"/>
                  <w:shd w:val="clear" w:color="auto" w:fill="auto"/>
                  <w:noWrap w:val="0"/>
                  <w:vAlign w:val="center"/>
                </w:tcPr>
                <w:p w14:paraId="208839BB">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1EE6E5E8">
                  <w:pPr>
                    <w:jc w:val="center"/>
                    <w:rPr>
                      <w:rFonts w:hint="eastAsia" w:eastAsia="宋体"/>
                      <w:sz w:val="21"/>
                      <w:szCs w:val="21"/>
                      <w:u w:val="none"/>
                    </w:rPr>
                  </w:pPr>
                  <w:r>
                    <w:rPr>
                      <w:rFonts w:hint="eastAsia" w:eastAsia="宋体"/>
                      <w:sz w:val="21"/>
                      <w:szCs w:val="21"/>
                      <w:u w:val="none"/>
                    </w:rPr>
                    <w:t>9.3</w:t>
                  </w:r>
                </w:p>
              </w:tc>
              <w:tc>
                <w:tcPr>
                  <w:tcW w:w="567" w:type="pct"/>
                  <w:shd w:val="clear" w:color="auto" w:fill="auto"/>
                  <w:noWrap w:val="0"/>
                  <w:vAlign w:val="center"/>
                </w:tcPr>
                <w:p w14:paraId="7DD23365">
                  <w:pPr>
                    <w:jc w:val="center"/>
                    <w:rPr>
                      <w:rFonts w:eastAsia="宋体"/>
                      <w:sz w:val="21"/>
                      <w:szCs w:val="21"/>
                      <w:u w:val="none"/>
                    </w:rPr>
                  </w:pPr>
                  <w:r>
                    <w:rPr>
                      <w:rFonts w:eastAsia="宋体"/>
                      <w:sz w:val="21"/>
                      <w:szCs w:val="21"/>
                      <w:u w:val="none"/>
                    </w:rPr>
                    <w:t>是</w:t>
                  </w:r>
                </w:p>
              </w:tc>
            </w:tr>
            <w:tr w14:paraId="3E2D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3CA8C15D">
                  <w:pPr>
                    <w:jc w:val="center"/>
                    <w:rPr>
                      <w:rFonts w:eastAsia="宋体"/>
                      <w:sz w:val="21"/>
                      <w:szCs w:val="21"/>
                      <w:u w:val="none"/>
                    </w:rPr>
                  </w:pPr>
                </w:p>
              </w:tc>
              <w:tc>
                <w:tcPr>
                  <w:tcW w:w="904" w:type="pct"/>
                  <w:vMerge w:val="continue"/>
                  <w:shd w:val="clear" w:color="auto" w:fill="auto"/>
                  <w:noWrap w:val="0"/>
                  <w:vAlign w:val="center"/>
                </w:tcPr>
                <w:p w14:paraId="6711AC52">
                  <w:pPr>
                    <w:jc w:val="center"/>
                    <w:rPr>
                      <w:rFonts w:eastAsia="宋体"/>
                      <w:sz w:val="21"/>
                      <w:szCs w:val="21"/>
                      <w:u w:val="none"/>
                    </w:rPr>
                  </w:pPr>
                </w:p>
              </w:tc>
              <w:tc>
                <w:tcPr>
                  <w:tcW w:w="454" w:type="pct"/>
                  <w:shd w:val="clear" w:color="auto" w:fill="auto"/>
                  <w:noWrap w:val="0"/>
                  <w:vAlign w:val="center"/>
                </w:tcPr>
                <w:p w14:paraId="201212DA">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733A4BC2">
                  <w:pPr>
                    <w:jc w:val="center"/>
                    <w:rPr>
                      <w:rFonts w:eastAsia="宋体"/>
                      <w:sz w:val="21"/>
                      <w:szCs w:val="21"/>
                      <w:u w:val="none"/>
                    </w:rPr>
                  </w:pPr>
                  <w:r>
                    <w:rPr>
                      <w:rFonts w:eastAsia="宋体"/>
                      <w:sz w:val="21"/>
                      <w:szCs w:val="21"/>
                      <w:u w:val="none"/>
                    </w:rPr>
                    <w:t>20~28</w:t>
                  </w:r>
                </w:p>
              </w:tc>
              <w:tc>
                <w:tcPr>
                  <w:tcW w:w="732" w:type="pct"/>
                  <w:shd w:val="clear" w:color="auto" w:fill="auto"/>
                  <w:noWrap w:val="0"/>
                  <w:vAlign w:val="center"/>
                </w:tcPr>
                <w:p w14:paraId="0D5DDFA4">
                  <w:pPr>
                    <w:jc w:val="center"/>
                    <w:rPr>
                      <w:rFonts w:eastAsia="宋体"/>
                      <w:sz w:val="21"/>
                      <w:szCs w:val="21"/>
                      <w:u w:val="none"/>
                    </w:rPr>
                  </w:pPr>
                  <w:r>
                    <w:rPr>
                      <w:rFonts w:eastAsia="宋体"/>
                      <w:sz w:val="21"/>
                      <w:szCs w:val="21"/>
                      <w:u w:val="none"/>
                    </w:rPr>
                    <w:t>1.02</w:t>
                  </w:r>
                </w:p>
              </w:tc>
              <w:tc>
                <w:tcPr>
                  <w:tcW w:w="610" w:type="pct"/>
                  <w:shd w:val="clear" w:color="auto" w:fill="auto"/>
                  <w:noWrap w:val="0"/>
                  <w:vAlign w:val="center"/>
                </w:tcPr>
                <w:p w14:paraId="3E026F39">
                  <w:pPr>
                    <w:jc w:val="center"/>
                    <w:rPr>
                      <w:rFonts w:hint="eastAsia"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2EA6DB97">
                  <w:pPr>
                    <w:jc w:val="center"/>
                    <w:rPr>
                      <w:rFonts w:hint="eastAsia" w:eastAsia="宋体"/>
                      <w:sz w:val="21"/>
                      <w:szCs w:val="21"/>
                      <w:u w:val="none"/>
                    </w:rPr>
                  </w:pPr>
                  <w:r>
                    <w:rPr>
                      <w:rFonts w:hint="eastAsia" w:eastAsia="宋体"/>
                      <w:sz w:val="21"/>
                      <w:szCs w:val="21"/>
                      <w:u w:val="none"/>
                    </w:rPr>
                    <w:t>156.25</w:t>
                  </w:r>
                </w:p>
              </w:tc>
              <w:tc>
                <w:tcPr>
                  <w:tcW w:w="567" w:type="pct"/>
                  <w:shd w:val="clear" w:color="auto" w:fill="auto"/>
                  <w:noWrap w:val="0"/>
                  <w:vAlign w:val="center"/>
                </w:tcPr>
                <w:p w14:paraId="7C243078">
                  <w:pPr>
                    <w:jc w:val="center"/>
                    <w:rPr>
                      <w:rFonts w:eastAsia="宋体"/>
                      <w:sz w:val="21"/>
                      <w:szCs w:val="21"/>
                      <w:u w:val="none"/>
                    </w:rPr>
                  </w:pPr>
                  <w:r>
                    <w:rPr>
                      <w:rFonts w:eastAsia="宋体"/>
                      <w:sz w:val="21"/>
                      <w:szCs w:val="21"/>
                      <w:u w:val="none"/>
                    </w:rPr>
                    <w:t>是</w:t>
                  </w:r>
                </w:p>
              </w:tc>
            </w:tr>
            <w:tr w14:paraId="2EDB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20396A2E">
                  <w:pPr>
                    <w:jc w:val="center"/>
                    <w:rPr>
                      <w:rFonts w:eastAsia="宋体"/>
                      <w:sz w:val="21"/>
                      <w:szCs w:val="21"/>
                      <w:u w:val="none"/>
                    </w:rPr>
                  </w:pPr>
                  <w:r>
                    <w:rPr>
                      <w:rFonts w:eastAsia="宋体"/>
                      <w:sz w:val="21"/>
                      <w:szCs w:val="21"/>
                      <w:u w:val="none"/>
                    </w:rPr>
                    <w:t>DA013</w:t>
                  </w:r>
                </w:p>
              </w:tc>
              <w:tc>
                <w:tcPr>
                  <w:tcW w:w="904" w:type="pct"/>
                  <w:vMerge w:val="restart"/>
                  <w:shd w:val="clear" w:color="auto" w:fill="auto"/>
                  <w:noWrap w:val="0"/>
                  <w:vAlign w:val="center"/>
                </w:tcPr>
                <w:p w14:paraId="5B837045">
                  <w:pPr>
                    <w:jc w:val="center"/>
                    <w:rPr>
                      <w:rFonts w:eastAsia="宋体"/>
                      <w:sz w:val="21"/>
                      <w:szCs w:val="21"/>
                      <w:u w:val="none"/>
                    </w:rPr>
                  </w:pPr>
                  <w:r>
                    <w:rPr>
                      <w:rFonts w:eastAsia="宋体"/>
                      <w:sz w:val="21"/>
                      <w:szCs w:val="21"/>
                      <w:u w:val="none"/>
                    </w:rPr>
                    <w:t>2#煤加压尾气处理设施</w:t>
                  </w:r>
                </w:p>
              </w:tc>
              <w:tc>
                <w:tcPr>
                  <w:tcW w:w="454" w:type="pct"/>
                  <w:shd w:val="clear" w:color="auto" w:fill="auto"/>
                  <w:noWrap w:val="0"/>
                  <w:vAlign w:val="center"/>
                </w:tcPr>
                <w:p w14:paraId="3E91BC1B">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6263F665">
                  <w:pPr>
                    <w:jc w:val="center"/>
                    <w:rPr>
                      <w:rFonts w:eastAsia="宋体"/>
                      <w:sz w:val="21"/>
                      <w:szCs w:val="21"/>
                      <w:u w:val="none"/>
                    </w:rPr>
                  </w:pPr>
                  <w:r>
                    <w:rPr>
                      <w:rFonts w:eastAsia="宋体"/>
                      <w:sz w:val="21"/>
                      <w:szCs w:val="21"/>
                      <w:u w:val="none"/>
                    </w:rPr>
                    <w:t>13.9~14.5</w:t>
                  </w:r>
                </w:p>
              </w:tc>
              <w:tc>
                <w:tcPr>
                  <w:tcW w:w="732" w:type="pct"/>
                  <w:shd w:val="clear" w:color="auto" w:fill="auto"/>
                  <w:noWrap w:val="0"/>
                  <w:vAlign w:val="center"/>
                </w:tcPr>
                <w:p w14:paraId="716970DC">
                  <w:pPr>
                    <w:jc w:val="center"/>
                    <w:rPr>
                      <w:rFonts w:eastAsia="宋体"/>
                      <w:sz w:val="21"/>
                      <w:szCs w:val="21"/>
                      <w:u w:val="none"/>
                    </w:rPr>
                  </w:pPr>
                  <w:r>
                    <w:rPr>
                      <w:rFonts w:eastAsia="宋体"/>
                      <w:sz w:val="21"/>
                      <w:szCs w:val="21"/>
                      <w:u w:val="none"/>
                    </w:rPr>
                    <w:t>0.726~0.761</w:t>
                  </w:r>
                </w:p>
              </w:tc>
              <w:tc>
                <w:tcPr>
                  <w:tcW w:w="610" w:type="pct"/>
                  <w:shd w:val="clear" w:color="auto" w:fill="auto"/>
                  <w:noWrap w:val="0"/>
                  <w:vAlign w:val="center"/>
                </w:tcPr>
                <w:p w14:paraId="0238784D">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0C988343">
                  <w:pPr>
                    <w:jc w:val="center"/>
                    <w:rPr>
                      <w:rFonts w:eastAsia="宋体"/>
                      <w:sz w:val="21"/>
                      <w:szCs w:val="21"/>
                      <w:u w:val="none"/>
                    </w:rPr>
                  </w:pPr>
                  <w:r>
                    <w:rPr>
                      <w:rFonts w:hint="eastAsia" w:eastAsia="宋体"/>
                      <w:sz w:val="21"/>
                      <w:szCs w:val="21"/>
                      <w:u w:val="none"/>
                    </w:rPr>
                    <w:t>132.81</w:t>
                  </w:r>
                </w:p>
              </w:tc>
              <w:tc>
                <w:tcPr>
                  <w:tcW w:w="567" w:type="pct"/>
                  <w:shd w:val="clear" w:color="auto" w:fill="auto"/>
                  <w:noWrap w:val="0"/>
                  <w:vAlign w:val="center"/>
                </w:tcPr>
                <w:p w14:paraId="492AD460">
                  <w:pPr>
                    <w:jc w:val="center"/>
                    <w:rPr>
                      <w:rFonts w:eastAsia="宋体"/>
                      <w:sz w:val="21"/>
                      <w:szCs w:val="21"/>
                      <w:u w:val="none"/>
                    </w:rPr>
                  </w:pPr>
                  <w:r>
                    <w:rPr>
                      <w:rFonts w:eastAsia="宋体"/>
                      <w:sz w:val="21"/>
                      <w:szCs w:val="21"/>
                      <w:u w:val="none"/>
                    </w:rPr>
                    <w:t>是</w:t>
                  </w:r>
                </w:p>
              </w:tc>
            </w:tr>
            <w:tr w14:paraId="06C0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E0B88AC">
                  <w:pPr>
                    <w:jc w:val="center"/>
                    <w:rPr>
                      <w:rFonts w:eastAsia="宋体"/>
                      <w:sz w:val="21"/>
                      <w:szCs w:val="21"/>
                      <w:u w:val="none"/>
                    </w:rPr>
                  </w:pPr>
                </w:p>
              </w:tc>
              <w:tc>
                <w:tcPr>
                  <w:tcW w:w="904" w:type="pct"/>
                  <w:vMerge w:val="continue"/>
                  <w:shd w:val="clear" w:color="auto" w:fill="auto"/>
                  <w:noWrap w:val="0"/>
                  <w:vAlign w:val="center"/>
                </w:tcPr>
                <w:p w14:paraId="2EFECD39">
                  <w:pPr>
                    <w:jc w:val="center"/>
                    <w:rPr>
                      <w:rFonts w:eastAsia="宋体"/>
                      <w:sz w:val="21"/>
                      <w:szCs w:val="21"/>
                      <w:u w:val="none"/>
                    </w:rPr>
                  </w:pPr>
                </w:p>
              </w:tc>
              <w:tc>
                <w:tcPr>
                  <w:tcW w:w="454" w:type="pct"/>
                  <w:shd w:val="clear" w:color="auto" w:fill="auto"/>
                  <w:noWrap w:val="0"/>
                  <w:vAlign w:val="center"/>
                </w:tcPr>
                <w:p w14:paraId="0CBC0A78">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417BC50A">
                  <w:pPr>
                    <w:jc w:val="center"/>
                    <w:rPr>
                      <w:rFonts w:eastAsia="宋体"/>
                      <w:sz w:val="21"/>
                      <w:szCs w:val="21"/>
                      <w:u w:val="none"/>
                    </w:rPr>
                  </w:pPr>
                  <w:r>
                    <w:rPr>
                      <w:rFonts w:eastAsia="宋体"/>
                      <w:sz w:val="21"/>
                      <w:szCs w:val="21"/>
                      <w:u w:val="none"/>
                    </w:rPr>
                    <w:t>0.04</w:t>
                  </w:r>
                </w:p>
              </w:tc>
              <w:tc>
                <w:tcPr>
                  <w:tcW w:w="732" w:type="pct"/>
                  <w:shd w:val="clear" w:color="auto" w:fill="auto"/>
                  <w:noWrap w:val="0"/>
                  <w:vAlign w:val="center"/>
                </w:tcPr>
                <w:p w14:paraId="0739A9C4">
                  <w:pPr>
                    <w:jc w:val="center"/>
                    <w:rPr>
                      <w:rFonts w:eastAsia="宋体"/>
                      <w:sz w:val="21"/>
                      <w:szCs w:val="21"/>
                      <w:u w:val="none"/>
                    </w:rPr>
                  </w:pPr>
                  <w:r>
                    <w:rPr>
                      <w:rFonts w:eastAsia="宋体"/>
                      <w:sz w:val="21"/>
                      <w:szCs w:val="21"/>
                      <w:u w:val="none"/>
                    </w:rPr>
                    <w:t>0.0021</w:t>
                  </w:r>
                </w:p>
              </w:tc>
              <w:tc>
                <w:tcPr>
                  <w:tcW w:w="610" w:type="pct"/>
                  <w:shd w:val="clear" w:color="auto" w:fill="auto"/>
                  <w:noWrap w:val="0"/>
                  <w:vAlign w:val="center"/>
                </w:tcPr>
                <w:p w14:paraId="6E97F398">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6EAFD054">
                  <w:pPr>
                    <w:jc w:val="center"/>
                    <w:rPr>
                      <w:rFonts w:eastAsia="宋体"/>
                      <w:sz w:val="21"/>
                      <w:szCs w:val="21"/>
                      <w:u w:val="none"/>
                    </w:rPr>
                  </w:pPr>
                  <w:r>
                    <w:rPr>
                      <w:rFonts w:hint="eastAsia" w:eastAsia="宋体"/>
                      <w:sz w:val="21"/>
                      <w:szCs w:val="21"/>
                      <w:u w:val="none"/>
                    </w:rPr>
                    <w:t>9.3</w:t>
                  </w:r>
                </w:p>
              </w:tc>
              <w:tc>
                <w:tcPr>
                  <w:tcW w:w="567" w:type="pct"/>
                  <w:shd w:val="clear" w:color="auto" w:fill="auto"/>
                  <w:noWrap w:val="0"/>
                  <w:vAlign w:val="center"/>
                </w:tcPr>
                <w:p w14:paraId="08E3AC3C">
                  <w:pPr>
                    <w:jc w:val="center"/>
                    <w:rPr>
                      <w:rFonts w:eastAsia="宋体"/>
                      <w:sz w:val="21"/>
                      <w:szCs w:val="21"/>
                      <w:u w:val="none"/>
                    </w:rPr>
                  </w:pPr>
                  <w:r>
                    <w:rPr>
                      <w:rFonts w:eastAsia="宋体"/>
                      <w:sz w:val="21"/>
                      <w:szCs w:val="21"/>
                      <w:u w:val="none"/>
                    </w:rPr>
                    <w:t>是</w:t>
                  </w:r>
                </w:p>
              </w:tc>
            </w:tr>
            <w:tr w14:paraId="1981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785DC2E">
                  <w:pPr>
                    <w:jc w:val="center"/>
                    <w:rPr>
                      <w:rFonts w:eastAsia="宋体"/>
                      <w:sz w:val="21"/>
                      <w:szCs w:val="21"/>
                      <w:u w:val="none"/>
                    </w:rPr>
                  </w:pPr>
                </w:p>
              </w:tc>
              <w:tc>
                <w:tcPr>
                  <w:tcW w:w="904" w:type="pct"/>
                  <w:vMerge w:val="continue"/>
                  <w:shd w:val="clear" w:color="auto" w:fill="auto"/>
                  <w:noWrap w:val="0"/>
                  <w:vAlign w:val="center"/>
                </w:tcPr>
                <w:p w14:paraId="37CA9AC6">
                  <w:pPr>
                    <w:jc w:val="center"/>
                    <w:rPr>
                      <w:rFonts w:eastAsia="宋体"/>
                      <w:sz w:val="21"/>
                      <w:szCs w:val="21"/>
                      <w:u w:val="none"/>
                    </w:rPr>
                  </w:pPr>
                </w:p>
              </w:tc>
              <w:tc>
                <w:tcPr>
                  <w:tcW w:w="454" w:type="pct"/>
                  <w:shd w:val="clear" w:color="auto" w:fill="auto"/>
                  <w:noWrap w:val="0"/>
                  <w:vAlign w:val="center"/>
                </w:tcPr>
                <w:p w14:paraId="374606D8">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42C82340">
                  <w:pPr>
                    <w:jc w:val="center"/>
                    <w:rPr>
                      <w:rFonts w:eastAsia="宋体"/>
                      <w:sz w:val="21"/>
                      <w:szCs w:val="21"/>
                      <w:u w:val="none"/>
                    </w:rPr>
                  </w:pPr>
                  <w:r>
                    <w:rPr>
                      <w:rFonts w:eastAsia="宋体"/>
                      <w:sz w:val="21"/>
                      <w:szCs w:val="21"/>
                      <w:u w:val="none"/>
                    </w:rPr>
                    <w:t>18~19</w:t>
                  </w:r>
                </w:p>
              </w:tc>
              <w:tc>
                <w:tcPr>
                  <w:tcW w:w="732" w:type="pct"/>
                  <w:shd w:val="clear" w:color="auto" w:fill="auto"/>
                  <w:noWrap w:val="0"/>
                  <w:vAlign w:val="center"/>
                </w:tcPr>
                <w:p w14:paraId="0B372793">
                  <w:pPr>
                    <w:jc w:val="center"/>
                    <w:rPr>
                      <w:rFonts w:eastAsia="宋体"/>
                      <w:sz w:val="21"/>
                      <w:szCs w:val="21"/>
                      <w:u w:val="none"/>
                    </w:rPr>
                  </w:pPr>
                  <w:r>
                    <w:rPr>
                      <w:rFonts w:eastAsia="宋体"/>
                      <w:sz w:val="21"/>
                      <w:szCs w:val="21"/>
                      <w:u w:val="none"/>
                    </w:rPr>
                    <w:t>0.832</w:t>
                  </w:r>
                </w:p>
              </w:tc>
              <w:tc>
                <w:tcPr>
                  <w:tcW w:w="610" w:type="pct"/>
                  <w:shd w:val="clear" w:color="auto" w:fill="auto"/>
                  <w:noWrap w:val="0"/>
                  <w:vAlign w:val="center"/>
                </w:tcPr>
                <w:p w14:paraId="63BE6DF7">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6238FDF4">
                  <w:pPr>
                    <w:jc w:val="center"/>
                    <w:rPr>
                      <w:rFonts w:hint="eastAsia" w:eastAsia="宋体"/>
                      <w:sz w:val="21"/>
                      <w:szCs w:val="21"/>
                      <w:u w:val="none"/>
                    </w:rPr>
                  </w:pPr>
                  <w:r>
                    <w:rPr>
                      <w:rFonts w:hint="eastAsia" w:eastAsia="宋体"/>
                      <w:sz w:val="21"/>
                      <w:szCs w:val="21"/>
                      <w:u w:val="none"/>
                    </w:rPr>
                    <w:t>156.25</w:t>
                  </w:r>
                </w:p>
              </w:tc>
              <w:tc>
                <w:tcPr>
                  <w:tcW w:w="567" w:type="pct"/>
                  <w:shd w:val="clear" w:color="auto" w:fill="auto"/>
                  <w:noWrap w:val="0"/>
                  <w:vAlign w:val="center"/>
                </w:tcPr>
                <w:p w14:paraId="52B08FB6">
                  <w:pPr>
                    <w:jc w:val="center"/>
                    <w:rPr>
                      <w:rFonts w:eastAsia="宋体"/>
                      <w:sz w:val="21"/>
                      <w:szCs w:val="21"/>
                      <w:u w:val="none"/>
                    </w:rPr>
                  </w:pPr>
                  <w:r>
                    <w:rPr>
                      <w:rFonts w:eastAsia="宋体"/>
                      <w:sz w:val="21"/>
                      <w:szCs w:val="21"/>
                      <w:u w:val="none"/>
                    </w:rPr>
                    <w:t>是</w:t>
                  </w:r>
                </w:p>
              </w:tc>
            </w:tr>
            <w:tr w14:paraId="77D6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63F0B548">
                  <w:pPr>
                    <w:jc w:val="center"/>
                    <w:rPr>
                      <w:rFonts w:eastAsia="宋体"/>
                      <w:sz w:val="21"/>
                      <w:szCs w:val="21"/>
                      <w:u w:val="none"/>
                    </w:rPr>
                  </w:pPr>
                  <w:r>
                    <w:rPr>
                      <w:rFonts w:eastAsia="宋体"/>
                      <w:sz w:val="21"/>
                      <w:szCs w:val="21"/>
                      <w:u w:val="none"/>
                    </w:rPr>
                    <w:t>DA015</w:t>
                  </w:r>
                </w:p>
              </w:tc>
              <w:tc>
                <w:tcPr>
                  <w:tcW w:w="904" w:type="pct"/>
                  <w:vMerge w:val="restart"/>
                  <w:shd w:val="clear" w:color="auto" w:fill="auto"/>
                  <w:noWrap w:val="0"/>
                  <w:vAlign w:val="center"/>
                </w:tcPr>
                <w:p w14:paraId="63EB837F">
                  <w:pPr>
                    <w:jc w:val="center"/>
                    <w:rPr>
                      <w:rFonts w:eastAsia="宋体"/>
                      <w:sz w:val="21"/>
                      <w:szCs w:val="21"/>
                      <w:u w:val="none"/>
                    </w:rPr>
                  </w:pPr>
                  <w:r>
                    <w:rPr>
                      <w:rFonts w:eastAsia="宋体"/>
                      <w:sz w:val="21"/>
                      <w:szCs w:val="21"/>
                      <w:u w:val="none"/>
                    </w:rPr>
                    <w:t>3#煤加压尾气处理设施</w:t>
                  </w:r>
                </w:p>
              </w:tc>
              <w:tc>
                <w:tcPr>
                  <w:tcW w:w="454" w:type="pct"/>
                  <w:shd w:val="clear" w:color="auto" w:fill="auto"/>
                  <w:noWrap w:val="0"/>
                  <w:vAlign w:val="center"/>
                </w:tcPr>
                <w:p w14:paraId="3CB99E79">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B2DD17C">
                  <w:pPr>
                    <w:jc w:val="center"/>
                    <w:rPr>
                      <w:rFonts w:eastAsia="宋体"/>
                      <w:sz w:val="21"/>
                      <w:szCs w:val="21"/>
                      <w:u w:val="none"/>
                    </w:rPr>
                  </w:pPr>
                  <w:r>
                    <w:rPr>
                      <w:rFonts w:eastAsia="宋体"/>
                      <w:sz w:val="21"/>
                      <w:szCs w:val="21"/>
                      <w:u w:val="none"/>
                    </w:rPr>
                    <w:t>14.2~15.6</w:t>
                  </w:r>
                </w:p>
              </w:tc>
              <w:tc>
                <w:tcPr>
                  <w:tcW w:w="732" w:type="pct"/>
                  <w:shd w:val="clear" w:color="auto" w:fill="auto"/>
                  <w:noWrap w:val="0"/>
                  <w:vAlign w:val="center"/>
                </w:tcPr>
                <w:p w14:paraId="568F2ADA">
                  <w:pPr>
                    <w:jc w:val="center"/>
                    <w:rPr>
                      <w:rFonts w:eastAsia="宋体"/>
                      <w:sz w:val="21"/>
                      <w:szCs w:val="21"/>
                      <w:u w:val="none"/>
                    </w:rPr>
                  </w:pPr>
                  <w:r>
                    <w:rPr>
                      <w:rFonts w:eastAsia="宋体"/>
                      <w:sz w:val="21"/>
                      <w:szCs w:val="21"/>
                      <w:u w:val="none"/>
                    </w:rPr>
                    <w:t>0.717~0.779</w:t>
                  </w:r>
                </w:p>
              </w:tc>
              <w:tc>
                <w:tcPr>
                  <w:tcW w:w="610" w:type="pct"/>
                  <w:shd w:val="clear" w:color="auto" w:fill="auto"/>
                  <w:noWrap w:val="0"/>
                  <w:vAlign w:val="center"/>
                </w:tcPr>
                <w:p w14:paraId="75869F09">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74AC055A">
                  <w:pPr>
                    <w:jc w:val="center"/>
                    <w:rPr>
                      <w:rFonts w:eastAsia="宋体"/>
                      <w:sz w:val="21"/>
                      <w:szCs w:val="21"/>
                      <w:u w:val="none"/>
                    </w:rPr>
                  </w:pPr>
                  <w:r>
                    <w:rPr>
                      <w:rFonts w:hint="eastAsia" w:eastAsia="宋体"/>
                      <w:sz w:val="21"/>
                      <w:szCs w:val="21"/>
                      <w:u w:val="none"/>
                    </w:rPr>
                    <w:t>132.81</w:t>
                  </w:r>
                </w:p>
              </w:tc>
              <w:tc>
                <w:tcPr>
                  <w:tcW w:w="567" w:type="pct"/>
                  <w:shd w:val="clear" w:color="auto" w:fill="auto"/>
                  <w:noWrap w:val="0"/>
                  <w:vAlign w:val="center"/>
                </w:tcPr>
                <w:p w14:paraId="14910CD1">
                  <w:pPr>
                    <w:jc w:val="center"/>
                    <w:rPr>
                      <w:rFonts w:eastAsia="宋体"/>
                      <w:sz w:val="21"/>
                      <w:szCs w:val="21"/>
                      <w:u w:val="none"/>
                    </w:rPr>
                  </w:pPr>
                  <w:r>
                    <w:rPr>
                      <w:rFonts w:eastAsia="宋体"/>
                      <w:sz w:val="21"/>
                      <w:szCs w:val="21"/>
                      <w:u w:val="none"/>
                    </w:rPr>
                    <w:t>是</w:t>
                  </w:r>
                </w:p>
              </w:tc>
            </w:tr>
            <w:tr w14:paraId="4FAA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5703CF3">
                  <w:pPr>
                    <w:jc w:val="center"/>
                    <w:rPr>
                      <w:rFonts w:eastAsia="宋体"/>
                      <w:sz w:val="21"/>
                      <w:szCs w:val="21"/>
                      <w:u w:val="none"/>
                    </w:rPr>
                  </w:pPr>
                </w:p>
              </w:tc>
              <w:tc>
                <w:tcPr>
                  <w:tcW w:w="904" w:type="pct"/>
                  <w:vMerge w:val="continue"/>
                  <w:shd w:val="clear" w:color="auto" w:fill="auto"/>
                  <w:noWrap w:val="0"/>
                  <w:vAlign w:val="center"/>
                </w:tcPr>
                <w:p w14:paraId="7A9C5C04">
                  <w:pPr>
                    <w:jc w:val="center"/>
                    <w:rPr>
                      <w:rFonts w:eastAsia="宋体"/>
                      <w:sz w:val="21"/>
                      <w:szCs w:val="21"/>
                      <w:u w:val="none"/>
                    </w:rPr>
                  </w:pPr>
                </w:p>
              </w:tc>
              <w:tc>
                <w:tcPr>
                  <w:tcW w:w="454" w:type="pct"/>
                  <w:shd w:val="clear" w:color="auto" w:fill="auto"/>
                  <w:noWrap w:val="0"/>
                  <w:vAlign w:val="center"/>
                </w:tcPr>
                <w:p w14:paraId="1EC014F8">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5AAF16C8">
                  <w:pPr>
                    <w:jc w:val="center"/>
                    <w:rPr>
                      <w:rFonts w:eastAsia="宋体"/>
                      <w:sz w:val="21"/>
                      <w:szCs w:val="21"/>
                      <w:u w:val="none"/>
                    </w:rPr>
                  </w:pPr>
                  <w:r>
                    <w:rPr>
                      <w:rFonts w:eastAsia="宋体"/>
                      <w:sz w:val="21"/>
                      <w:szCs w:val="21"/>
                      <w:u w:val="none"/>
                    </w:rPr>
                    <w:t>0.03~0.04</w:t>
                  </w:r>
                </w:p>
              </w:tc>
              <w:tc>
                <w:tcPr>
                  <w:tcW w:w="732" w:type="pct"/>
                  <w:shd w:val="clear" w:color="auto" w:fill="auto"/>
                  <w:noWrap w:val="0"/>
                  <w:vAlign w:val="center"/>
                </w:tcPr>
                <w:p w14:paraId="2A917AE3">
                  <w:pPr>
                    <w:jc w:val="center"/>
                    <w:rPr>
                      <w:rFonts w:eastAsia="宋体"/>
                      <w:sz w:val="21"/>
                      <w:szCs w:val="21"/>
                      <w:u w:val="none"/>
                    </w:rPr>
                  </w:pPr>
                  <w:r>
                    <w:rPr>
                      <w:rFonts w:eastAsia="宋体"/>
                      <w:sz w:val="21"/>
                      <w:szCs w:val="21"/>
                      <w:u w:val="none"/>
                    </w:rPr>
                    <w:t>0.0015~0.0020</w:t>
                  </w:r>
                </w:p>
              </w:tc>
              <w:tc>
                <w:tcPr>
                  <w:tcW w:w="610" w:type="pct"/>
                  <w:shd w:val="clear" w:color="auto" w:fill="auto"/>
                  <w:noWrap w:val="0"/>
                  <w:vAlign w:val="center"/>
                </w:tcPr>
                <w:p w14:paraId="5FEA6DE8">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03E77383">
                  <w:pPr>
                    <w:jc w:val="center"/>
                    <w:rPr>
                      <w:rFonts w:eastAsia="宋体"/>
                      <w:sz w:val="21"/>
                      <w:szCs w:val="21"/>
                      <w:u w:val="none"/>
                    </w:rPr>
                  </w:pPr>
                  <w:r>
                    <w:rPr>
                      <w:rFonts w:hint="eastAsia" w:eastAsia="宋体"/>
                      <w:sz w:val="21"/>
                      <w:szCs w:val="21"/>
                      <w:u w:val="none"/>
                    </w:rPr>
                    <w:t>9.3</w:t>
                  </w:r>
                </w:p>
              </w:tc>
              <w:tc>
                <w:tcPr>
                  <w:tcW w:w="567" w:type="pct"/>
                  <w:shd w:val="clear" w:color="auto" w:fill="auto"/>
                  <w:noWrap w:val="0"/>
                  <w:vAlign w:val="center"/>
                </w:tcPr>
                <w:p w14:paraId="2DA2C2C7">
                  <w:pPr>
                    <w:jc w:val="center"/>
                    <w:rPr>
                      <w:rFonts w:eastAsia="宋体"/>
                      <w:sz w:val="21"/>
                      <w:szCs w:val="21"/>
                      <w:u w:val="none"/>
                    </w:rPr>
                  </w:pPr>
                  <w:r>
                    <w:rPr>
                      <w:rFonts w:eastAsia="宋体"/>
                      <w:sz w:val="21"/>
                      <w:szCs w:val="21"/>
                      <w:u w:val="none"/>
                    </w:rPr>
                    <w:t>是</w:t>
                  </w:r>
                </w:p>
              </w:tc>
            </w:tr>
            <w:tr w14:paraId="3000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DA0BCA3">
                  <w:pPr>
                    <w:jc w:val="center"/>
                    <w:rPr>
                      <w:rFonts w:eastAsia="宋体"/>
                      <w:sz w:val="21"/>
                      <w:szCs w:val="21"/>
                      <w:u w:val="none"/>
                    </w:rPr>
                  </w:pPr>
                </w:p>
              </w:tc>
              <w:tc>
                <w:tcPr>
                  <w:tcW w:w="904" w:type="pct"/>
                  <w:vMerge w:val="continue"/>
                  <w:shd w:val="clear" w:color="auto" w:fill="auto"/>
                  <w:noWrap w:val="0"/>
                  <w:vAlign w:val="center"/>
                </w:tcPr>
                <w:p w14:paraId="79B24774">
                  <w:pPr>
                    <w:jc w:val="center"/>
                    <w:rPr>
                      <w:rFonts w:eastAsia="宋体"/>
                      <w:sz w:val="21"/>
                      <w:szCs w:val="21"/>
                      <w:u w:val="none"/>
                    </w:rPr>
                  </w:pPr>
                </w:p>
              </w:tc>
              <w:tc>
                <w:tcPr>
                  <w:tcW w:w="454" w:type="pct"/>
                  <w:shd w:val="clear" w:color="auto" w:fill="auto"/>
                  <w:noWrap w:val="0"/>
                  <w:vAlign w:val="center"/>
                </w:tcPr>
                <w:p w14:paraId="6B1139E4">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3E1F6C6E">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450DB767">
                  <w:pPr>
                    <w:jc w:val="center"/>
                    <w:rPr>
                      <w:rFonts w:eastAsia="宋体"/>
                      <w:sz w:val="21"/>
                      <w:szCs w:val="21"/>
                      <w:u w:val="none"/>
                    </w:rPr>
                  </w:pPr>
                  <w:r>
                    <w:rPr>
                      <w:rFonts w:eastAsia="宋体"/>
                      <w:sz w:val="21"/>
                      <w:szCs w:val="21"/>
                      <w:u w:val="none"/>
                    </w:rPr>
                    <w:t>0.124~0.126</w:t>
                  </w:r>
                </w:p>
              </w:tc>
              <w:tc>
                <w:tcPr>
                  <w:tcW w:w="610" w:type="pct"/>
                  <w:shd w:val="clear" w:color="auto" w:fill="auto"/>
                  <w:noWrap w:val="0"/>
                  <w:vAlign w:val="center"/>
                </w:tcPr>
                <w:p w14:paraId="60B6B9A0">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3A31BE99">
                  <w:pPr>
                    <w:jc w:val="center"/>
                    <w:rPr>
                      <w:rFonts w:hint="eastAsia" w:eastAsia="宋体"/>
                      <w:sz w:val="21"/>
                      <w:szCs w:val="21"/>
                      <w:u w:val="none"/>
                    </w:rPr>
                  </w:pPr>
                  <w:r>
                    <w:rPr>
                      <w:rFonts w:hint="eastAsia" w:eastAsia="宋体"/>
                      <w:sz w:val="21"/>
                      <w:szCs w:val="21"/>
                      <w:u w:val="none"/>
                    </w:rPr>
                    <w:t>156.25</w:t>
                  </w:r>
                </w:p>
              </w:tc>
              <w:tc>
                <w:tcPr>
                  <w:tcW w:w="567" w:type="pct"/>
                  <w:shd w:val="clear" w:color="auto" w:fill="auto"/>
                  <w:noWrap w:val="0"/>
                  <w:vAlign w:val="center"/>
                </w:tcPr>
                <w:p w14:paraId="34F75B0E">
                  <w:pPr>
                    <w:jc w:val="center"/>
                    <w:rPr>
                      <w:rFonts w:eastAsia="宋体"/>
                      <w:sz w:val="21"/>
                      <w:szCs w:val="21"/>
                      <w:u w:val="none"/>
                    </w:rPr>
                  </w:pPr>
                  <w:r>
                    <w:rPr>
                      <w:rFonts w:eastAsia="宋体"/>
                      <w:sz w:val="21"/>
                      <w:szCs w:val="21"/>
                      <w:u w:val="none"/>
                    </w:rPr>
                    <w:t>是</w:t>
                  </w:r>
                </w:p>
              </w:tc>
            </w:tr>
            <w:tr w14:paraId="1056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2FC4A3B6">
                  <w:pPr>
                    <w:jc w:val="center"/>
                    <w:rPr>
                      <w:rFonts w:eastAsia="宋体"/>
                      <w:sz w:val="21"/>
                      <w:szCs w:val="21"/>
                      <w:u w:val="none"/>
                    </w:rPr>
                  </w:pPr>
                  <w:r>
                    <w:rPr>
                      <w:rFonts w:eastAsia="宋体"/>
                      <w:sz w:val="21"/>
                      <w:szCs w:val="21"/>
                      <w:u w:val="none"/>
                    </w:rPr>
                    <w:t>DA017</w:t>
                  </w:r>
                </w:p>
              </w:tc>
              <w:tc>
                <w:tcPr>
                  <w:tcW w:w="904" w:type="pct"/>
                  <w:vMerge w:val="restart"/>
                  <w:shd w:val="clear" w:color="auto" w:fill="auto"/>
                  <w:noWrap w:val="0"/>
                  <w:vAlign w:val="center"/>
                </w:tcPr>
                <w:p w14:paraId="2F907C97">
                  <w:pPr>
                    <w:jc w:val="center"/>
                    <w:rPr>
                      <w:rFonts w:eastAsia="宋体"/>
                      <w:sz w:val="21"/>
                      <w:szCs w:val="21"/>
                      <w:u w:val="none"/>
                    </w:rPr>
                  </w:pPr>
                  <w:r>
                    <w:rPr>
                      <w:rFonts w:eastAsia="宋体"/>
                      <w:sz w:val="21"/>
                      <w:szCs w:val="21"/>
                      <w:u w:val="none"/>
                    </w:rPr>
                    <w:t>4#煤加压尾气处理设施</w:t>
                  </w:r>
                </w:p>
              </w:tc>
              <w:tc>
                <w:tcPr>
                  <w:tcW w:w="454" w:type="pct"/>
                  <w:shd w:val="clear" w:color="auto" w:fill="auto"/>
                  <w:noWrap w:val="0"/>
                  <w:vAlign w:val="center"/>
                </w:tcPr>
                <w:p w14:paraId="05FEB37F">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0642AC5F">
                  <w:pPr>
                    <w:jc w:val="center"/>
                    <w:rPr>
                      <w:rFonts w:eastAsia="宋体"/>
                      <w:sz w:val="21"/>
                      <w:szCs w:val="21"/>
                      <w:u w:val="none"/>
                    </w:rPr>
                  </w:pPr>
                  <w:r>
                    <w:rPr>
                      <w:rFonts w:eastAsia="宋体"/>
                      <w:sz w:val="21"/>
                      <w:szCs w:val="21"/>
                      <w:u w:val="none"/>
                    </w:rPr>
                    <w:t>ND</w:t>
                  </w:r>
                </w:p>
              </w:tc>
              <w:tc>
                <w:tcPr>
                  <w:tcW w:w="732" w:type="pct"/>
                  <w:shd w:val="clear" w:color="auto" w:fill="auto"/>
                  <w:noWrap w:val="0"/>
                  <w:vAlign w:val="center"/>
                </w:tcPr>
                <w:p w14:paraId="1597D5E4">
                  <w:pPr>
                    <w:jc w:val="center"/>
                    <w:rPr>
                      <w:rFonts w:eastAsia="宋体"/>
                      <w:sz w:val="21"/>
                      <w:szCs w:val="21"/>
                      <w:u w:val="none"/>
                    </w:rPr>
                  </w:pPr>
                  <w:r>
                    <w:rPr>
                      <w:rFonts w:eastAsia="宋体"/>
                      <w:sz w:val="21"/>
                      <w:szCs w:val="21"/>
                      <w:u w:val="none"/>
                    </w:rPr>
                    <w:t>0.0215</w:t>
                  </w:r>
                </w:p>
              </w:tc>
              <w:tc>
                <w:tcPr>
                  <w:tcW w:w="610" w:type="pct"/>
                  <w:shd w:val="clear" w:color="auto" w:fill="auto"/>
                  <w:noWrap w:val="0"/>
                  <w:vAlign w:val="center"/>
                </w:tcPr>
                <w:p w14:paraId="57F908C4">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57BFE04F">
                  <w:pPr>
                    <w:jc w:val="center"/>
                    <w:rPr>
                      <w:rFonts w:eastAsia="宋体"/>
                      <w:sz w:val="21"/>
                      <w:szCs w:val="21"/>
                      <w:u w:val="none"/>
                    </w:rPr>
                  </w:pPr>
                  <w:r>
                    <w:rPr>
                      <w:rFonts w:hint="eastAsia" w:eastAsia="宋体"/>
                      <w:sz w:val="21"/>
                      <w:szCs w:val="21"/>
                      <w:u w:val="none"/>
                    </w:rPr>
                    <w:t>132.81</w:t>
                  </w:r>
                </w:p>
              </w:tc>
              <w:tc>
                <w:tcPr>
                  <w:tcW w:w="567" w:type="pct"/>
                  <w:shd w:val="clear" w:color="auto" w:fill="auto"/>
                  <w:noWrap w:val="0"/>
                  <w:vAlign w:val="center"/>
                </w:tcPr>
                <w:p w14:paraId="50205C40">
                  <w:pPr>
                    <w:jc w:val="center"/>
                    <w:rPr>
                      <w:rFonts w:eastAsia="宋体"/>
                      <w:sz w:val="21"/>
                      <w:szCs w:val="21"/>
                      <w:u w:val="none"/>
                    </w:rPr>
                  </w:pPr>
                  <w:r>
                    <w:rPr>
                      <w:rFonts w:eastAsia="宋体"/>
                      <w:sz w:val="21"/>
                      <w:szCs w:val="21"/>
                      <w:u w:val="none"/>
                    </w:rPr>
                    <w:t>是</w:t>
                  </w:r>
                </w:p>
              </w:tc>
            </w:tr>
            <w:tr w14:paraId="740D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7E16CB9C">
                  <w:pPr>
                    <w:jc w:val="center"/>
                    <w:rPr>
                      <w:rFonts w:eastAsia="宋体"/>
                      <w:sz w:val="21"/>
                      <w:szCs w:val="21"/>
                      <w:u w:val="none"/>
                    </w:rPr>
                  </w:pPr>
                </w:p>
              </w:tc>
              <w:tc>
                <w:tcPr>
                  <w:tcW w:w="904" w:type="pct"/>
                  <w:vMerge w:val="continue"/>
                  <w:shd w:val="clear" w:color="auto" w:fill="auto"/>
                  <w:noWrap w:val="0"/>
                  <w:vAlign w:val="center"/>
                </w:tcPr>
                <w:p w14:paraId="73614C46">
                  <w:pPr>
                    <w:jc w:val="center"/>
                    <w:rPr>
                      <w:rFonts w:eastAsia="宋体"/>
                      <w:sz w:val="21"/>
                      <w:szCs w:val="21"/>
                      <w:u w:val="none"/>
                    </w:rPr>
                  </w:pPr>
                </w:p>
              </w:tc>
              <w:tc>
                <w:tcPr>
                  <w:tcW w:w="454" w:type="pct"/>
                  <w:shd w:val="clear" w:color="auto" w:fill="auto"/>
                  <w:noWrap w:val="0"/>
                  <w:vAlign w:val="center"/>
                </w:tcPr>
                <w:p w14:paraId="21F73F5E">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3EAF305C">
                  <w:pPr>
                    <w:jc w:val="center"/>
                    <w:rPr>
                      <w:rFonts w:eastAsia="宋体"/>
                      <w:sz w:val="21"/>
                      <w:szCs w:val="21"/>
                      <w:u w:val="none"/>
                    </w:rPr>
                  </w:pPr>
                  <w:r>
                    <w:rPr>
                      <w:rFonts w:eastAsia="宋体"/>
                      <w:sz w:val="21"/>
                      <w:szCs w:val="21"/>
                      <w:u w:val="none"/>
                    </w:rPr>
                    <w:t>0.007~0.009</w:t>
                  </w:r>
                </w:p>
              </w:tc>
              <w:tc>
                <w:tcPr>
                  <w:tcW w:w="732" w:type="pct"/>
                  <w:shd w:val="clear" w:color="auto" w:fill="auto"/>
                  <w:noWrap w:val="0"/>
                  <w:vAlign w:val="center"/>
                </w:tcPr>
                <w:p w14:paraId="1FCCFA6E">
                  <w:pPr>
                    <w:jc w:val="center"/>
                    <w:rPr>
                      <w:rFonts w:eastAsia="宋体"/>
                      <w:sz w:val="21"/>
                      <w:szCs w:val="21"/>
                      <w:u w:val="none"/>
                    </w:rPr>
                  </w:pPr>
                  <w:r>
                    <w:rPr>
                      <w:rFonts w:eastAsia="宋体"/>
                      <w:sz w:val="21"/>
                      <w:szCs w:val="21"/>
                      <w:u w:val="none"/>
                    </w:rPr>
                    <w:t>0.00034</w:t>
                  </w:r>
                </w:p>
              </w:tc>
              <w:tc>
                <w:tcPr>
                  <w:tcW w:w="610" w:type="pct"/>
                  <w:shd w:val="clear" w:color="auto" w:fill="auto"/>
                  <w:noWrap w:val="0"/>
                  <w:vAlign w:val="center"/>
                </w:tcPr>
                <w:p w14:paraId="1415AC8B">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21A3443B">
                  <w:pPr>
                    <w:jc w:val="center"/>
                    <w:rPr>
                      <w:rFonts w:eastAsia="宋体"/>
                      <w:sz w:val="21"/>
                      <w:szCs w:val="21"/>
                      <w:u w:val="none"/>
                    </w:rPr>
                  </w:pPr>
                  <w:r>
                    <w:rPr>
                      <w:rFonts w:hint="eastAsia" w:eastAsia="宋体"/>
                      <w:sz w:val="21"/>
                      <w:szCs w:val="21"/>
                      <w:u w:val="none"/>
                    </w:rPr>
                    <w:t>9.3</w:t>
                  </w:r>
                </w:p>
              </w:tc>
              <w:tc>
                <w:tcPr>
                  <w:tcW w:w="567" w:type="pct"/>
                  <w:shd w:val="clear" w:color="auto" w:fill="auto"/>
                  <w:noWrap w:val="0"/>
                  <w:vAlign w:val="center"/>
                </w:tcPr>
                <w:p w14:paraId="2A81472E">
                  <w:pPr>
                    <w:jc w:val="center"/>
                    <w:rPr>
                      <w:rFonts w:eastAsia="宋体"/>
                      <w:sz w:val="21"/>
                      <w:szCs w:val="21"/>
                      <w:u w:val="none"/>
                    </w:rPr>
                  </w:pPr>
                  <w:r>
                    <w:rPr>
                      <w:rFonts w:eastAsia="宋体"/>
                      <w:sz w:val="21"/>
                      <w:szCs w:val="21"/>
                      <w:u w:val="none"/>
                    </w:rPr>
                    <w:t>是</w:t>
                  </w:r>
                </w:p>
              </w:tc>
            </w:tr>
            <w:tr w14:paraId="1515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4D68BC1">
                  <w:pPr>
                    <w:jc w:val="center"/>
                    <w:rPr>
                      <w:rFonts w:eastAsia="宋体"/>
                      <w:sz w:val="21"/>
                      <w:szCs w:val="21"/>
                      <w:u w:val="none"/>
                    </w:rPr>
                  </w:pPr>
                </w:p>
              </w:tc>
              <w:tc>
                <w:tcPr>
                  <w:tcW w:w="904" w:type="pct"/>
                  <w:vMerge w:val="continue"/>
                  <w:shd w:val="clear" w:color="auto" w:fill="auto"/>
                  <w:noWrap w:val="0"/>
                  <w:vAlign w:val="center"/>
                </w:tcPr>
                <w:p w14:paraId="68B0643C">
                  <w:pPr>
                    <w:jc w:val="center"/>
                    <w:rPr>
                      <w:rFonts w:eastAsia="宋体"/>
                      <w:sz w:val="21"/>
                      <w:szCs w:val="21"/>
                      <w:u w:val="none"/>
                    </w:rPr>
                  </w:pPr>
                </w:p>
              </w:tc>
              <w:tc>
                <w:tcPr>
                  <w:tcW w:w="454" w:type="pct"/>
                  <w:shd w:val="clear" w:color="auto" w:fill="auto"/>
                  <w:noWrap w:val="0"/>
                  <w:vAlign w:val="center"/>
                </w:tcPr>
                <w:p w14:paraId="7684C543">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6A62C292">
                  <w:pPr>
                    <w:jc w:val="center"/>
                    <w:rPr>
                      <w:rFonts w:eastAsia="宋体"/>
                      <w:sz w:val="21"/>
                      <w:szCs w:val="21"/>
                      <w:u w:val="none"/>
                    </w:rPr>
                  </w:pPr>
                  <w:r>
                    <w:rPr>
                      <w:rFonts w:eastAsia="宋体"/>
                      <w:sz w:val="21"/>
                      <w:szCs w:val="21"/>
                      <w:u w:val="none"/>
                    </w:rPr>
                    <w:t>14~17</w:t>
                  </w:r>
                </w:p>
              </w:tc>
              <w:tc>
                <w:tcPr>
                  <w:tcW w:w="732" w:type="pct"/>
                  <w:shd w:val="clear" w:color="auto" w:fill="auto"/>
                  <w:noWrap w:val="0"/>
                  <w:vAlign w:val="center"/>
                </w:tcPr>
                <w:p w14:paraId="530F364C">
                  <w:pPr>
                    <w:jc w:val="center"/>
                    <w:rPr>
                      <w:rFonts w:eastAsia="宋体"/>
                      <w:sz w:val="21"/>
                      <w:szCs w:val="21"/>
                      <w:u w:val="none"/>
                    </w:rPr>
                  </w:pPr>
                  <w:r>
                    <w:rPr>
                      <w:rFonts w:eastAsia="宋体"/>
                      <w:sz w:val="21"/>
                      <w:szCs w:val="21"/>
                      <w:u w:val="none"/>
                    </w:rPr>
                    <w:t>0.663</w:t>
                  </w:r>
                </w:p>
              </w:tc>
              <w:tc>
                <w:tcPr>
                  <w:tcW w:w="610" w:type="pct"/>
                  <w:shd w:val="clear" w:color="auto" w:fill="auto"/>
                  <w:noWrap w:val="0"/>
                  <w:vAlign w:val="center"/>
                </w:tcPr>
                <w:p w14:paraId="14527D5C">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36F48713">
                  <w:pPr>
                    <w:jc w:val="center"/>
                    <w:rPr>
                      <w:rFonts w:hint="eastAsia" w:eastAsia="宋体"/>
                      <w:sz w:val="21"/>
                      <w:szCs w:val="21"/>
                      <w:u w:val="none"/>
                    </w:rPr>
                  </w:pPr>
                  <w:r>
                    <w:rPr>
                      <w:rFonts w:hint="eastAsia" w:eastAsia="宋体"/>
                      <w:sz w:val="21"/>
                      <w:szCs w:val="21"/>
                      <w:u w:val="none"/>
                    </w:rPr>
                    <w:t>156.25</w:t>
                  </w:r>
                </w:p>
              </w:tc>
              <w:tc>
                <w:tcPr>
                  <w:tcW w:w="567" w:type="pct"/>
                  <w:shd w:val="clear" w:color="auto" w:fill="auto"/>
                  <w:noWrap w:val="0"/>
                  <w:vAlign w:val="center"/>
                </w:tcPr>
                <w:p w14:paraId="0E70CF5B">
                  <w:pPr>
                    <w:jc w:val="center"/>
                    <w:rPr>
                      <w:rFonts w:eastAsia="宋体"/>
                      <w:sz w:val="21"/>
                      <w:szCs w:val="21"/>
                      <w:u w:val="none"/>
                    </w:rPr>
                  </w:pPr>
                  <w:r>
                    <w:rPr>
                      <w:rFonts w:eastAsia="宋体"/>
                      <w:sz w:val="21"/>
                      <w:szCs w:val="21"/>
                      <w:u w:val="none"/>
                    </w:rPr>
                    <w:t>是</w:t>
                  </w:r>
                </w:p>
              </w:tc>
            </w:tr>
            <w:tr w14:paraId="4CB6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0A38CF07">
                  <w:pPr>
                    <w:jc w:val="center"/>
                    <w:rPr>
                      <w:rFonts w:eastAsia="宋体"/>
                      <w:sz w:val="21"/>
                      <w:szCs w:val="21"/>
                      <w:u w:val="none"/>
                    </w:rPr>
                  </w:pPr>
                  <w:r>
                    <w:rPr>
                      <w:rFonts w:eastAsia="宋体"/>
                      <w:sz w:val="21"/>
                      <w:szCs w:val="21"/>
                      <w:u w:val="none"/>
                    </w:rPr>
                    <w:t>DA019</w:t>
                  </w:r>
                </w:p>
              </w:tc>
              <w:tc>
                <w:tcPr>
                  <w:tcW w:w="904" w:type="pct"/>
                  <w:vMerge w:val="restart"/>
                  <w:shd w:val="clear" w:color="auto" w:fill="auto"/>
                  <w:noWrap w:val="0"/>
                  <w:vAlign w:val="center"/>
                </w:tcPr>
                <w:p w14:paraId="372DBD47">
                  <w:pPr>
                    <w:jc w:val="center"/>
                    <w:rPr>
                      <w:rFonts w:eastAsia="宋体"/>
                      <w:sz w:val="21"/>
                      <w:szCs w:val="21"/>
                      <w:u w:val="none"/>
                    </w:rPr>
                  </w:pPr>
                  <w:r>
                    <w:rPr>
                      <w:rFonts w:eastAsia="宋体"/>
                      <w:sz w:val="21"/>
                      <w:szCs w:val="21"/>
                      <w:u w:val="none"/>
                    </w:rPr>
                    <w:t>5#煤加压尾气处理设施</w:t>
                  </w:r>
                </w:p>
              </w:tc>
              <w:tc>
                <w:tcPr>
                  <w:tcW w:w="454" w:type="pct"/>
                  <w:shd w:val="clear" w:color="auto" w:fill="auto"/>
                  <w:noWrap w:val="0"/>
                  <w:vAlign w:val="center"/>
                </w:tcPr>
                <w:p w14:paraId="1D03F5FA">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3CE147F1">
                  <w:pPr>
                    <w:jc w:val="center"/>
                    <w:rPr>
                      <w:rFonts w:eastAsia="宋体"/>
                      <w:sz w:val="21"/>
                      <w:szCs w:val="21"/>
                      <w:u w:val="none"/>
                    </w:rPr>
                  </w:pPr>
                  <w:r>
                    <w:rPr>
                      <w:rFonts w:eastAsia="宋体"/>
                      <w:sz w:val="21"/>
                      <w:szCs w:val="21"/>
                      <w:u w:val="none"/>
                    </w:rPr>
                    <w:t>11.4~12.6</w:t>
                  </w:r>
                </w:p>
              </w:tc>
              <w:tc>
                <w:tcPr>
                  <w:tcW w:w="732" w:type="pct"/>
                  <w:shd w:val="clear" w:color="auto" w:fill="auto"/>
                  <w:noWrap w:val="0"/>
                  <w:vAlign w:val="center"/>
                </w:tcPr>
                <w:p w14:paraId="0EEE1505">
                  <w:pPr>
                    <w:jc w:val="center"/>
                    <w:rPr>
                      <w:rFonts w:eastAsia="宋体"/>
                      <w:sz w:val="21"/>
                      <w:szCs w:val="21"/>
                      <w:u w:val="none"/>
                    </w:rPr>
                  </w:pPr>
                  <w:r>
                    <w:rPr>
                      <w:rFonts w:eastAsia="宋体"/>
                      <w:sz w:val="21"/>
                      <w:szCs w:val="21"/>
                      <w:u w:val="none"/>
                    </w:rPr>
                    <w:t>0.704~0.794</w:t>
                  </w:r>
                </w:p>
              </w:tc>
              <w:tc>
                <w:tcPr>
                  <w:tcW w:w="610" w:type="pct"/>
                  <w:shd w:val="clear" w:color="auto" w:fill="auto"/>
                  <w:noWrap w:val="0"/>
                  <w:vAlign w:val="center"/>
                </w:tcPr>
                <w:p w14:paraId="7F55E613">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34535E13">
                  <w:pPr>
                    <w:jc w:val="center"/>
                    <w:rPr>
                      <w:rFonts w:eastAsia="宋体"/>
                      <w:sz w:val="21"/>
                      <w:szCs w:val="21"/>
                      <w:u w:val="none"/>
                    </w:rPr>
                  </w:pPr>
                  <w:r>
                    <w:rPr>
                      <w:rFonts w:hint="eastAsia" w:eastAsia="宋体"/>
                      <w:sz w:val="21"/>
                      <w:szCs w:val="21"/>
                      <w:u w:val="none"/>
                    </w:rPr>
                    <w:t>132.81</w:t>
                  </w:r>
                </w:p>
              </w:tc>
              <w:tc>
                <w:tcPr>
                  <w:tcW w:w="567" w:type="pct"/>
                  <w:shd w:val="clear" w:color="auto" w:fill="auto"/>
                  <w:noWrap w:val="0"/>
                  <w:vAlign w:val="center"/>
                </w:tcPr>
                <w:p w14:paraId="729C0448">
                  <w:pPr>
                    <w:jc w:val="center"/>
                    <w:rPr>
                      <w:rFonts w:eastAsia="宋体"/>
                      <w:sz w:val="21"/>
                      <w:szCs w:val="21"/>
                      <w:u w:val="none"/>
                    </w:rPr>
                  </w:pPr>
                  <w:r>
                    <w:rPr>
                      <w:rFonts w:eastAsia="宋体"/>
                      <w:sz w:val="21"/>
                      <w:szCs w:val="21"/>
                      <w:u w:val="none"/>
                    </w:rPr>
                    <w:t>是</w:t>
                  </w:r>
                </w:p>
              </w:tc>
            </w:tr>
            <w:tr w14:paraId="172D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0508FD10">
                  <w:pPr>
                    <w:jc w:val="center"/>
                    <w:rPr>
                      <w:rFonts w:eastAsia="宋体"/>
                      <w:sz w:val="21"/>
                      <w:szCs w:val="21"/>
                      <w:u w:val="none"/>
                    </w:rPr>
                  </w:pPr>
                </w:p>
              </w:tc>
              <w:tc>
                <w:tcPr>
                  <w:tcW w:w="904" w:type="pct"/>
                  <w:vMerge w:val="continue"/>
                  <w:shd w:val="clear" w:color="auto" w:fill="auto"/>
                  <w:noWrap w:val="0"/>
                  <w:vAlign w:val="center"/>
                </w:tcPr>
                <w:p w14:paraId="27682B38">
                  <w:pPr>
                    <w:jc w:val="center"/>
                    <w:rPr>
                      <w:rFonts w:eastAsia="宋体"/>
                      <w:sz w:val="21"/>
                      <w:szCs w:val="21"/>
                      <w:u w:val="none"/>
                    </w:rPr>
                  </w:pPr>
                </w:p>
              </w:tc>
              <w:tc>
                <w:tcPr>
                  <w:tcW w:w="454" w:type="pct"/>
                  <w:shd w:val="clear" w:color="auto" w:fill="auto"/>
                  <w:noWrap w:val="0"/>
                  <w:vAlign w:val="center"/>
                </w:tcPr>
                <w:p w14:paraId="6DAC8BF7">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742FE98D">
                  <w:pPr>
                    <w:jc w:val="center"/>
                    <w:rPr>
                      <w:rFonts w:eastAsia="宋体"/>
                      <w:sz w:val="21"/>
                      <w:szCs w:val="21"/>
                      <w:u w:val="none"/>
                    </w:rPr>
                  </w:pPr>
                  <w:r>
                    <w:rPr>
                      <w:rFonts w:eastAsia="宋体"/>
                      <w:sz w:val="21"/>
                      <w:szCs w:val="21"/>
                      <w:u w:val="none"/>
                    </w:rPr>
                    <w:t>0.05~0.07</w:t>
                  </w:r>
                </w:p>
              </w:tc>
              <w:tc>
                <w:tcPr>
                  <w:tcW w:w="732" w:type="pct"/>
                  <w:shd w:val="clear" w:color="auto" w:fill="auto"/>
                  <w:noWrap w:val="0"/>
                  <w:vAlign w:val="center"/>
                </w:tcPr>
                <w:p w14:paraId="4C1EBD75">
                  <w:pPr>
                    <w:jc w:val="center"/>
                    <w:rPr>
                      <w:rFonts w:eastAsia="宋体"/>
                      <w:sz w:val="21"/>
                      <w:szCs w:val="21"/>
                      <w:u w:val="none"/>
                    </w:rPr>
                  </w:pPr>
                  <w:r>
                    <w:rPr>
                      <w:rFonts w:eastAsia="宋体"/>
                      <w:sz w:val="21"/>
                      <w:szCs w:val="21"/>
                      <w:u w:val="none"/>
                    </w:rPr>
                    <w:t>0.0031~0.0044</w:t>
                  </w:r>
                </w:p>
              </w:tc>
              <w:tc>
                <w:tcPr>
                  <w:tcW w:w="610" w:type="pct"/>
                  <w:shd w:val="clear" w:color="auto" w:fill="auto"/>
                  <w:noWrap w:val="0"/>
                  <w:vAlign w:val="center"/>
                </w:tcPr>
                <w:p w14:paraId="37BDA2C8">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46B0D729">
                  <w:pPr>
                    <w:jc w:val="center"/>
                    <w:rPr>
                      <w:rFonts w:eastAsia="宋体"/>
                      <w:sz w:val="21"/>
                      <w:szCs w:val="21"/>
                      <w:u w:val="none"/>
                    </w:rPr>
                  </w:pPr>
                  <w:r>
                    <w:rPr>
                      <w:rFonts w:hint="eastAsia" w:eastAsia="宋体"/>
                      <w:sz w:val="21"/>
                      <w:szCs w:val="21"/>
                      <w:u w:val="none"/>
                    </w:rPr>
                    <w:t>9.3</w:t>
                  </w:r>
                </w:p>
              </w:tc>
              <w:tc>
                <w:tcPr>
                  <w:tcW w:w="567" w:type="pct"/>
                  <w:shd w:val="clear" w:color="auto" w:fill="auto"/>
                  <w:noWrap w:val="0"/>
                  <w:vAlign w:val="center"/>
                </w:tcPr>
                <w:p w14:paraId="3233F043">
                  <w:pPr>
                    <w:jc w:val="center"/>
                    <w:rPr>
                      <w:rFonts w:eastAsia="宋体"/>
                      <w:sz w:val="21"/>
                      <w:szCs w:val="21"/>
                      <w:u w:val="none"/>
                    </w:rPr>
                  </w:pPr>
                  <w:r>
                    <w:rPr>
                      <w:rFonts w:eastAsia="宋体"/>
                      <w:sz w:val="21"/>
                      <w:szCs w:val="21"/>
                      <w:u w:val="none"/>
                    </w:rPr>
                    <w:t>是</w:t>
                  </w:r>
                </w:p>
              </w:tc>
            </w:tr>
            <w:tr w14:paraId="56A7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F6BC612">
                  <w:pPr>
                    <w:jc w:val="center"/>
                    <w:rPr>
                      <w:rFonts w:eastAsia="宋体"/>
                      <w:sz w:val="21"/>
                      <w:szCs w:val="21"/>
                      <w:u w:val="none"/>
                    </w:rPr>
                  </w:pPr>
                </w:p>
              </w:tc>
              <w:tc>
                <w:tcPr>
                  <w:tcW w:w="904" w:type="pct"/>
                  <w:vMerge w:val="continue"/>
                  <w:shd w:val="clear" w:color="auto" w:fill="auto"/>
                  <w:noWrap w:val="0"/>
                  <w:vAlign w:val="center"/>
                </w:tcPr>
                <w:p w14:paraId="5271B160">
                  <w:pPr>
                    <w:jc w:val="center"/>
                    <w:rPr>
                      <w:rFonts w:eastAsia="宋体"/>
                      <w:sz w:val="21"/>
                      <w:szCs w:val="21"/>
                      <w:u w:val="none"/>
                    </w:rPr>
                  </w:pPr>
                </w:p>
              </w:tc>
              <w:tc>
                <w:tcPr>
                  <w:tcW w:w="454" w:type="pct"/>
                  <w:shd w:val="clear" w:color="auto" w:fill="auto"/>
                  <w:noWrap w:val="0"/>
                  <w:vAlign w:val="center"/>
                </w:tcPr>
                <w:p w14:paraId="46DE5A90">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2D598CEF">
                  <w:pPr>
                    <w:jc w:val="center"/>
                    <w:rPr>
                      <w:rFonts w:eastAsia="宋体"/>
                      <w:sz w:val="21"/>
                      <w:szCs w:val="21"/>
                      <w:u w:val="none"/>
                    </w:rPr>
                  </w:pPr>
                  <w:r>
                    <w:rPr>
                      <w:rFonts w:eastAsia="宋体"/>
                      <w:sz w:val="21"/>
                      <w:szCs w:val="21"/>
                      <w:u w:val="none"/>
                    </w:rPr>
                    <w:t>15~16</w:t>
                  </w:r>
                </w:p>
              </w:tc>
              <w:tc>
                <w:tcPr>
                  <w:tcW w:w="732" w:type="pct"/>
                  <w:shd w:val="clear" w:color="auto" w:fill="auto"/>
                  <w:noWrap w:val="0"/>
                  <w:vAlign w:val="center"/>
                </w:tcPr>
                <w:p w14:paraId="7C8052FC">
                  <w:pPr>
                    <w:jc w:val="center"/>
                    <w:rPr>
                      <w:rFonts w:eastAsia="宋体"/>
                      <w:sz w:val="21"/>
                      <w:szCs w:val="21"/>
                      <w:u w:val="none"/>
                    </w:rPr>
                  </w:pPr>
                  <w:r>
                    <w:rPr>
                      <w:rFonts w:eastAsia="宋体"/>
                      <w:sz w:val="21"/>
                      <w:szCs w:val="21"/>
                      <w:u w:val="none"/>
                    </w:rPr>
                    <w:t>0.677</w:t>
                  </w:r>
                </w:p>
              </w:tc>
              <w:tc>
                <w:tcPr>
                  <w:tcW w:w="610" w:type="pct"/>
                  <w:shd w:val="clear" w:color="auto" w:fill="auto"/>
                  <w:noWrap w:val="0"/>
                  <w:vAlign w:val="center"/>
                </w:tcPr>
                <w:p w14:paraId="3C438FCA">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0951EDB2">
                  <w:pPr>
                    <w:jc w:val="center"/>
                    <w:rPr>
                      <w:rFonts w:eastAsia="宋体"/>
                      <w:sz w:val="21"/>
                      <w:szCs w:val="21"/>
                      <w:u w:val="none"/>
                    </w:rPr>
                  </w:pPr>
                  <w:r>
                    <w:rPr>
                      <w:rFonts w:hint="eastAsia" w:eastAsia="宋体"/>
                      <w:sz w:val="21"/>
                      <w:szCs w:val="21"/>
                      <w:u w:val="none"/>
                    </w:rPr>
                    <w:t>156.25</w:t>
                  </w:r>
                </w:p>
              </w:tc>
              <w:tc>
                <w:tcPr>
                  <w:tcW w:w="567" w:type="pct"/>
                  <w:shd w:val="clear" w:color="auto" w:fill="auto"/>
                  <w:noWrap w:val="0"/>
                  <w:vAlign w:val="center"/>
                </w:tcPr>
                <w:p w14:paraId="0DE496FF">
                  <w:pPr>
                    <w:jc w:val="center"/>
                    <w:rPr>
                      <w:rFonts w:eastAsia="宋体"/>
                      <w:sz w:val="21"/>
                      <w:szCs w:val="21"/>
                      <w:u w:val="none"/>
                    </w:rPr>
                  </w:pPr>
                  <w:r>
                    <w:rPr>
                      <w:rFonts w:eastAsia="宋体"/>
                      <w:sz w:val="21"/>
                      <w:szCs w:val="21"/>
                      <w:u w:val="none"/>
                    </w:rPr>
                    <w:t>是</w:t>
                  </w:r>
                </w:p>
              </w:tc>
            </w:tr>
            <w:tr w14:paraId="6076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09F728E2">
                  <w:pPr>
                    <w:jc w:val="center"/>
                    <w:rPr>
                      <w:rFonts w:eastAsia="宋体"/>
                      <w:sz w:val="21"/>
                      <w:szCs w:val="21"/>
                      <w:u w:val="none"/>
                    </w:rPr>
                  </w:pPr>
                  <w:r>
                    <w:rPr>
                      <w:rFonts w:eastAsia="宋体"/>
                      <w:sz w:val="21"/>
                      <w:szCs w:val="21"/>
                      <w:u w:val="none"/>
                    </w:rPr>
                    <w:t>DA022</w:t>
                  </w:r>
                </w:p>
              </w:tc>
              <w:tc>
                <w:tcPr>
                  <w:tcW w:w="904" w:type="pct"/>
                  <w:shd w:val="clear" w:color="auto" w:fill="auto"/>
                  <w:noWrap w:val="0"/>
                  <w:vAlign w:val="center"/>
                </w:tcPr>
                <w:p w14:paraId="0317D59D">
                  <w:pPr>
                    <w:jc w:val="center"/>
                    <w:rPr>
                      <w:rFonts w:eastAsia="宋体"/>
                      <w:sz w:val="21"/>
                      <w:szCs w:val="21"/>
                      <w:u w:val="none"/>
                    </w:rPr>
                  </w:pPr>
                  <w:r>
                    <w:rPr>
                      <w:rFonts w:eastAsia="宋体"/>
                      <w:sz w:val="21"/>
                      <w:szCs w:val="21"/>
                      <w:u w:val="none"/>
                    </w:rPr>
                    <w:t>1#筒仓</w:t>
                  </w:r>
                </w:p>
              </w:tc>
              <w:tc>
                <w:tcPr>
                  <w:tcW w:w="454" w:type="pct"/>
                  <w:shd w:val="clear" w:color="auto" w:fill="auto"/>
                  <w:noWrap w:val="0"/>
                  <w:vAlign w:val="center"/>
                </w:tcPr>
                <w:p w14:paraId="4BE9ADC9">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7425CF10">
                  <w:pPr>
                    <w:jc w:val="center"/>
                    <w:rPr>
                      <w:rFonts w:eastAsia="宋体"/>
                      <w:sz w:val="21"/>
                      <w:szCs w:val="21"/>
                      <w:u w:val="none"/>
                    </w:rPr>
                  </w:pPr>
                  <w:r>
                    <w:rPr>
                      <w:rFonts w:eastAsia="宋体"/>
                      <w:sz w:val="21"/>
                      <w:szCs w:val="21"/>
                      <w:u w:val="none"/>
                    </w:rPr>
                    <w:t>16.6~19.2</w:t>
                  </w:r>
                </w:p>
              </w:tc>
              <w:tc>
                <w:tcPr>
                  <w:tcW w:w="732" w:type="pct"/>
                  <w:shd w:val="clear" w:color="auto" w:fill="auto"/>
                  <w:noWrap w:val="0"/>
                  <w:vAlign w:val="center"/>
                </w:tcPr>
                <w:p w14:paraId="3615528E">
                  <w:pPr>
                    <w:jc w:val="center"/>
                    <w:rPr>
                      <w:rFonts w:eastAsia="宋体"/>
                      <w:sz w:val="21"/>
                      <w:szCs w:val="21"/>
                      <w:u w:val="none"/>
                    </w:rPr>
                  </w:pPr>
                  <w:r>
                    <w:rPr>
                      <w:rFonts w:eastAsia="宋体"/>
                      <w:sz w:val="21"/>
                      <w:szCs w:val="21"/>
                      <w:u w:val="none"/>
                    </w:rPr>
                    <w:t>0.130~0.138</w:t>
                  </w:r>
                </w:p>
              </w:tc>
              <w:tc>
                <w:tcPr>
                  <w:tcW w:w="610" w:type="pct"/>
                  <w:shd w:val="clear" w:color="auto" w:fill="auto"/>
                  <w:noWrap w:val="0"/>
                  <w:vAlign w:val="center"/>
                </w:tcPr>
                <w:p w14:paraId="01A78162">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1F507F9C">
                  <w:pPr>
                    <w:jc w:val="center"/>
                    <w:rPr>
                      <w:rFonts w:hint="eastAsia" w:eastAsia="宋体"/>
                      <w:sz w:val="21"/>
                      <w:szCs w:val="21"/>
                      <w:u w:val="none"/>
                    </w:rPr>
                  </w:pPr>
                  <w:r>
                    <w:rPr>
                      <w:rFonts w:hint="eastAsia" w:eastAsia="宋体"/>
                      <w:sz w:val="21"/>
                      <w:szCs w:val="21"/>
                      <w:u w:val="none"/>
                    </w:rPr>
                    <w:t>93.71</w:t>
                  </w:r>
                </w:p>
              </w:tc>
              <w:tc>
                <w:tcPr>
                  <w:tcW w:w="567" w:type="pct"/>
                  <w:shd w:val="clear" w:color="auto" w:fill="auto"/>
                  <w:noWrap w:val="0"/>
                  <w:vAlign w:val="center"/>
                </w:tcPr>
                <w:p w14:paraId="75E805E8">
                  <w:pPr>
                    <w:jc w:val="center"/>
                    <w:rPr>
                      <w:rFonts w:eastAsia="宋体"/>
                      <w:sz w:val="21"/>
                      <w:szCs w:val="21"/>
                      <w:u w:val="none"/>
                    </w:rPr>
                  </w:pPr>
                  <w:r>
                    <w:rPr>
                      <w:rFonts w:eastAsia="宋体"/>
                      <w:sz w:val="21"/>
                      <w:szCs w:val="21"/>
                      <w:u w:val="none"/>
                    </w:rPr>
                    <w:t>是</w:t>
                  </w:r>
                </w:p>
              </w:tc>
            </w:tr>
            <w:tr w14:paraId="26F6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17E495AD">
                  <w:pPr>
                    <w:jc w:val="center"/>
                    <w:rPr>
                      <w:rFonts w:eastAsia="宋体"/>
                      <w:sz w:val="21"/>
                      <w:szCs w:val="21"/>
                      <w:u w:val="none"/>
                    </w:rPr>
                  </w:pPr>
                  <w:r>
                    <w:rPr>
                      <w:rFonts w:eastAsia="宋体"/>
                      <w:sz w:val="21"/>
                      <w:szCs w:val="21"/>
                      <w:u w:val="none"/>
                    </w:rPr>
                    <w:t>DA023</w:t>
                  </w:r>
                </w:p>
              </w:tc>
              <w:tc>
                <w:tcPr>
                  <w:tcW w:w="904" w:type="pct"/>
                  <w:shd w:val="clear" w:color="auto" w:fill="auto"/>
                  <w:noWrap w:val="0"/>
                  <w:vAlign w:val="center"/>
                </w:tcPr>
                <w:p w14:paraId="4912151D">
                  <w:pPr>
                    <w:jc w:val="center"/>
                    <w:rPr>
                      <w:rFonts w:eastAsia="宋体"/>
                      <w:sz w:val="21"/>
                      <w:szCs w:val="21"/>
                      <w:u w:val="none"/>
                    </w:rPr>
                  </w:pPr>
                  <w:r>
                    <w:rPr>
                      <w:rFonts w:eastAsia="宋体"/>
                      <w:sz w:val="21"/>
                      <w:szCs w:val="21"/>
                      <w:u w:val="none"/>
                    </w:rPr>
                    <w:t>2#筒仓</w:t>
                  </w:r>
                </w:p>
              </w:tc>
              <w:tc>
                <w:tcPr>
                  <w:tcW w:w="454" w:type="pct"/>
                  <w:shd w:val="clear" w:color="auto" w:fill="auto"/>
                  <w:noWrap w:val="0"/>
                  <w:vAlign w:val="center"/>
                </w:tcPr>
                <w:p w14:paraId="7C18DA7B">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7FF7BB07">
                  <w:pPr>
                    <w:jc w:val="center"/>
                    <w:rPr>
                      <w:rFonts w:eastAsia="宋体"/>
                      <w:sz w:val="21"/>
                      <w:szCs w:val="21"/>
                      <w:u w:val="none"/>
                    </w:rPr>
                  </w:pPr>
                  <w:r>
                    <w:rPr>
                      <w:rFonts w:eastAsia="宋体"/>
                      <w:sz w:val="21"/>
                      <w:szCs w:val="21"/>
                      <w:u w:val="none"/>
                    </w:rPr>
                    <w:t>13.3~13.8</w:t>
                  </w:r>
                </w:p>
              </w:tc>
              <w:tc>
                <w:tcPr>
                  <w:tcW w:w="732" w:type="pct"/>
                  <w:shd w:val="clear" w:color="auto" w:fill="auto"/>
                  <w:noWrap w:val="0"/>
                  <w:vAlign w:val="center"/>
                </w:tcPr>
                <w:p w14:paraId="22E7D33B">
                  <w:pPr>
                    <w:jc w:val="center"/>
                    <w:rPr>
                      <w:rFonts w:eastAsia="宋体"/>
                      <w:sz w:val="21"/>
                      <w:szCs w:val="21"/>
                      <w:u w:val="none"/>
                    </w:rPr>
                  </w:pPr>
                  <w:r>
                    <w:rPr>
                      <w:rFonts w:eastAsia="宋体"/>
                      <w:sz w:val="21"/>
                      <w:szCs w:val="21"/>
                      <w:u w:val="none"/>
                    </w:rPr>
                    <w:t>0.145~0.149</w:t>
                  </w:r>
                </w:p>
              </w:tc>
              <w:tc>
                <w:tcPr>
                  <w:tcW w:w="610" w:type="pct"/>
                  <w:shd w:val="clear" w:color="auto" w:fill="auto"/>
                  <w:noWrap w:val="0"/>
                  <w:vAlign w:val="center"/>
                </w:tcPr>
                <w:p w14:paraId="341D57B4">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067545AD">
                  <w:pPr>
                    <w:jc w:val="center"/>
                    <w:rPr>
                      <w:rFonts w:eastAsia="宋体"/>
                      <w:sz w:val="21"/>
                      <w:szCs w:val="21"/>
                      <w:u w:val="none"/>
                    </w:rPr>
                  </w:pPr>
                  <w:r>
                    <w:rPr>
                      <w:rFonts w:hint="eastAsia" w:eastAsia="宋体"/>
                      <w:sz w:val="21"/>
                      <w:szCs w:val="21"/>
                      <w:u w:val="none"/>
                    </w:rPr>
                    <w:t>93.71</w:t>
                  </w:r>
                </w:p>
              </w:tc>
              <w:tc>
                <w:tcPr>
                  <w:tcW w:w="567" w:type="pct"/>
                  <w:shd w:val="clear" w:color="auto" w:fill="auto"/>
                  <w:noWrap w:val="0"/>
                  <w:vAlign w:val="center"/>
                </w:tcPr>
                <w:p w14:paraId="3F7CCE5F">
                  <w:pPr>
                    <w:jc w:val="center"/>
                    <w:rPr>
                      <w:rFonts w:eastAsia="宋体"/>
                      <w:sz w:val="21"/>
                      <w:szCs w:val="21"/>
                      <w:u w:val="none"/>
                    </w:rPr>
                  </w:pPr>
                  <w:r>
                    <w:rPr>
                      <w:rFonts w:eastAsia="宋体"/>
                      <w:sz w:val="21"/>
                      <w:szCs w:val="21"/>
                      <w:u w:val="none"/>
                    </w:rPr>
                    <w:t>是</w:t>
                  </w:r>
                </w:p>
              </w:tc>
            </w:tr>
            <w:tr w14:paraId="0B2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554B8B1E">
                  <w:pPr>
                    <w:jc w:val="center"/>
                    <w:rPr>
                      <w:rFonts w:eastAsia="宋体"/>
                      <w:sz w:val="21"/>
                      <w:szCs w:val="21"/>
                      <w:u w:val="none"/>
                    </w:rPr>
                  </w:pPr>
                  <w:r>
                    <w:rPr>
                      <w:rFonts w:eastAsia="宋体"/>
                      <w:sz w:val="21"/>
                      <w:szCs w:val="21"/>
                      <w:u w:val="none"/>
                    </w:rPr>
                    <w:t>DA024</w:t>
                  </w:r>
                </w:p>
              </w:tc>
              <w:tc>
                <w:tcPr>
                  <w:tcW w:w="904" w:type="pct"/>
                  <w:shd w:val="clear" w:color="auto" w:fill="auto"/>
                  <w:noWrap w:val="0"/>
                  <w:vAlign w:val="center"/>
                </w:tcPr>
                <w:p w14:paraId="30737FEB">
                  <w:pPr>
                    <w:jc w:val="center"/>
                    <w:rPr>
                      <w:rFonts w:eastAsia="宋体"/>
                      <w:sz w:val="21"/>
                      <w:szCs w:val="21"/>
                      <w:u w:val="none"/>
                    </w:rPr>
                  </w:pPr>
                  <w:r>
                    <w:rPr>
                      <w:rFonts w:eastAsia="宋体"/>
                      <w:sz w:val="21"/>
                      <w:szCs w:val="21"/>
                      <w:u w:val="none"/>
                    </w:rPr>
                    <w:t>3#筒仓</w:t>
                  </w:r>
                </w:p>
              </w:tc>
              <w:tc>
                <w:tcPr>
                  <w:tcW w:w="454" w:type="pct"/>
                  <w:shd w:val="clear" w:color="auto" w:fill="auto"/>
                  <w:noWrap w:val="0"/>
                  <w:vAlign w:val="center"/>
                </w:tcPr>
                <w:p w14:paraId="05C41E05">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49674BBF">
                  <w:pPr>
                    <w:jc w:val="center"/>
                    <w:rPr>
                      <w:rFonts w:eastAsia="宋体"/>
                      <w:sz w:val="21"/>
                      <w:szCs w:val="21"/>
                      <w:u w:val="none"/>
                    </w:rPr>
                  </w:pPr>
                  <w:r>
                    <w:rPr>
                      <w:rFonts w:eastAsia="宋体"/>
                      <w:sz w:val="21"/>
                      <w:szCs w:val="21"/>
                      <w:u w:val="none"/>
                    </w:rPr>
                    <w:t>11.4~12.3</w:t>
                  </w:r>
                </w:p>
              </w:tc>
              <w:tc>
                <w:tcPr>
                  <w:tcW w:w="732" w:type="pct"/>
                  <w:shd w:val="clear" w:color="auto" w:fill="auto"/>
                  <w:noWrap w:val="0"/>
                  <w:vAlign w:val="center"/>
                </w:tcPr>
                <w:p w14:paraId="3C798522">
                  <w:pPr>
                    <w:jc w:val="center"/>
                    <w:rPr>
                      <w:rFonts w:eastAsia="宋体"/>
                      <w:sz w:val="21"/>
                      <w:szCs w:val="21"/>
                      <w:u w:val="none"/>
                    </w:rPr>
                  </w:pPr>
                  <w:r>
                    <w:rPr>
                      <w:rFonts w:eastAsia="宋体"/>
                      <w:sz w:val="21"/>
                      <w:szCs w:val="21"/>
                      <w:u w:val="none"/>
                    </w:rPr>
                    <w:t>0.117~0.131</w:t>
                  </w:r>
                </w:p>
              </w:tc>
              <w:tc>
                <w:tcPr>
                  <w:tcW w:w="610" w:type="pct"/>
                  <w:shd w:val="clear" w:color="auto" w:fill="auto"/>
                  <w:noWrap w:val="0"/>
                  <w:vAlign w:val="center"/>
                </w:tcPr>
                <w:p w14:paraId="4422EF2F">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797F7978">
                  <w:pPr>
                    <w:jc w:val="center"/>
                    <w:rPr>
                      <w:rFonts w:eastAsia="宋体"/>
                      <w:sz w:val="21"/>
                      <w:szCs w:val="21"/>
                      <w:u w:val="none"/>
                    </w:rPr>
                  </w:pPr>
                  <w:r>
                    <w:rPr>
                      <w:rFonts w:hint="eastAsia" w:eastAsia="宋体"/>
                      <w:sz w:val="21"/>
                      <w:szCs w:val="21"/>
                      <w:u w:val="none"/>
                    </w:rPr>
                    <w:t>93.71</w:t>
                  </w:r>
                </w:p>
              </w:tc>
              <w:tc>
                <w:tcPr>
                  <w:tcW w:w="567" w:type="pct"/>
                  <w:shd w:val="clear" w:color="auto" w:fill="auto"/>
                  <w:noWrap w:val="0"/>
                  <w:vAlign w:val="center"/>
                </w:tcPr>
                <w:p w14:paraId="7AF15440">
                  <w:pPr>
                    <w:jc w:val="center"/>
                    <w:rPr>
                      <w:rFonts w:eastAsia="宋体"/>
                      <w:sz w:val="21"/>
                      <w:szCs w:val="21"/>
                      <w:u w:val="none"/>
                    </w:rPr>
                  </w:pPr>
                  <w:r>
                    <w:rPr>
                      <w:rFonts w:eastAsia="宋体"/>
                      <w:sz w:val="21"/>
                      <w:szCs w:val="21"/>
                      <w:u w:val="none"/>
                    </w:rPr>
                    <w:t>是</w:t>
                  </w:r>
                </w:p>
              </w:tc>
            </w:tr>
            <w:tr w14:paraId="0A8D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bottom w:val="single" w:color="auto" w:sz="4" w:space="0"/>
                  </w:tcBorders>
                  <w:shd w:val="clear" w:color="auto" w:fill="auto"/>
                  <w:noWrap w:val="0"/>
                  <w:vAlign w:val="center"/>
                </w:tcPr>
                <w:p w14:paraId="69E062EC">
                  <w:pPr>
                    <w:jc w:val="center"/>
                    <w:rPr>
                      <w:rFonts w:eastAsia="宋体"/>
                      <w:sz w:val="21"/>
                      <w:szCs w:val="21"/>
                      <w:u w:val="none"/>
                    </w:rPr>
                  </w:pPr>
                  <w:r>
                    <w:rPr>
                      <w:rFonts w:eastAsia="宋体"/>
                      <w:sz w:val="21"/>
                      <w:szCs w:val="21"/>
                      <w:u w:val="none"/>
                    </w:rPr>
                    <w:t>DA026</w:t>
                  </w:r>
                </w:p>
              </w:tc>
              <w:tc>
                <w:tcPr>
                  <w:tcW w:w="904" w:type="pct"/>
                  <w:tcBorders>
                    <w:bottom w:val="single" w:color="auto" w:sz="4" w:space="0"/>
                  </w:tcBorders>
                  <w:shd w:val="clear" w:color="auto" w:fill="auto"/>
                  <w:noWrap w:val="0"/>
                  <w:vAlign w:val="center"/>
                </w:tcPr>
                <w:p w14:paraId="75278212">
                  <w:pPr>
                    <w:jc w:val="center"/>
                    <w:rPr>
                      <w:rFonts w:eastAsia="宋体"/>
                      <w:sz w:val="21"/>
                      <w:szCs w:val="21"/>
                      <w:u w:val="none"/>
                    </w:rPr>
                  </w:pPr>
                  <w:r>
                    <w:rPr>
                      <w:rFonts w:eastAsia="宋体"/>
                      <w:sz w:val="21"/>
                      <w:szCs w:val="21"/>
                      <w:u w:val="none"/>
                    </w:rPr>
                    <w:t>1#转运站</w:t>
                  </w:r>
                </w:p>
              </w:tc>
              <w:tc>
                <w:tcPr>
                  <w:tcW w:w="454" w:type="pct"/>
                  <w:tcBorders>
                    <w:bottom w:val="single" w:color="auto" w:sz="4" w:space="0"/>
                  </w:tcBorders>
                  <w:shd w:val="clear" w:color="auto" w:fill="auto"/>
                  <w:noWrap w:val="0"/>
                  <w:vAlign w:val="center"/>
                </w:tcPr>
                <w:p w14:paraId="09D4EA77">
                  <w:pPr>
                    <w:jc w:val="center"/>
                    <w:rPr>
                      <w:rFonts w:eastAsia="宋体"/>
                      <w:sz w:val="21"/>
                      <w:szCs w:val="21"/>
                      <w:u w:val="none"/>
                    </w:rPr>
                  </w:pPr>
                  <w:r>
                    <w:rPr>
                      <w:rFonts w:eastAsia="宋体"/>
                      <w:sz w:val="21"/>
                      <w:szCs w:val="21"/>
                      <w:u w:val="none"/>
                    </w:rPr>
                    <w:t>颗粒物</w:t>
                  </w:r>
                </w:p>
              </w:tc>
              <w:tc>
                <w:tcPr>
                  <w:tcW w:w="720" w:type="pct"/>
                  <w:tcBorders>
                    <w:bottom w:val="single" w:color="auto" w:sz="4" w:space="0"/>
                  </w:tcBorders>
                  <w:shd w:val="clear" w:color="auto" w:fill="auto"/>
                  <w:noWrap w:val="0"/>
                  <w:vAlign w:val="center"/>
                </w:tcPr>
                <w:p w14:paraId="02C5D44E">
                  <w:pPr>
                    <w:jc w:val="center"/>
                    <w:rPr>
                      <w:rFonts w:eastAsia="宋体"/>
                      <w:sz w:val="21"/>
                      <w:szCs w:val="21"/>
                      <w:u w:val="none"/>
                    </w:rPr>
                  </w:pPr>
                  <w:r>
                    <w:rPr>
                      <w:rFonts w:eastAsia="宋体"/>
                      <w:sz w:val="21"/>
                      <w:szCs w:val="21"/>
                      <w:u w:val="none"/>
                    </w:rPr>
                    <w:t>39.2~46.6</w:t>
                  </w:r>
                </w:p>
              </w:tc>
              <w:tc>
                <w:tcPr>
                  <w:tcW w:w="732" w:type="pct"/>
                  <w:tcBorders>
                    <w:bottom w:val="single" w:color="auto" w:sz="4" w:space="0"/>
                  </w:tcBorders>
                  <w:shd w:val="clear" w:color="auto" w:fill="auto"/>
                  <w:noWrap w:val="0"/>
                  <w:vAlign w:val="center"/>
                </w:tcPr>
                <w:p w14:paraId="1FFBB940">
                  <w:pPr>
                    <w:jc w:val="center"/>
                    <w:rPr>
                      <w:rFonts w:eastAsia="宋体"/>
                      <w:sz w:val="21"/>
                      <w:szCs w:val="21"/>
                      <w:u w:val="none"/>
                    </w:rPr>
                  </w:pPr>
                  <w:r>
                    <w:rPr>
                      <w:rFonts w:eastAsia="宋体"/>
                      <w:sz w:val="21"/>
                      <w:szCs w:val="21"/>
                      <w:u w:val="none"/>
                    </w:rPr>
                    <w:t>0.503</w:t>
                  </w:r>
                </w:p>
              </w:tc>
              <w:tc>
                <w:tcPr>
                  <w:tcW w:w="610" w:type="pct"/>
                  <w:tcBorders>
                    <w:bottom w:val="single" w:color="auto" w:sz="4" w:space="0"/>
                  </w:tcBorders>
                  <w:shd w:val="clear" w:color="auto" w:fill="auto"/>
                  <w:noWrap w:val="0"/>
                  <w:vAlign w:val="center"/>
                </w:tcPr>
                <w:p w14:paraId="0CE4B45F">
                  <w:pPr>
                    <w:jc w:val="center"/>
                    <w:rPr>
                      <w:rFonts w:eastAsia="宋体"/>
                      <w:sz w:val="21"/>
                      <w:szCs w:val="21"/>
                      <w:u w:val="none"/>
                    </w:rPr>
                  </w:pPr>
                  <w:r>
                    <w:rPr>
                      <w:rFonts w:eastAsia="宋体"/>
                      <w:sz w:val="21"/>
                      <w:szCs w:val="21"/>
                      <w:u w:val="none"/>
                    </w:rPr>
                    <w:t>120</w:t>
                  </w:r>
                </w:p>
              </w:tc>
              <w:tc>
                <w:tcPr>
                  <w:tcW w:w="569" w:type="pct"/>
                  <w:tcBorders>
                    <w:bottom w:val="single" w:color="auto" w:sz="4" w:space="0"/>
                  </w:tcBorders>
                  <w:shd w:val="clear" w:color="auto" w:fill="auto"/>
                  <w:noWrap w:val="0"/>
                  <w:vAlign w:val="center"/>
                </w:tcPr>
                <w:p w14:paraId="7C7FC500">
                  <w:pPr>
                    <w:jc w:val="center"/>
                    <w:rPr>
                      <w:rFonts w:hint="eastAsia" w:eastAsia="宋体"/>
                      <w:sz w:val="21"/>
                      <w:szCs w:val="21"/>
                      <w:u w:val="none"/>
                    </w:rPr>
                  </w:pPr>
                  <w:r>
                    <w:rPr>
                      <w:rFonts w:hint="eastAsia" w:eastAsia="宋体"/>
                      <w:sz w:val="21"/>
                      <w:szCs w:val="21"/>
                      <w:u w:val="none"/>
                    </w:rPr>
                    <w:t>5.42</w:t>
                  </w:r>
                </w:p>
              </w:tc>
              <w:tc>
                <w:tcPr>
                  <w:tcW w:w="567" w:type="pct"/>
                  <w:tcBorders>
                    <w:bottom w:val="single" w:color="auto" w:sz="4" w:space="0"/>
                  </w:tcBorders>
                  <w:shd w:val="clear" w:color="auto" w:fill="auto"/>
                  <w:noWrap w:val="0"/>
                  <w:vAlign w:val="center"/>
                </w:tcPr>
                <w:p w14:paraId="6DC2E381">
                  <w:pPr>
                    <w:jc w:val="center"/>
                    <w:rPr>
                      <w:rFonts w:eastAsia="宋体"/>
                      <w:sz w:val="21"/>
                      <w:szCs w:val="21"/>
                      <w:u w:val="none"/>
                    </w:rPr>
                  </w:pPr>
                  <w:r>
                    <w:rPr>
                      <w:rFonts w:eastAsia="宋体"/>
                      <w:sz w:val="21"/>
                      <w:szCs w:val="21"/>
                      <w:u w:val="none"/>
                    </w:rPr>
                    <w:t>是</w:t>
                  </w:r>
                </w:p>
              </w:tc>
            </w:tr>
            <w:tr w14:paraId="0D55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bottom w:val="single" w:color="auto" w:sz="4" w:space="0"/>
                  </w:tcBorders>
                  <w:shd w:val="clear" w:color="auto" w:fill="auto"/>
                  <w:noWrap w:val="0"/>
                  <w:vAlign w:val="center"/>
                </w:tcPr>
                <w:p w14:paraId="7C7EE7C7">
                  <w:pPr>
                    <w:jc w:val="center"/>
                    <w:rPr>
                      <w:rFonts w:eastAsia="宋体"/>
                      <w:sz w:val="21"/>
                      <w:szCs w:val="21"/>
                      <w:u w:val="none"/>
                    </w:rPr>
                  </w:pPr>
                  <w:r>
                    <w:rPr>
                      <w:rFonts w:eastAsia="宋体"/>
                      <w:sz w:val="21"/>
                      <w:szCs w:val="21"/>
                      <w:u w:val="none"/>
                    </w:rPr>
                    <w:t>DA032</w:t>
                  </w:r>
                </w:p>
              </w:tc>
              <w:tc>
                <w:tcPr>
                  <w:tcW w:w="904" w:type="pct"/>
                  <w:tcBorders>
                    <w:bottom w:val="single" w:color="auto" w:sz="4" w:space="0"/>
                  </w:tcBorders>
                  <w:shd w:val="clear" w:color="auto" w:fill="auto"/>
                  <w:noWrap w:val="0"/>
                  <w:vAlign w:val="center"/>
                </w:tcPr>
                <w:p w14:paraId="2429AC37">
                  <w:pPr>
                    <w:jc w:val="center"/>
                    <w:rPr>
                      <w:rFonts w:eastAsia="宋体"/>
                      <w:sz w:val="21"/>
                      <w:szCs w:val="21"/>
                      <w:u w:val="none"/>
                    </w:rPr>
                  </w:pPr>
                  <w:r>
                    <w:rPr>
                      <w:rFonts w:eastAsia="宋体"/>
                      <w:sz w:val="21"/>
                      <w:szCs w:val="21"/>
                      <w:u w:val="none"/>
                    </w:rPr>
                    <w:t>乙二醇罐区尾气吸收2塔处理设施</w:t>
                  </w:r>
                </w:p>
              </w:tc>
              <w:tc>
                <w:tcPr>
                  <w:tcW w:w="454" w:type="pct"/>
                  <w:tcBorders>
                    <w:bottom w:val="single" w:color="auto" w:sz="4" w:space="0"/>
                  </w:tcBorders>
                  <w:shd w:val="clear" w:color="auto" w:fill="auto"/>
                  <w:noWrap w:val="0"/>
                  <w:vAlign w:val="center"/>
                </w:tcPr>
                <w:p w14:paraId="0B5E7336">
                  <w:pPr>
                    <w:jc w:val="center"/>
                    <w:rPr>
                      <w:rFonts w:eastAsia="宋体"/>
                      <w:sz w:val="21"/>
                      <w:szCs w:val="21"/>
                      <w:u w:val="none"/>
                    </w:rPr>
                  </w:pPr>
                  <w:r>
                    <w:rPr>
                      <w:rFonts w:eastAsia="宋体"/>
                      <w:sz w:val="21"/>
                      <w:szCs w:val="21"/>
                      <w:u w:val="none"/>
                    </w:rPr>
                    <w:t>甲醇</w:t>
                  </w:r>
                </w:p>
              </w:tc>
              <w:tc>
                <w:tcPr>
                  <w:tcW w:w="720" w:type="pct"/>
                  <w:tcBorders>
                    <w:bottom w:val="single" w:color="auto" w:sz="4" w:space="0"/>
                  </w:tcBorders>
                  <w:shd w:val="clear" w:color="auto" w:fill="auto"/>
                  <w:noWrap w:val="0"/>
                  <w:vAlign w:val="center"/>
                </w:tcPr>
                <w:p w14:paraId="2863479F">
                  <w:pPr>
                    <w:jc w:val="center"/>
                    <w:rPr>
                      <w:rFonts w:eastAsia="宋体"/>
                      <w:sz w:val="21"/>
                      <w:szCs w:val="21"/>
                      <w:u w:val="none"/>
                    </w:rPr>
                  </w:pPr>
                  <w:r>
                    <w:rPr>
                      <w:rFonts w:eastAsia="宋体"/>
                      <w:sz w:val="21"/>
                      <w:szCs w:val="21"/>
                      <w:u w:val="none"/>
                    </w:rPr>
                    <w:t>ND</w:t>
                  </w:r>
                </w:p>
              </w:tc>
              <w:tc>
                <w:tcPr>
                  <w:tcW w:w="732" w:type="pct"/>
                  <w:tcBorders>
                    <w:bottom w:val="single" w:color="auto" w:sz="4" w:space="0"/>
                  </w:tcBorders>
                  <w:shd w:val="clear" w:color="auto" w:fill="auto"/>
                  <w:noWrap w:val="0"/>
                  <w:vAlign w:val="center"/>
                </w:tcPr>
                <w:p w14:paraId="286B1504">
                  <w:pPr>
                    <w:jc w:val="center"/>
                    <w:rPr>
                      <w:rFonts w:eastAsia="宋体"/>
                      <w:sz w:val="21"/>
                      <w:szCs w:val="21"/>
                      <w:u w:val="none"/>
                    </w:rPr>
                  </w:pPr>
                  <w:r>
                    <w:rPr>
                      <w:rFonts w:eastAsia="宋体"/>
                      <w:sz w:val="21"/>
                      <w:szCs w:val="21"/>
                      <w:u w:val="none"/>
                    </w:rPr>
                    <w:t>未监测</w:t>
                  </w:r>
                </w:p>
              </w:tc>
              <w:tc>
                <w:tcPr>
                  <w:tcW w:w="610" w:type="pct"/>
                  <w:tcBorders>
                    <w:bottom w:val="single" w:color="auto" w:sz="4" w:space="0"/>
                  </w:tcBorders>
                  <w:shd w:val="clear" w:color="auto" w:fill="auto"/>
                  <w:noWrap w:val="0"/>
                  <w:vAlign w:val="center"/>
                </w:tcPr>
                <w:p w14:paraId="68DE2D26">
                  <w:pPr>
                    <w:jc w:val="center"/>
                    <w:rPr>
                      <w:rFonts w:hint="eastAsia" w:eastAsia="宋体"/>
                      <w:sz w:val="21"/>
                      <w:szCs w:val="21"/>
                      <w:u w:val="none"/>
                    </w:rPr>
                  </w:pPr>
                  <w:r>
                    <w:rPr>
                      <w:rFonts w:hint="eastAsia" w:eastAsia="宋体"/>
                      <w:sz w:val="21"/>
                      <w:szCs w:val="21"/>
                      <w:u w:val="none"/>
                    </w:rPr>
                    <w:t>190</w:t>
                  </w:r>
                </w:p>
              </w:tc>
              <w:tc>
                <w:tcPr>
                  <w:tcW w:w="569" w:type="pct"/>
                  <w:tcBorders>
                    <w:bottom w:val="single" w:color="auto" w:sz="4" w:space="0"/>
                  </w:tcBorders>
                  <w:shd w:val="clear" w:color="auto" w:fill="auto"/>
                  <w:noWrap w:val="0"/>
                  <w:vAlign w:val="center"/>
                </w:tcPr>
                <w:p w14:paraId="1B6CA26E">
                  <w:pPr>
                    <w:jc w:val="center"/>
                    <w:rPr>
                      <w:rFonts w:hint="eastAsia" w:eastAsia="宋体"/>
                      <w:sz w:val="21"/>
                      <w:szCs w:val="21"/>
                      <w:u w:val="none"/>
                    </w:rPr>
                  </w:pPr>
                  <w:r>
                    <w:rPr>
                      <w:rFonts w:hint="eastAsia" w:eastAsia="宋体"/>
                      <w:sz w:val="21"/>
                      <w:szCs w:val="21"/>
                      <w:u w:val="none"/>
                    </w:rPr>
                    <w:t>6.5</w:t>
                  </w:r>
                </w:p>
              </w:tc>
              <w:tc>
                <w:tcPr>
                  <w:tcW w:w="567" w:type="pct"/>
                  <w:tcBorders>
                    <w:bottom w:val="single" w:color="auto" w:sz="4" w:space="0"/>
                  </w:tcBorders>
                  <w:shd w:val="clear" w:color="auto" w:fill="auto"/>
                  <w:noWrap w:val="0"/>
                  <w:vAlign w:val="center"/>
                </w:tcPr>
                <w:p w14:paraId="5E91ED61">
                  <w:pPr>
                    <w:jc w:val="center"/>
                    <w:rPr>
                      <w:rFonts w:eastAsia="宋体"/>
                      <w:sz w:val="21"/>
                      <w:szCs w:val="21"/>
                      <w:u w:val="none"/>
                    </w:rPr>
                  </w:pPr>
                  <w:r>
                    <w:rPr>
                      <w:rFonts w:eastAsia="宋体"/>
                      <w:sz w:val="21"/>
                      <w:szCs w:val="21"/>
                      <w:u w:val="none"/>
                    </w:rPr>
                    <w:t>是</w:t>
                  </w:r>
                </w:p>
              </w:tc>
            </w:tr>
            <w:tr w14:paraId="5F9F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5F561F79">
                  <w:pPr>
                    <w:jc w:val="center"/>
                    <w:rPr>
                      <w:rFonts w:eastAsia="宋体"/>
                      <w:sz w:val="21"/>
                      <w:szCs w:val="21"/>
                      <w:u w:val="none"/>
                    </w:rPr>
                  </w:pPr>
                  <w:r>
                    <w:rPr>
                      <w:rFonts w:eastAsia="宋体"/>
                      <w:sz w:val="21"/>
                      <w:szCs w:val="21"/>
                      <w:u w:val="none"/>
                    </w:rPr>
                    <w:t>DA035</w:t>
                  </w:r>
                </w:p>
              </w:tc>
              <w:tc>
                <w:tcPr>
                  <w:tcW w:w="904" w:type="pct"/>
                  <w:vMerge w:val="restart"/>
                  <w:shd w:val="clear" w:color="auto" w:fill="auto"/>
                  <w:noWrap w:val="0"/>
                  <w:vAlign w:val="center"/>
                </w:tcPr>
                <w:p w14:paraId="61CC46DE">
                  <w:pPr>
                    <w:jc w:val="center"/>
                    <w:rPr>
                      <w:rFonts w:eastAsia="宋体"/>
                      <w:sz w:val="21"/>
                      <w:szCs w:val="21"/>
                      <w:u w:val="none"/>
                    </w:rPr>
                  </w:pPr>
                  <w:r>
                    <w:rPr>
                      <w:rFonts w:eastAsia="宋体"/>
                      <w:sz w:val="21"/>
                      <w:szCs w:val="21"/>
                      <w:u w:val="none"/>
                    </w:rPr>
                    <w:t>DMO精馏尾气洗涤塔处理设施</w:t>
                  </w:r>
                </w:p>
              </w:tc>
              <w:tc>
                <w:tcPr>
                  <w:tcW w:w="454" w:type="pct"/>
                  <w:shd w:val="clear" w:color="auto" w:fill="auto"/>
                  <w:noWrap w:val="0"/>
                  <w:vAlign w:val="center"/>
                </w:tcPr>
                <w:p w14:paraId="0A6F4A59">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7CF4D68E">
                  <w:pPr>
                    <w:jc w:val="center"/>
                    <w:rPr>
                      <w:rFonts w:hint="eastAsia" w:eastAsia="宋体"/>
                      <w:sz w:val="21"/>
                      <w:szCs w:val="21"/>
                      <w:u w:val="none"/>
                    </w:rPr>
                  </w:pPr>
                  <w:r>
                    <w:rPr>
                      <w:rFonts w:hint="eastAsia" w:eastAsia="宋体"/>
                      <w:sz w:val="21"/>
                      <w:szCs w:val="21"/>
                      <w:u w:val="none"/>
                    </w:rPr>
                    <w:t>44.3~47.1</w:t>
                  </w:r>
                </w:p>
              </w:tc>
              <w:tc>
                <w:tcPr>
                  <w:tcW w:w="732" w:type="pct"/>
                  <w:shd w:val="clear" w:color="auto" w:fill="auto"/>
                  <w:noWrap w:val="0"/>
                  <w:vAlign w:val="center"/>
                </w:tcPr>
                <w:p w14:paraId="1BC27ECB">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248E4EBF">
                  <w:pPr>
                    <w:jc w:val="center"/>
                    <w:rPr>
                      <w:rFonts w:hint="eastAsia"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4EBAEFFA">
                  <w:pPr>
                    <w:jc w:val="center"/>
                    <w:rPr>
                      <w:rFonts w:hint="eastAsia" w:eastAsia="宋体"/>
                      <w:sz w:val="21"/>
                      <w:szCs w:val="21"/>
                      <w:u w:val="none"/>
                    </w:rPr>
                  </w:pPr>
                  <w:r>
                    <w:rPr>
                      <w:rFonts w:hint="eastAsia" w:eastAsia="宋体"/>
                      <w:sz w:val="21"/>
                      <w:szCs w:val="21"/>
                      <w:u w:val="none"/>
                    </w:rPr>
                    <w:t>29</w:t>
                  </w:r>
                </w:p>
              </w:tc>
              <w:tc>
                <w:tcPr>
                  <w:tcW w:w="567" w:type="pct"/>
                  <w:shd w:val="clear" w:color="auto" w:fill="auto"/>
                  <w:noWrap w:val="0"/>
                  <w:vAlign w:val="center"/>
                </w:tcPr>
                <w:p w14:paraId="55B0C8D5">
                  <w:pPr>
                    <w:jc w:val="center"/>
                    <w:rPr>
                      <w:rFonts w:eastAsia="宋体"/>
                      <w:sz w:val="21"/>
                      <w:szCs w:val="21"/>
                      <w:u w:val="none"/>
                    </w:rPr>
                  </w:pPr>
                  <w:r>
                    <w:rPr>
                      <w:rFonts w:eastAsia="宋体"/>
                      <w:sz w:val="21"/>
                      <w:szCs w:val="21"/>
                      <w:u w:val="none"/>
                    </w:rPr>
                    <w:t>是</w:t>
                  </w:r>
                </w:p>
              </w:tc>
            </w:tr>
            <w:tr w14:paraId="6E2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79B80347">
                  <w:pPr>
                    <w:jc w:val="center"/>
                    <w:rPr>
                      <w:rFonts w:eastAsia="宋体"/>
                      <w:sz w:val="21"/>
                      <w:szCs w:val="21"/>
                      <w:u w:val="none"/>
                    </w:rPr>
                  </w:pPr>
                </w:p>
              </w:tc>
              <w:tc>
                <w:tcPr>
                  <w:tcW w:w="904" w:type="pct"/>
                  <w:vMerge w:val="continue"/>
                  <w:shd w:val="clear" w:color="auto" w:fill="auto"/>
                  <w:noWrap w:val="0"/>
                  <w:vAlign w:val="center"/>
                </w:tcPr>
                <w:p w14:paraId="1939E98C">
                  <w:pPr>
                    <w:jc w:val="center"/>
                    <w:rPr>
                      <w:rFonts w:eastAsia="宋体"/>
                      <w:sz w:val="21"/>
                      <w:szCs w:val="21"/>
                      <w:u w:val="none"/>
                    </w:rPr>
                  </w:pPr>
                </w:p>
              </w:tc>
              <w:tc>
                <w:tcPr>
                  <w:tcW w:w="454" w:type="pct"/>
                  <w:shd w:val="clear" w:color="auto" w:fill="auto"/>
                  <w:noWrap w:val="0"/>
                  <w:vAlign w:val="center"/>
                </w:tcPr>
                <w:p w14:paraId="5BF9CEF5">
                  <w:pPr>
                    <w:jc w:val="center"/>
                    <w:rPr>
                      <w:rFonts w:eastAsia="宋体"/>
                      <w:sz w:val="21"/>
                      <w:szCs w:val="21"/>
                      <w:u w:val="none"/>
                    </w:rPr>
                  </w:pPr>
                  <w:r>
                    <w:rPr>
                      <w:rFonts w:eastAsia="宋体"/>
                      <w:sz w:val="21"/>
                      <w:szCs w:val="21"/>
                      <w:u w:val="none"/>
                    </w:rPr>
                    <w:t>非甲烷总烃</w:t>
                  </w:r>
                </w:p>
              </w:tc>
              <w:tc>
                <w:tcPr>
                  <w:tcW w:w="720" w:type="pct"/>
                  <w:shd w:val="clear" w:color="auto" w:fill="auto"/>
                  <w:noWrap w:val="0"/>
                  <w:vAlign w:val="center"/>
                </w:tcPr>
                <w:p w14:paraId="420F8ED3">
                  <w:pPr>
                    <w:jc w:val="center"/>
                    <w:rPr>
                      <w:rFonts w:hint="eastAsia" w:eastAsia="宋体"/>
                      <w:sz w:val="21"/>
                      <w:szCs w:val="21"/>
                      <w:u w:val="none"/>
                    </w:rPr>
                  </w:pPr>
                  <w:r>
                    <w:rPr>
                      <w:rFonts w:hint="eastAsia" w:eastAsia="宋体"/>
                      <w:sz w:val="21"/>
                      <w:szCs w:val="21"/>
                      <w:u w:val="none"/>
                    </w:rPr>
                    <w:t>14.1</w:t>
                  </w:r>
                </w:p>
              </w:tc>
              <w:tc>
                <w:tcPr>
                  <w:tcW w:w="732" w:type="pct"/>
                  <w:shd w:val="clear" w:color="auto" w:fill="auto"/>
                  <w:noWrap w:val="0"/>
                  <w:vAlign w:val="center"/>
                </w:tcPr>
                <w:p w14:paraId="37A8366B">
                  <w:pPr>
                    <w:jc w:val="center"/>
                    <w:rPr>
                      <w:rFonts w:eastAsia="宋体"/>
                      <w:sz w:val="21"/>
                      <w:szCs w:val="21"/>
                      <w:u w:val="none"/>
                    </w:rPr>
                  </w:pPr>
                  <w:r>
                    <w:rPr>
                      <w:rFonts w:eastAsia="宋体"/>
                      <w:sz w:val="21"/>
                      <w:szCs w:val="21"/>
                      <w:u w:val="none"/>
                    </w:rPr>
                    <w:t>未监测</w:t>
                  </w:r>
                </w:p>
              </w:tc>
              <w:tc>
                <w:tcPr>
                  <w:tcW w:w="610" w:type="pct"/>
                  <w:shd w:val="clear" w:color="auto" w:fill="auto"/>
                  <w:noWrap w:val="0"/>
                  <w:vAlign w:val="center"/>
                </w:tcPr>
                <w:p w14:paraId="2AC38D44">
                  <w:pPr>
                    <w:jc w:val="center"/>
                    <w:rPr>
                      <w:rFonts w:hint="eastAsia" w:eastAsia="宋体"/>
                      <w:sz w:val="21"/>
                      <w:szCs w:val="21"/>
                      <w:u w:val="none"/>
                    </w:rPr>
                  </w:pPr>
                  <w:r>
                    <w:rPr>
                      <w:rFonts w:hint="eastAsia" w:eastAsia="宋体"/>
                      <w:sz w:val="21"/>
                      <w:szCs w:val="21"/>
                      <w:u w:val="none"/>
                    </w:rPr>
                    <w:t>120</w:t>
                  </w:r>
                </w:p>
              </w:tc>
              <w:tc>
                <w:tcPr>
                  <w:tcW w:w="569" w:type="pct"/>
                  <w:shd w:val="clear" w:color="auto" w:fill="auto"/>
                  <w:noWrap w:val="0"/>
                  <w:vAlign w:val="center"/>
                </w:tcPr>
                <w:p w14:paraId="4875144F">
                  <w:pPr>
                    <w:jc w:val="center"/>
                    <w:rPr>
                      <w:rFonts w:hint="eastAsia" w:eastAsia="宋体"/>
                      <w:sz w:val="21"/>
                      <w:szCs w:val="21"/>
                      <w:u w:val="none"/>
                    </w:rPr>
                  </w:pPr>
                  <w:r>
                    <w:rPr>
                      <w:rFonts w:hint="eastAsia" w:eastAsia="宋体"/>
                      <w:sz w:val="21"/>
                      <w:szCs w:val="21"/>
                      <w:u w:val="none"/>
                    </w:rPr>
                    <w:t>53</w:t>
                  </w:r>
                </w:p>
              </w:tc>
              <w:tc>
                <w:tcPr>
                  <w:tcW w:w="567" w:type="pct"/>
                  <w:shd w:val="clear" w:color="auto" w:fill="auto"/>
                  <w:noWrap w:val="0"/>
                  <w:vAlign w:val="center"/>
                </w:tcPr>
                <w:p w14:paraId="61496A94">
                  <w:pPr>
                    <w:jc w:val="center"/>
                    <w:rPr>
                      <w:rFonts w:eastAsia="宋体"/>
                      <w:sz w:val="21"/>
                      <w:szCs w:val="21"/>
                      <w:u w:val="none"/>
                    </w:rPr>
                  </w:pPr>
                  <w:r>
                    <w:rPr>
                      <w:rFonts w:eastAsia="宋体"/>
                      <w:sz w:val="21"/>
                      <w:szCs w:val="21"/>
                      <w:u w:val="none"/>
                    </w:rPr>
                    <w:t>是</w:t>
                  </w:r>
                </w:p>
              </w:tc>
            </w:tr>
            <w:tr w14:paraId="7664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27BEE7BE">
                  <w:pPr>
                    <w:jc w:val="center"/>
                    <w:rPr>
                      <w:rFonts w:eastAsia="宋体"/>
                      <w:sz w:val="21"/>
                      <w:szCs w:val="21"/>
                      <w:u w:val="none"/>
                    </w:rPr>
                  </w:pPr>
                  <w:r>
                    <w:rPr>
                      <w:rFonts w:eastAsia="宋体"/>
                      <w:sz w:val="21"/>
                      <w:szCs w:val="21"/>
                      <w:u w:val="none"/>
                    </w:rPr>
                    <w:t>DA038</w:t>
                  </w:r>
                </w:p>
              </w:tc>
              <w:tc>
                <w:tcPr>
                  <w:tcW w:w="904" w:type="pct"/>
                  <w:vMerge w:val="restart"/>
                  <w:shd w:val="clear" w:color="auto" w:fill="auto"/>
                  <w:noWrap w:val="0"/>
                  <w:vAlign w:val="center"/>
                </w:tcPr>
                <w:p w14:paraId="6C007956">
                  <w:pPr>
                    <w:jc w:val="center"/>
                    <w:rPr>
                      <w:rFonts w:eastAsia="宋体"/>
                      <w:sz w:val="21"/>
                      <w:szCs w:val="21"/>
                      <w:u w:val="none"/>
                    </w:rPr>
                  </w:pPr>
                  <w:r>
                    <w:rPr>
                      <w:rFonts w:eastAsia="宋体"/>
                      <w:sz w:val="21"/>
                      <w:szCs w:val="21"/>
                      <w:u w:val="none"/>
                    </w:rPr>
                    <w:t>1#低甲尾气处理设施</w:t>
                  </w:r>
                </w:p>
              </w:tc>
              <w:tc>
                <w:tcPr>
                  <w:tcW w:w="454" w:type="pct"/>
                  <w:shd w:val="clear" w:color="auto" w:fill="auto"/>
                  <w:noWrap w:val="0"/>
                  <w:vAlign w:val="center"/>
                </w:tcPr>
                <w:p w14:paraId="5377A9FE">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7AE52AA8">
                  <w:pPr>
                    <w:jc w:val="center"/>
                    <w:rPr>
                      <w:rFonts w:eastAsia="宋体"/>
                      <w:sz w:val="21"/>
                      <w:szCs w:val="21"/>
                      <w:u w:val="none"/>
                    </w:rPr>
                  </w:pPr>
                  <w:r>
                    <w:rPr>
                      <w:rFonts w:eastAsia="宋体"/>
                      <w:sz w:val="21"/>
                      <w:szCs w:val="21"/>
                      <w:u w:val="none"/>
                    </w:rPr>
                    <w:t>0.83~0.85</w:t>
                  </w:r>
                </w:p>
              </w:tc>
              <w:tc>
                <w:tcPr>
                  <w:tcW w:w="732" w:type="pct"/>
                  <w:shd w:val="clear" w:color="auto" w:fill="auto"/>
                  <w:noWrap w:val="0"/>
                  <w:vAlign w:val="center"/>
                </w:tcPr>
                <w:p w14:paraId="6BC7A351">
                  <w:pPr>
                    <w:jc w:val="center"/>
                    <w:rPr>
                      <w:rFonts w:eastAsia="宋体"/>
                      <w:sz w:val="21"/>
                      <w:szCs w:val="21"/>
                      <w:u w:val="none"/>
                    </w:rPr>
                  </w:pPr>
                  <w:r>
                    <w:rPr>
                      <w:rFonts w:eastAsia="宋体"/>
                      <w:sz w:val="21"/>
                      <w:szCs w:val="21"/>
                      <w:u w:val="none"/>
                    </w:rPr>
                    <w:t>0.155~0.159</w:t>
                  </w:r>
                </w:p>
              </w:tc>
              <w:tc>
                <w:tcPr>
                  <w:tcW w:w="610" w:type="pct"/>
                  <w:shd w:val="clear" w:color="auto" w:fill="auto"/>
                  <w:noWrap w:val="0"/>
                  <w:vAlign w:val="center"/>
                </w:tcPr>
                <w:p w14:paraId="0431730B">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0728D0CC">
                  <w:pPr>
                    <w:jc w:val="center"/>
                    <w:rPr>
                      <w:rFonts w:eastAsia="宋体"/>
                      <w:sz w:val="21"/>
                      <w:szCs w:val="21"/>
                      <w:u w:val="none"/>
                    </w:rPr>
                  </w:pPr>
                  <w:r>
                    <w:rPr>
                      <w:rFonts w:eastAsia="宋体"/>
                      <w:sz w:val="21"/>
                      <w:szCs w:val="21"/>
                      <w:u w:val="none"/>
                    </w:rPr>
                    <w:t>14</w:t>
                  </w:r>
                </w:p>
              </w:tc>
              <w:tc>
                <w:tcPr>
                  <w:tcW w:w="567" w:type="pct"/>
                  <w:shd w:val="clear" w:color="auto" w:fill="auto"/>
                  <w:noWrap w:val="0"/>
                  <w:vAlign w:val="center"/>
                </w:tcPr>
                <w:p w14:paraId="3897BAA3">
                  <w:pPr>
                    <w:jc w:val="center"/>
                    <w:rPr>
                      <w:rFonts w:eastAsia="宋体"/>
                      <w:sz w:val="21"/>
                      <w:szCs w:val="21"/>
                      <w:u w:val="none"/>
                    </w:rPr>
                  </w:pPr>
                  <w:r>
                    <w:rPr>
                      <w:rFonts w:eastAsia="宋体"/>
                      <w:sz w:val="21"/>
                      <w:szCs w:val="21"/>
                      <w:u w:val="none"/>
                    </w:rPr>
                    <w:t>是</w:t>
                  </w:r>
                </w:p>
              </w:tc>
            </w:tr>
            <w:tr w14:paraId="14B8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AF05A82">
                  <w:pPr>
                    <w:jc w:val="center"/>
                    <w:rPr>
                      <w:rFonts w:eastAsia="宋体"/>
                      <w:sz w:val="21"/>
                      <w:szCs w:val="21"/>
                      <w:u w:val="none"/>
                    </w:rPr>
                  </w:pPr>
                </w:p>
              </w:tc>
              <w:tc>
                <w:tcPr>
                  <w:tcW w:w="904" w:type="pct"/>
                  <w:vMerge w:val="continue"/>
                  <w:shd w:val="clear" w:color="auto" w:fill="auto"/>
                  <w:noWrap w:val="0"/>
                  <w:vAlign w:val="center"/>
                </w:tcPr>
                <w:p w14:paraId="3A5081C2">
                  <w:pPr>
                    <w:jc w:val="center"/>
                    <w:rPr>
                      <w:rFonts w:eastAsia="宋体"/>
                      <w:sz w:val="21"/>
                      <w:szCs w:val="21"/>
                      <w:u w:val="none"/>
                    </w:rPr>
                  </w:pPr>
                </w:p>
              </w:tc>
              <w:tc>
                <w:tcPr>
                  <w:tcW w:w="454" w:type="pct"/>
                  <w:shd w:val="clear" w:color="auto" w:fill="auto"/>
                  <w:noWrap w:val="0"/>
                  <w:vAlign w:val="center"/>
                </w:tcPr>
                <w:p w14:paraId="55D0269E">
                  <w:pPr>
                    <w:jc w:val="center"/>
                    <w:rPr>
                      <w:rFonts w:eastAsia="宋体"/>
                      <w:sz w:val="21"/>
                      <w:szCs w:val="21"/>
                      <w:u w:val="none"/>
                    </w:rPr>
                  </w:pPr>
                  <w:r>
                    <w:rPr>
                      <w:rFonts w:eastAsia="宋体"/>
                      <w:sz w:val="21"/>
                      <w:szCs w:val="21"/>
                      <w:u w:val="none"/>
                    </w:rPr>
                    <w:t>非甲烷总烃</w:t>
                  </w:r>
                </w:p>
              </w:tc>
              <w:tc>
                <w:tcPr>
                  <w:tcW w:w="720" w:type="pct"/>
                  <w:shd w:val="clear" w:color="auto" w:fill="auto"/>
                  <w:noWrap w:val="0"/>
                  <w:vAlign w:val="center"/>
                </w:tcPr>
                <w:p w14:paraId="0D15CD28">
                  <w:pPr>
                    <w:jc w:val="center"/>
                    <w:rPr>
                      <w:rFonts w:eastAsia="宋体"/>
                      <w:sz w:val="21"/>
                      <w:szCs w:val="21"/>
                      <w:u w:val="none"/>
                    </w:rPr>
                  </w:pPr>
                  <w:r>
                    <w:rPr>
                      <w:rFonts w:eastAsia="宋体"/>
                      <w:sz w:val="21"/>
                      <w:szCs w:val="21"/>
                      <w:u w:val="none"/>
                    </w:rPr>
                    <w:t>36.5~42.7</w:t>
                  </w:r>
                </w:p>
              </w:tc>
              <w:tc>
                <w:tcPr>
                  <w:tcW w:w="732" w:type="pct"/>
                  <w:shd w:val="clear" w:color="auto" w:fill="auto"/>
                  <w:noWrap w:val="0"/>
                  <w:vAlign w:val="center"/>
                </w:tcPr>
                <w:p w14:paraId="70420ABE">
                  <w:pPr>
                    <w:jc w:val="center"/>
                    <w:rPr>
                      <w:rFonts w:eastAsia="宋体"/>
                      <w:sz w:val="21"/>
                      <w:szCs w:val="21"/>
                      <w:u w:val="none"/>
                    </w:rPr>
                  </w:pPr>
                  <w:r>
                    <w:rPr>
                      <w:rFonts w:eastAsia="宋体"/>
                      <w:sz w:val="21"/>
                      <w:szCs w:val="21"/>
                      <w:u w:val="none"/>
                    </w:rPr>
                    <w:t>6.85~8.01</w:t>
                  </w:r>
                </w:p>
              </w:tc>
              <w:tc>
                <w:tcPr>
                  <w:tcW w:w="610" w:type="pct"/>
                  <w:shd w:val="clear" w:color="auto" w:fill="auto"/>
                  <w:noWrap w:val="0"/>
                  <w:vAlign w:val="center"/>
                </w:tcPr>
                <w:p w14:paraId="274EC03B">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4BC833AF">
                  <w:pPr>
                    <w:jc w:val="center"/>
                    <w:rPr>
                      <w:rFonts w:eastAsia="宋体"/>
                      <w:sz w:val="21"/>
                      <w:szCs w:val="21"/>
                      <w:u w:val="none"/>
                    </w:rPr>
                  </w:pPr>
                  <w:r>
                    <w:rPr>
                      <w:rFonts w:eastAsia="宋体"/>
                      <w:sz w:val="21"/>
                      <w:szCs w:val="21"/>
                      <w:u w:val="none"/>
                    </w:rPr>
                    <w:t>625</w:t>
                  </w:r>
                </w:p>
              </w:tc>
              <w:tc>
                <w:tcPr>
                  <w:tcW w:w="567" w:type="pct"/>
                  <w:shd w:val="clear" w:color="auto" w:fill="auto"/>
                  <w:noWrap w:val="0"/>
                  <w:vAlign w:val="center"/>
                </w:tcPr>
                <w:p w14:paraId="637D8119">
                  <w:pPr>
                    <w:jc w:val="center"/>
                    <w:rPr>
                      <w:rFonts w:eastAsia="宋体"/>
                      <w:sz w:val="21"/>
                      <w:szCs w:val="21"/>
                      <w:u w:val="none"/>
                    </w:rPr>
                  </w:pPr>
                  <w:r>
                    <w:rPr>
                      <w:rFonts w:eastAsia="宋体"/>
                      <w:sz w:val="21"/>
                      <w:szCs w:val="21"/>
                      <w:u w:val="none"/>
                    </w:rPr>
                    <w:t>是</w:t>
                  </w:r>
                </w:p>
              </w:tc>
            </w:tr>
            <w:tr w14:paraId="4C6B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268CDED">
                  <w:pPr>
                    <w:jc w:val="center"/>
                    <w:rPr>
                      <w:rFonts w:eastAsia="宋体"/>
                      <w:sz w:val="21"/>
                      <w:szCs w:val="21"/>
                      <w:u w:val="none"/>
                    </w:rPr>
                  </w:pPr>
                </w:p>
              </w:tc>
              <w:tc>
                <w:tcPr>
                  <w:tcW w:w="904" w:type="pct"/>
                  <w:vMerge w:val="continue"/>
                  <w:shd w:val="clear" w:color="auto" w:fill="auto"/>
                  <w:noWrap w:val="0"/>
                  <w:vAlign w:val="center"/>
                </w:tcPr>
                <w:p w14:paraId="12D5C512">
                  <w:pPr>
                    <w:jc w:val="center"/>
                    <w:rPr>
                      <w:rFonts w:eastAsia="宋体"/>
                      <w:sz w:val="21"/>
                      <w:szCs w:val="21"/>
                      <w:u w:val="none"/>
                    </w:rPr>
                  </w:pPr>
                </w:p>
              </w:tc>
              <w:tc>
                <w:tcPr>
                  <w:tcW w:w="454" w:type="pct"/>
                  <w:shd w:val="clear" w:color="auto" w:fill="auto"/>
                  <w:noWrap w:val="0"/>
                  <w:vAlign w:val="center"/>
                </w:tcPr>
                <w:p w14:paraId="1266303D">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4D7FA701">
                  <w:pPr>
                    <w:jc w:val="center"/>
                    <w:rPr>
                      <w:rFonts w:eastAsia="宋体"/>
                      <w:sz w:val="21"/>
                      <w:szCs w:val="21"/>
                      <w:u w:val="none"/>
                    </w:rPr>
                  </w:pPr>
                  <w:r>
                    <w:rPr>
                      <w:rFonts w:eastAsia="宋体"/>
                      <w:sz w:val="21"/>
                      <w:szCs w:val="21"/>
                      <w:u w:val="none"/>
                    </w:rPr>
                    <w:t>27~47</w:t>
                  </w:r>
                </w:p>
              </w:tc>
              <w:tc>
                <w:tcPr>
                  <w:tcW w:w="732" w:type="pct"/>
                  <w:shd w:val="clear" w:color="auto" w:fill="auto"/>
                  <w:noWrap w:val="0"/>
                  <w:vAlign w:val="center"/>
                </w:tcPr>
                <w:p w14:paraId="1A506FED">
                  <w:pPr>
                    <w:jc w:val="center"/>
                    <w:rPr>
                      <w:rFonts w:eastAsia="宋体"/>
                      <w:sz w:val="21"/>
                      <w:szCs w:val="21"/>
                      <w:u w:val="none"/>
                    </w:rPr>
                  </w:pPr>
                  <w:r>
                    <w:rPr>
                      <w:rFonts w:eastAsia="宋体"/>
                      <w:sz w:val="21"/>
                      <w:szCs w:val="21"/>
                      <w:u w:val="none"/>
                    </w:rPr>
                    <w:t>6.05</w:t>
                  </w:r>
                </w:p>
              </w:tc>
              <w:tc>
                <w:tcPr>
                  <w:tcW w:w="610" w:type="pct"/>
                  <w:shd w:val="clear" w:color="auto" w:fill="auto"/>
                  <w:noWrap w:val="0"/>
                  <w:vAlign w:val="center"/>
                </w:tcPr>
                <w:p w14:paraId="584D168D">
                  <w:pPr>
                    <w:jc w:val="center"/>
                    <w:rPr>
                      <w:rFonts w:hint="eastAsia"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692C4A5D">
                  <w:pPr>
                    <w:jc w:val="center"/>
                    <w:rPr>
                      <w:rFonts w:hint="eastAsia" w:eastAsia="宋体"/>
                      <w:sz w:val="21"/>
                      <w:szCs w:val="21"/>
                      <w:u w:val="none"/>
                    </w:rPr>
                  </w:pPr>
                  <w:r>
                    <w:rPr>
                      <w:rFonts w:hint="eastAsia" w:eastAsia="宋体"/>
                      <w:sz w:val="21"/>
                      <w:szCs w:val="21"/>
                      <w:u w:val="none"/>
                    </w:rPr>
                    <w:t>277.78</w:t>
                  </w:r>
                </w:p>
              </w:tc>
              <w:tc>
                <w:tcPr>
                  <w:tcW w:w="567" w:type="pct"/>
                  <w:shd w:val="clear" w:color="auto" w:fill="auto"/>
                  <w:noWrap w:val="0"/>
                  <w:vAlign w:val="center"/>
                </w:tcPr>
                <w:p w14:paraId="06C7A253">
                  <w:pPr>
                    <w:jc w:val="center"/>
                    <w:rPr>
                      <w:rFonts w:eastAsia="宋体"/>
                      <w:sz w:val="21"/>
                      <w:szCs w:val="21"/>
                      <w:u w:val="none"/>
                    </w:rPr>
                  </w:pPr>
                  <w:r>
                    <w:rPr>
                      <w:rFonts w:eastAsia="宋体"/>
                      <w:sz w:val="21"/>
                      <w:szCs w:val="21"/>
                      <w:u w:val="none"/>
                    </w:rPr>
                    <w:t>是</w:t>
                  </w:r>
                </w:p>
              </w:tc>
            </w:tr>
            <w:tr w14:paraId="71F0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7BC0E280">
                  <w:pPr>
                    <w:jc w:val="center"/>
                    <w:rPr>
                      <w:rFonts w:eastAsia="宋体"/>
                      <w:sz w:val="21"/>
                      <w:szCs w:val="21"/>
                      <w:u w:val="none"/>
                    </w:rPr>
                  </w:pPr>
                  <w:r>
                    <w:rPr>
                      <w:rFonts w:eastAsia="宋体"/>
                      <w:sz w:val="21"/>
                      <w:szCs w:val="21"/>
                      <w:u w:val="none"/>
                    </w:rPr>
                    <w:t>DA045</w:t>
                  </w:r>
                </w:p>
              </w:tc>
              <w:tc>
                <w:tcPr>
                  <w:tcW w:w="904" w:type="pct"/>
                  <w:vMerge w:val="restart"/>
                  <w:shd w:val="clear" w:color="auto" w:fill="auto"/>
                  <w:noWrap w:val="0"/>
                  <w:vAlign w:val="center"/>
                </w:tcPr>
                <w:p w14:paraId="345E311D">
                  <w:pPr>
                    <w:jc w:val="center"/>
                    <w:rPr>
                      <w:rFonts w:eastAsia="宋体"/>
                      <w:sz w:val="21"/>
                      <w:szCs w:val="21"/>
                      <w:u w:val="none"/>
                    </w:rPr>
                  </w:pPr>
                  <w:r>
                    <w:rPr>
                      <w:rFonts w:eastAsia="宋体"/>
                      <w:sz w:val="21"/>
                      <w:szCs w:val="21"/>
                      <w:u w:val="none"/>
                    </w:rPr>
                    <w:t>2#低甲尾气处理设施</w:t>
                  </w:r>
                </w:p>
              </w:tc>
              <w:tc>
                <w:tcPr>
                  <w:tcW w:w="454" w:type="pct"/>
                  <w:shd w:val="clear" w:color="auto" w:fill="auto"/>
                  <w:noWrap w:val="0"/>
                  <w:vAlign w:val="center"/>
                </w:tcPr>
                <w:p w14:paraId="5CE1EDDC">
                  <w:pPr>
                    <w:jc w:val="center"/>
                    <w:rPr>
                      <w:rFonts w:eastAsia="宋体"/>
                      <w:sz w:val="21"/>
                      <w:szCs w:val="21"/>
                      <w:u w:val="none"/>
                    </w:rPr>
                  </w:pPr>
                  <w:r>
                    <w:rPr>
                      <w:rFonts w:eastAsia="宋体"/>
                      <w:sz w:val="21"/>
                      <w:szCs w:val="21"/>
                      <w:u w:val="none"/>
                    </w:rPr>
                    <w:t>硫化氢</w:t>
                  </w:r>
                </w:p>
              </w:tc>
              <w:tc>
                <w:tcPr>
                  <w:tcW w:w="720" w:type="pct"/>
                  <w:shd w:val="clear" w:color="auto" w:fill="auto"/>
                  <w:noWrap w:val="0"/>
                  <w:vAlign w:val="center"/>
                </w:tcPr>
                <w:p w14:paraId="0DFF929C">
                  <w:pPr>
                    <w:jc w:val="center"/>
                    <w:rPr>
                      <w:rFonts w:eastAsia="宋体"/>
                      <w:sz w:val="21"/>
                      <w:szCs w:val="21"/>
                      <w:u w:val="none"/>
                    </w:rPr>
                  </w:pPr>
                  <w:r>
                    <w:rPr>
                      <w:rFonts w:eastAsia="宋体"/>
                      <w:sz w:val="21"/>
                      <w:szCs w:val="21"/>
                      <w:u w:val="none"/>
                    </w:rPr>
                    <w:t>0.68~0.81</w:t>
                  </w:r>
                </w:p>
              </w:tc>
              <w:tc>
                <w:tcPr>
                  <w:tcW w:w="732" w:type="pct"/>
                  <w:shd w:val="clear" w:color="auto" w:fill="auto"/>
                  <w:noWrap w:val="0"/>
                  <w:vAlign w:val="center"/>
                </w:tcPr>
                <w:p w14:paraId="02457517">
                  <w:pPr>
                    <w:jc w:val="center"/>
                    <w:rPr>
                      <w:rFonts w:eastAsia="宋体"/>
                      <w:sz w:val="21"/>
                      <w:szCs w:val="21"/>
                      <w:u w:val="none"/>
                    </w:rPr>
                  </w:pPr>
                  <w:r>
                    <w:rPr>
                      <w:rFonts w:eastAsia="宋体"/>
                      <w:sz w:val="21"/>
                      <w:szCs w:val="21"/>
                      <w:u w:val="none"/>
                    </w:rPr>
                    <w:t>0.113~0.136</w:t>
                  </w:r>
                </w:p>
              </w:tc>
              <w:tc>
                <w:tcPr>
                  <w:tcW w:w="610" w:type="pct"/>
                  <w:shd w:val="clear" w:color="auto" w:fill="auto"/>
                  <w:noWrap w:val="0"/>
                  <w:vAlign w:val="center"/>
                </w:tcPr>
                <w:p w14:paraId="79528409">
                  <w:pPr>
                    <w:jc w:val="center"/>
                    <w:rPr>
                      <w:rFonts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4D317140">
                  <w:pPr>
                    <w:jc w:val="center"/>
                    <w:rPr>
                      <w:rFonts w:eastAsia="宋体"/>
                      <w:sz w:val="21"/>
                      <w:szCs w:val="21"/>
                      <w:u w:val="none"/>
                    </w:rPr>
                  </w:pPr>
                  <w:r>
                    <w:rPr>
                      <w:rFonts w:eastAsia="宋体"/>
                      <w:sz w:val="21"/>
                      <w:szCs w:val="21"/>
                      <w:u w:val="none"/>
                    </w:rPr>
                    <w:t>14</w:t>
                  </w:r>
                </w:p>
              </w:tc>
              <w:tc>
                <w:tcPr>
                  <w:tcW w:w="567" w:type="pct"/>
                  <w:shd w:val="clear" w:color="auto" w:fill="auto"/>
                  <w:noWrap w:val="0"/>
                  <w:vAlign w:val="center"/>
                </w:tcPr>
                <w:p w14:paraId="21812D04">
                  <w:pPr>
                    <w:jc w:val="center"/>
                    <w:rPr>
                      <w:rFonts w:eastAsia="宋体"/>
                      <w:sz w:val="21"/>
                      <w:szCs w:val="21"/>
                      <w:u w:val="none"/>
                    </w:rPr>
                  </w:pPr>
                  <w:r>
                    <w:rPr>
                      <w:rFonts w:eastAsia="宋体"/>
                      <w:sz w:val="21"/>
                      <w:szCs w:val="21"/>
                      <w:u w:val="none"/>
                    </w:rPr>
                    <w:t>是</w:t>
                  </w:r>
                </w:p>
              </w:tc>
            </w:tr>
            <w:tr w14:paraId="7CCA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420B92D">
                  <w:pPr>
                    <w:jc w:val="center"/>
                    <w:rPr>
                      <w:rFonts w:eastAsia="宋体"/>
                      <w:sz w:val="21"/>
                      <w:szCs w:val="21"/>
                      <w:u w:val="none"/>
                    </w:rPr>
                  </w:pPr>
                </w:p>
              </w:tc>
              <w:tc>
                <w:tcPr>
                  <w:tcW w:w="904" w:type="pct"/>
                  <w:vMerge w:val="continue"/>
                  <w:shd w:val="clear" w:color="auto" w:fill="auto"/>
                  <w:noWrap w:val="0"/>
                  <w:vAlign w:val="center"/>
                </w:tcPr>
                <w:p w14:paraId="1D7A1613">
                  <w:pPr>
                    <w:jc w:val="center"/>
                    <w:rPr>
                      <w:rFonts w:eastAsia="宋体"/>
                      <w:sz w:val="21"/>
                      <w:szCs w:val="21"/>
                      <w:u w:val="none"/>
                    </w:rPr>
                  </w:pPr>
                </w:p>
              </w:tc>
              <w:tc>
                <w:tcPr>
                  <w:tcW w:w="454" w:type="pct"/>
                  <w:shd w:val="clear" w:color="auto" w:fill="auto"/>
                  <w:noWrap w:val="0"/>
                  <w:vAlign w:val="center"/>
                </w:tcPr>
                <w:p w14:paraId="1736D751">
                  <w:pPr>
                    <w:jc w:val="center"/>
                    <w:rPr>
                      <w:rFonts w:eastAsia="宋体"/>
                      <w:sz w:val="21"/>
                      <w:szCs w:val="21"/>
                      <w:u w:val="none"/>
                    </w:rPr>
                  </w:pPr>
                  <w:r>
                    <w:rPr>
                      <w:rFonts w:eastAsia="宋体"/>
                      <w:sz w:val="21"/>
                      <w:szCs w:val="21"/>
                      <w:u w:val="none"/>
                    </w:rPr>
                    <w:t>非甲烷总烃</w:t>
                  </w:r>
                </w:p>
              </w:tc>
              <w:tc>
                <w:tcPr>
                  <w:tcW w:w="720" w:type="pct"/>
                  <w:shd w:val="clear" w:color="auto" w:fill="auto"/>
                  <w:noWrap w:val="0"/>
                  <w:vAlign w:val="center"/>
                </w:tcPr>
                <w:p w14:paraId="5DC96605">
                  <w:pPr>
                    <w:jc w:val="center"/>
                    <w:rPr>
                      <w:rFonts w:eastAsia="宋体"/>
                      <w:sz w:val="21"/>
                      <w:szCs w:val="21"/>
                      <w:u w:val="none"/>
                    </w:rPr>
                  </w:pPr>
                  <w:r>
                    <w:rPr>
                      <w:rFonts w:eastAsia="宋体"/>
                      <w:sz w:val="21"/>
                      <w:szCs w:val="21"/>
                      <w:u w:val="none"/>
                    </w:rPr>
                    <w:t>86.9~96.5</w:t>
                  </w:r>
                </w:p>
              </w:tc>
              <w:tc>
                <w:tcPr>
                  <w:tcW w:w="732" w:type="pct"/>
                  <w:shd w:val="clear" w:color="auto" w:fill="auto"/>
                  <w:noWrap w:val="0"/>
                  <w:vAlign w:val="center"/>
                </w:tcPr>
                <w:p w14:paraId="13D7149C">
                  <w:pPr>
                    <w:jc w:val="center"/>
                    <w:rPr>
                      <w:rFonts w:eastAsia="宋体"/>
                      <w:sz w:val="21"/>
                      <w:szCs w:val="21"/>
                      <w:u w:val="none"/>
                    </w:rPr>
                  </w:pPr>
                  <w:r>
                    <w:rPr>
                      <w:rFonts w:eastAsia="宋体"/>
                      <w:sz w:val="21"/>
                      <w:szCs w:val="21"/>
                      <w:u w:val="none"/>
                    </w:rPr>
                    <w:t>14.95~16.03</w:t>
                  </w:r>
                </w:p>
              </w:tc>
              <w:tc>
                <w:tcPr>
                  <w:tcW w:w="610" w:type="pct"/>
                  <w:shd w:val="clear" w:color="auto" w:fill="auto"/>
                  <w:noWrap w:val="0"/>
                  <w:vAlign w:val="center"/>
                </w:tcPr>
                <w:p w14:paraId="48D677E6">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21C22999">
                  <w:pPr>
                    <w:jc w:val="center"/>
                    <w:rPr>
                      <w:rFonts w:eastAsia="宋体"/>
                      <w:sz w:val="21"/>
                      <w:szCs w:val="21"/>
                      <w:u w:val="none"/>
                    </w:rPr>
                  </w:pPr>
                  <w:r>
                    <w:rPr>
                      <w:rFonts w:eastAsia="宋体"/>
                      <w:sz w:val="21"/>
                      <w:szCs w:val="21"/>
                      <w:u w:val="none"/>
                    </w:rPr>
                    <w:t>625</w:t>
                  </w:r>
                </w:p>
              </w:tc>
              <w:tc>
                <w:tcPr>
                  <w:tcW w:w="567" w:type="pct"/>
                  <w:shd w:val="clear" w:color="auto" w:fill="auto"/>
                  <w:noWrap w:val="0"/>
                  <w:vAlign w:val="center"/>
                </w:tcPr>
                <w:p w14:paraId="41588B18">
                  <w:pPr>
                    <w:jc w:val="center"/>
                    <w:rPr>
                      <w:rFonts w:eastAsia="宋体"/>
                      <w:sz w:val="21"/>
                      <w:szCs w:val="21"/>
                      <w:u w:val="none"/>
                    </w:rPr>
                  </w:pPr>
                  <w:r>
                    <w:rPr>
                      <w:rFonts w:eastAsia="宋体"/>
                      <w:sz w:val="21"/>
                      <w:szCs w:val="21"/>
                      <w:u w:val="none"/>
                    </w:rPr>
                    <w:t>是</w:t>
                  </w:r>
                </w:p>
              </w:tc>
            </w:tr>
            <w:tr w14:paraId="4C69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75727EF7">
                  <w:pPr>
                    <w:jc w:val="center"/>
                    <w:rPr>
                      <w:rFonts w:eastAsia="宋体"/>
                      <w:sz w:val="21"/>
                      <w:szCs w:val="21"/>
                      <w:u w:val="none"/>
                    </w:rPr>
                  </w:pPr>
                </w:p>
              </w:tc>
              <w:tc>
                <w:tcPr>
                  <w:tcW w:w="904" w:type="pct"/>
                  <w:vMerge w:val="continue"/>
                  <w:shd w:val="clear" w:color="auto" w:fill="auto"/>
                  <w:noWrap w:val="0"/>
                  <w:vAlign w:val="center"/>
                </w:tcPr>
                <w:p w14:paraId="50995DB3">
                  <w:pPr>
                    <w:jc w:val="center"/>
                    <w:rPr>
                      <w:rFonts w:eastAsia="宋体"/>
                      <w:sz w:val="21"/>
                      <w:szCs w:val="21"/>
                      <w:u w:val="none"/>
                    </w:rPr>
                  </w:pPr>
                </w:p>
              </w:tc>
              <w:tc>
                <w:tcPr>
                  <w:tcW w:w="454" w:type="pct"/>
                  <w:shd w:val="clear" w:color="auto" w:fill="auto"/>
                  <w:noWrap w:val="0"/>
                  <w:vAlign w:val="center"/>
                </w:tcPr>
                <w:p w14:paraId="7F47ABC3">
                  <w:pPr>
                    <w:jc w:val="center"/>
                    <w:rPr>
                      <w:rFonts w:eastAsia="宋体"/>
                      <w:sz w:val="21"/>
                      <w:szCs w:val="21"/>
                      <w:u w:val="none"/>
                    </w:rPr>
                  </w:pPr>
                  <w:r>
                    <w:rPr>
                      <w:rFonts w:eastAsia="宋体"/>
                      <w:sz w:val="21"/>
                      <w:szCs w:val="21"/>
                      <w:u w:val="none"/>
                    </w:rPr>
                    <w:t>甲醇</w:t>
                  </w:r>
                </w:p>
              </w:tc>
              <w:tc>
                <w:tcPr>
                  <w:tcW w:w="720" w:type="pct"/>
                  <w:shd w:val="clear" w:color="auto" w:fill="auto"/>
                  <w:noWrap w:val="0"/>
                  <w:vAlign w:val="center"/>
                </w:tcPr>
                <w:p w14:paraId="19AEA314">
                  <w:pPr>
                    <w:jc w:val="center"/>
                    <w:rPr>
                      <w:rFonts w:eastAsia="宋体"/>
                      <w:sz w:val="21"/>
                      <w:szCs w:val="21"/>
                      <w:u w:val="none"/>
                    </w:rPr>
                  </w:pPr>
                  <w:r>
                    <w:rPr>
                      <w:rFonts w:eastAsia="宋体"/>
                      <w:sz w:val="21"/>
                      <w:szCs w:val="21"/>
                      <w:u w:val="none"/>
                    </w:rPr>
                    <w:t>22~24</w:t>
                  </w:r>
                </w:p>
              </w:tc>
              <w:tc>
                <w:tcPr>
                  <w:tcW w:w="732" w:type="pct"/>
                  <w:shd w:val="clear" w:color="auto" w:fill="auto"/>
                  <w:noWrap w:val="0"/>
                  <w:vAlign w:val="center"/>
                </w:tcPr>
                <w:p w14:paraId="72F5C2CB">
                  <w:pPr>
                    <w:jc w:val="center"/>
                    <w:rPr>
                      <w:rFonts w:eastAsia="宋体"/>
                      <w:sz w:val="21"/>
                      <w:szCs w:val="21"/>
                      <w:u w:val="none"/>
                    </w:rPr>
                  </w:pPr>
                  <w:r>
                    <w:rPr>
                      <w:rFonts w:eastAsia="宋体"/>
                      <w:sz w:val="21"/>
                      <w:szCs w:val="21"/>
                      <w:u w:val="none"/>
                    </w:rPr>
                    <w:t>0.00623</w:t>
                  </w:r>
                </w:p>
              </w:tc>
              <w:tc>
                <w:tcPr>
                  <w:tcW w:w="610" w:type="pct"/>
                  <w:shd w:val="clear" w:color="auto" w:fill="auto"/>
                  <w:noWrap w:val="0"/>
                  <w:vAlign w:val="center"/>
                </w:tcPr>
                <w:p w14:paraId="39725B13">
                  <w:pPr>
                    <w:jc w:val="center"/>
                    <w:rPr>
                      <w:rFonts w:eastAsia="宋体"/>
                      <w:sz w:val="21"/>
                      <w:szCs w:val="21"/>
                      <w:u w:val="none"/>
                    </w:rPr>
                  </w:pPr>
                  <w:r>
                    <w:rPr>
                      <w:rFonts w:hint="eastAsia" w:eastAsia="宋体"/>
                      <w:sz w:val="21"/>
                      <w:szCs w:val="21"/>
                      <w:u w:val="none"/>
                    </w:rPr>
                    <w:t>190</w:t>
                  </w:r>
                </w:p>
              </w:tc>
              <w:tc>
                <w:tcPr>
                  <w:tcW w:w="569" w:type="pct"/>
                  <w:shd w:val="clear" w:color="auto" w:fill="auto"/>
                  <w:noWrap w:val="0"/>
                  <w:vAlign w:val="center"/>
                </w:tcPr>
                <w:p w14:paraId="66766BCA">
                  <w:pPr>
                    <w:jc w:val="center"/>
                    <w:rPr>
                      <w:rFonts w:hint="eastAsia" w:eastAsia="宋体"/>
                      <w:sz w:val="21"/>
                      <w:szCs w:val="21"/>
                      <w:u w:val="none"/>
                    </w:rPr>
                  </w:pPr>
                  <w:r>
                    <w:rPr>
                      <w:rFonts w:hint="eastAsia" w:eastAsia="宋体"/>
                      <w:sz w:val="21"/>
                      <w:szCs w:val="21"/>
                      <w:u w:val="none"/>
                    </w:rPr>
                    <w:t>277.78</w:t>
                  </w:r>
                </w:p>
              </w:tc>
              <w:tc>
                <w:tcPr>
                  <w:tcW w:w="567" w:type="pct"/>
                  <w:shd w:val="clear" w:color="auto" w:fill="auto"/>
                  <w:noWrap w:val="0"/>
                  <w:vAlign w:val="center"/>
                </w:tcPr>
                <w:p w14:paraId="35B3EB18">
                  <w:pPr>
                    <w:jc w:val="center"/>
                    <w:rPr>
                      <w:rFonts w:eastAsia="宋体"/>
                      <w:sz w:val="21"/>
                      <w:szCs w:val="21"/>
                      <w:u w:val="none"/>
                    </w:rPr>
                  </w:pPr>
                  <w:r>
                    <w:rPr>
                      <w:rFonts w:eastAsia="宋体"/>
                      <w:sz w:val="21"/>
                      <w:szCs w:val="21"/>
                      <w:u w:val="none"/>
                    </w:rPr>
                    <w:t>是</w:t>
                  </w:r>
                </w:p>
              </w:tc>
            </w:tr>
            <w:tr w14:paraId="29B0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shd w:val="clear" w:color="auto" w:fill="auto"/>
                  <w:noWrap w:val="0"/>
                  <w:vAlign w:val="center"/>
                </w:tcPr>
                <w:p w14:paraId="787FC81D">
                  <w:pPr>
                    <w:jc w:val="center"/>
                    <w:rPr>
                      <w:rFonts w:eastAsia="宋体"/>
                      <w:sz w:val="21"/>
                      <w:szCs w:val="21"/>
                      <w:u w:val="none"/>
                    </w:rPr>
                  </w:pPr>
                  <w:r>
                    <w:rPr>
                      <w:rFonts w:eastAsia="宋体"/>
                      <w:sz w:val="21"/>
                      <w:szCs w:val="21"/>
                      <w:u w:val="none"/>
                    </w:rPr>
                    <w:t>DA030</w:t>
                  </w:r>
                </w:p>
              </w:tc>
              <w:tc>
                <w:tcPr>
                  <w:tcW w:w="904" w:type="pct"/>
                  <w:shd w:val="clear" w:color="auto" w:fill="auto"/>
                  <w:noWrap w:val="0"/>
                  <w:vAlign w:val="center"/>
                </w:tcPr>
                <w:p w14:paraId="25E2CF26">
                  <w:pPr>
                    <w:jc w:val="center"/>
                    <w:rPr>
                      <w:rFonts w:eastAsia="宋体"/>
                      <w:sz w:val="21"/>
                      <w:szCs w:val="21"/>
                      <w:u w:val="none"/>
                    </w:rPr>
                  </w:pPr>
                  <w:r>
                    <w:rPr>
                      <w:rFonts w:eastAsia="宋体"/>
                      <w:sz w:val="21"/>
                      <w:szCs w:val="21"/>
                      <w:u w:val="none"/>
                    </w:rPr>
                    <w:t>5#转运站</w:t>
                  </w:r>
                </w:p>
              </w:tc>
              <w:tc>
                <w:tcPr>
                  <w:tcW w:w="454" w:type="pct"/>
                  <w:shd w:val="clear" w:color="auto" w:fill="auto"/>
                  <w:noWrap w:val="0"/>
                  <w:vAlign w:val="center"/>
                </w:tcPr>
                <w:p w14:paraId="179913AF">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7FDF2E87">
                  <w:pPr>
                    <w:jc w:val="center"/>
                    <w:rPr>
                      <w:rFonts w:eastAsia="宋体"/>
                      <w:sz w:val="21"/>
                      <w:szCs w:val="21"/>
                      <w:u w:val="none"/>
                    </w:rPr>
                  </w:pPr>
                  <w:r>
                    <w:rPr>
                      <w:rFonts w:eastAsia="宋体"/>
                      <w:sz w:val="21"/>
                      <w:szCs w:val="21"/>
                      <w:u w:val="none"/>
                    </w:rPr>
                    <w:t>20.3~</w:t>
                  </w:r>
                  <w:r>
                    <w:rPr>
                      <w:rFonts w:hint="eastAsia" w:eastAsia="宋体"/>
                      <w:sz w:val="21"/>
                      <w:szCs w:val="21"/>
                      <w:u w:val="none"/>
                    </w:rPr>
                    <w:t>46.6</w:t>
                  </w:r>
                </w:p>
              </w:tc>
              <w:tc>
                <w:tcPr>
                  <w:tcW w:w="732" w:type="pct"/>
                  <w:shd w:val="clear" w:color="auto" w:fill="auto"/>
                  <w:noWrap w:val="0"/>
                  <w:vAlign w:val="center"/>
                </w:tcPr>
                <w:p w14:paraId="03650354">
                  <w:pPr>
                    <w:jc w:val="center"/>
                    <w:rPr>
                      <w:rFonts w:eastAsia="宋体"/>
                      <w:sz w:val="21"/>
                      <w:szCs w:val="21"/>
                      <w:u w:val="none"/>
                    </w:rPr>
                  </w:pPr>
                  <w:r>
                    <w:rPr>
                      <w:rFonts w:eastAsia="宋体"/>
                      <w:sz w:val="21"/>
                      <w:szCs w:val="21"/>
                      <w:u w:val="none"/>
                    </w:rPr>
                    <w:t>ND</w:t>
                  </w:r>
                </w:p>
              </w:tc>
              <w:tc>
                <w:tcPr>
                  <w:tcW w:w="610" w:type="pct"/>
                  <w:shd w:val="clear" w:color="auto" w:fill="auto"/>
                  <w:noWrap w:val="0"/>
                  <w:vAlign w:val="center"/>
                </w:tcPr>
                <w:p w14:paraId="41C6B4E8">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422114B1">
                  <w:pPr>
                    <w:jc w:val="center"/>
                    <w:rPr>
                      <w:rFonts w:hint="eastAsia" w:eastAsia="宋体"/>
                      <w:sz w:val="21"/>
                      <w:szCs w:val="21"/>
                      <w:u w:val="none"/>
                    </w:rPr>
                  </w:pPr>
                  <w:r>
                    <w:rPr>
                      <w:rFonts w:hint="eastAsia" w:eastAsia="宋体"/>
                      <w:sz w:val="21"/>
                      <w:szCs w:val="21"/>
                      <w:u w:val="none"/>
                    </w:rPr>
                    <w:t>27.8</w:t>
                  </w:r>
                </w:p>
              </w:tc>
              <w:tc>
                <w:tcPr>
                  <w:tcW w:w="567" w:type="pct"/>
                  <w:shd w:val="clear" w:color="auto" w:fill="auto"/>
                  <w:noWrap w:val="0"/>
                  <w:vAlign w:val="center"/>
                </w:tcPr>
                <w:p w14:paraId="58C636CC">
                  <w:pPr>
                    <w:jc w:val="center"/>
                    <w:rPr>
                      <w:rFonts w:eastAsia="宋体"/>
                      <w:sz w:val="21"/>
                      <w:szCs w:val="21"/>
                      <w:u w:val="none"/>
                    </w:rPr>
                  </w:pPr>
                  <w:r>
                    <w:rPr>
                      <w:rFonts w:eastAsia="宋体"/>
                      <w:sz w:val="21"/>
                      <w:szCs w:val="21"/>
                      <w:u w:val="none"/>
                    </w:rPr>
                    <w:t>是</w:t>
                  </w:r>
                </w:p>
              </w:tc>
            </w:tr>
            <w:tr w14:paraId="6615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shd w:val="clear" w:color="auto" w:fill="auto"/>
                  <w:noWrap w:val="0"/>
                  <w:vAlign w:val="center"/>
                </w:tcPr>
                <w:p w14:paraId="31F207BB">
                  <w:pPr>
                    <w:jc w:val="center"/>
                    <w:rPr>
                      <w:rFonts w:eastAsia="宋体"/>
                      <w:sz w:val="21"/>
                      <w:szCs w:val="21"/>
                      <w:u w:val="none"/>
                    </w:rPr>
                  </w:pPr>
                  <w:r>
                    <w:rPr>
                      <w:rFonts w:eastAsia="宋体"/>
                      <w:sz w:val="21"/>
                      <w:szCs w:val="21"/>
                      <w:u w:val="none"/>
                    </w:rPr>
                    <w:t>DA025</w:t>
                  </w:r>
                </w:p>
              </w:tc>
              <w:tc>
                <w:tcPr>
                  <w:tcW w:w="904" w:type="pct"/>
                  <w:shd w:val="clear" w:color="auto" w:fill="auto"/>
                  <w:noWrap w:val="0"/>
                  <w:vAlign w:val="center"/>
                </w:tcPr>
                <w:p w14:paraId="254FF283">
                  <w:pPr>
                    <w:jc w:val="center"/>
                    <w:rPr>
                      <w:rFonts w:eastAsia="宋体"/>
                      <w:sz w:val="21"/>
                      <w:szCs w:val="21"/>
                      <w:u w:val="none"/>
                    </w:rPr>
                  </w:pPr>
                  <w:r>
                    <w:rPr>
                      <w:rFonts w:eastAsia="宋体"/>
                      <w:sz w:val="21"/>
                      <w:szCs w:val="21"/>
                      <w:u w:val="none"/>
                    </w:rPr>
                    <w:t>灰渣干燥尾气处理设施</w:t>
                  </w:r>
                </w:p>
              </w:tc>
              <w:tc>
                <w:tcPr>
                  <w:tcW w:w="454" w:type="pct"/>
                  <w:shd w:val="clear" w:color="auto" w:fill="auto"/>
                  <w:noWrap w:val="0"/>
                  <w:vAlign w:val="center"/>
                </w:tcPr>
                <w:p w14:paraId="4D6DB5D7">
                  <w:pPr>
                    <w:jc w:val="center"/>
                    <w:rPr>
                      <w:rFonts w:eastAsia="宋体"/>
                      <w:sz w:val="21"/>
                      <w:szCs w:val="21"/>
                      <w:u w:val="none"/>
                    </w:rPr>
                  </w:pPr>
                  <w:r>
                    <w:rPr>
                      <w:rFonts w:eastAsia="宋体"/>
                      <w:sz w:val="21"/>
                      <w:szCs w:val="21"/>
                      <w:u w:val="none"/>
                    </w:rPr>
                    <w:t>颗粒物</w:t>
                  </w:r>
                </w:p>
              </w:tc>
              <w:tc>
                <w:tcPr>
                  <w:tcW w:w="720" w:type="pct"/>
                  <w:shd w:val="clear" w:color="auto" w:fill="auto"/>
                  <w:noWrap w:val="0"/>
                  <w:vAlign w:val="center"/>
                </w:tcPr>
                <w:p w14:paraId="25440C9B">
                  <w:pPr>
                    <w:jc w:val="center"/>
                    <w:rPr>
                      <w:rFonts w:eastAsia="宋体"/>
                      <w:sz w:val="21"/>
                      <w:szCs w:val="21"/>
                      <w:u w:val="none"/>
                    </w:rPr>
                  </w:pPr>
                  <w:r>
                    <w:rPr>
                      <w:rFonts w:eastAsia="宋体"/>
                      <w:sz w:val="21"/>
                      <w:szCs w:val="21"/>
                      <w:u w:val="none"/>
                    </w:rPr>
                    <w:t>15.7~16.2</w:t>
                  </w:r>
                </w:p>
              </w:tc>
              <w:tc>
                <w:tcPr>
                  <w:tcW w:w="732" w:type="pct"/>
                  <w:shd w:val="clear" w:color="auto" w:fill="auto"/>
                  <w:noWrap w:val="0"/>
                  <w:vAlign w:val="center"/>
                </w:tcPr>
                <w:p w14:paraId="0BE0A277">
                  <w:pPr>
                    <w:jc w:val="center"/>
                    <w:rPr>
                      <w:rFonts w:eastAsia="宋体"/>
                      <w:sz w:val="21"/>
                      <w:szCs w:val="21"/>
                      <w:u w:val="none"/>
                    </w:rPr>
                  </w:pPr>
                  <w:r>
                    <w:rPr>
                      <w:rFonts w:eastAsia="宋体"/>
                      <w:sz w:val="21"/>
                      <w:szCs w:val="21"/>
                      <w:u w:val="none"/>
                    </w:rPr>
                    <w:t>0.183~0.197</w:t>
                  </w:r>
                </w:p>
              </w:tc>
              <w:tc>
                <w:tcPr>
                  <w:tcW w:w="610" w:type="pct"/>
                  <w:shd w:val="clear" w:color="auto" w:fill="auto"/>
                  <w:noWrap w:val="0"/>
                  <w:vAlign w:val="center"/>
                </w:tcPr>
                <w:p w14:paraId="3601B81A">
                  <w:pPr>
                    <w:jc w:val="center"/>
                    <w:rPr>
                      <w:rFonts w:eastAsia="宋体"/>
                      <w:sz w:val="21"/>
                      <w:szCs w:val="21"/>
                      <w:u w:val="none"/>
                    </w:rPr>
                  </w:pPr>
                  <w:r>
                    <w:rPr>
                      <w:rFonts w:eastAsia="宋体"/>
                      <w:sz w:val="21"/>
                      <w:szCs w:val="21"/>
                      <w:u w:val="none"/>
                    </w:rPr>
                    <w:t>120</w:t>
                  </w:r>
                </w:p>
              </w:tc>
              <w:tc>
                <w:tcPr>
                  <w:tcW w:w="569" w:type="pct"/>
                  <w:shd w:val="clear" w:color="auto" w:fill="auto"/>
                  <w:noWrap w:val="0"/>
                  <w:vAlign w:val="center"/>
                </w:tcPr>
                <w:p w14:paraId="7B32112A">
                  <w:pPr>
                    <w:jc w:val="center"/>
                    <w:rPr>
                      <w:rFonts w:hint="eastAsia" w:eastAsia="宋体"/>
                      <w:sz w:val="21"/>
                      <w:szCs w:val="21"/>
                      <w:u w:val="none"/>
                    </w:rPr>
                  </w:pPr>
                  <w:r>
                    <w:rPr>
                      <w:rFonts w:hint="eastAsia" w:eastAsia="宋体"/>
                      <w:sz w:val="21"/>
                      <w:szCs w:val="21"/>
                      <w:u w:val="none"/>
                    </w:rPr>
                    <w:t>3.98</w:t>
                  </w:r>
                </w:p>
              </w:tc>
              <w:tc>
                <w:tcPr>
                  <w:tcW w:w="567" w:type="pct"/>
                  <w:shd w:val="clear" w:color="auto" w:fill="auto"/>
                  <w:noWrap w:val="0"/>
                  <w:vAlign w:val="center"/>
                </w:tcPr>
                <w:p w14:paraId="66876C87">
                  <w:pPr>
                    <w:jc w:val="center"/>
                    <w:rPr>
                      <w:rFonts w:eastAsia="宋体"/>
                      <w:sz w:val="21"/>
                      <w:szCs w:val="21"/>
                      <w:u w:val="none"/>
                    </w:rPr>
                  </w:pPr>
                  <w:r>
                    <w:rPr>
                      <w:rFonts w:eastAsia="宋体"/>
                      <w:sz w:val="21"/>
                      <w:szCs w:val="21"/>
                      <w:u w:val="none"/>
                    </w:rPr>
                    <w:t>是</w:t>
                  </w:r>
                </w:p>
              </w:tc>
            </w:tr>
            <w:tr w14:paraId="60D2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0FC21678">
                  <w:pPr>
                    <w:jc w:val="center"/>
                    <w:rPr>
                      <w:rFonts w:eastAsia="宋体"/>
                      <w:sz w:val="21"/>
                      <w:szCs w:val="21"/>
                      <w:u w:val="none"/>
                    </w:rPr>
                  </w:pPr>
                  <w:r>
                    <w:rPr>
                      <w:rFonts w:hint="eastAsia" w:eastAsia="宋体"/>
                      <w:sz w:val="21"/>
                      <w:szCs w:val="21"/>
                      <w:u w:val="none"/>
                    </w:rPr>
                    <w:t>DA021</w:t>
                  </w:r>
                </w:p>
              </w:tc>
              <w:tc>
                <w:tcPr>
                  <w:tcW w:w="904" w:type="pct"/>
                  <w:vMerge w:val="restart"/>
                  <w:shd w:val="clear" w:color="auto" w:fill="auto"/>
                  <w:noWrap w:val="0"/>
                  <w:vAlign w:val="center"/>
                </w:tcPr>
                <w:p w14:paraId="48763A86">
                  <w:pPr>
                    <w:jc w:val="center"/>
                    <w:rPr>
                      <w:rFonts w:eastAsia="宋体"/>
                      <w:sz w:val="21"/>
                      <w:szCs w:val="21"/>
                      <w:u w:val="none"/>
                    </w:rPr>
                  </w:pPr>
                  <w:r>
                    <w:rPr>
                      <w:rFonts w:eastAsia="宋体"/>
                      <w:sz w:val="21"/>
                      <w:szCs w:val="21"/>
                      <w:u w:val="none"/>
                      <w:lang w:val="de-DE"/>
                    </w:rPr>
                    <w:t>变换加热炉</w:t>
                  </w:r>
                </w:p>
              </w:tc>
              <w:tc>
                <w:tcPr>
                  <w:tcW w:w="454" w:type="pct"/>
                  <w:shd w:val="clear" w:color="auto" w:fill="auto"/>
                  <w:noWrap w:val="0"/>
                  <w:vAlign w:val="center"/>
                </w:tcPr>
                <w:p w14:paraId="5C6A1702">
                  <w:pPr>
                    <w:jc w:val="center"/>
                    <w:rPr>
                      <w:rFonts w:eastAsia="宋体"/>
                      <w:sz w:val="21"/>
                      <w:szCs w:val="21"/>
                      <w:u w:val="none"/>
                    </w:rPr>
                  </w:pPr>
                  <w:r>
                    <w:rPr>
                      <w:rFonts w:eastAsia="宋体"/>
                      <w:sz w:val="21"/>
                      <w:szCs w:val="21"/>
                      <w:u w:val="none"/>
                      <w:lang w:val="de-DE"/>
                    </w:rPr>
                    <w:t>颗粒物</w:t>
                  </w:r>
                </w:p>
              </w:tc>
              <w:tc>
                <w:tcPr>
                  <w:tcW w:w="720" w:type="pct"/>
                  <w:shd w:val="clear" w:color="auto" w:fill="auto"/>
                  <w:noWrap w:val="0"/>
                  <w:vAlign w:val="center"/>
                </w:tcPr>
                <w:p w14:paraId="11C0A89C">
                  <w:pPr>
                    <w:jc w:val="center"/>
                    <w:rPr>
                      <w:rFonts w:eastAsia="宋体"/>
                      <w:sz w:val="21"/>
                      <w:szCs w:val="21"/>
                      <w:u w:val="none"/>
                    </w:rPr>
                  </w:pPr>
                  <w:r>
                    <w:rPr>
                      <w:rFonts w:hint="eastAsia" w:eastAsia="宋体"/>
                      <w:sz w:val="21"/>
                      <w:szCs w:val="21"/>
                      <w:u w:val="none"/>
                    </w:rPr>
                    <w:t>5.9~6.8</w:t>
                  </w:r>
                </w:p>
              </w:tc>
              <w:tc>
                <w:tcPr>
                  <w:tcW w:w="732" w:type="pct"/>
                  <w:shd w:val="clear" w:color="auto" w:fill="auto"/>
                  <w:noWrap w:val="0"/>
                  <w:vAlign w:val="center"/>
                </w:tcPr>
                <w:p w14:paraId="7270E216">
                  <w:pPr>
                    <w:jc w:val="center"/>
                    <w:rPr>
                      <w:rFonts w:eastAsia="宋体"/>
                      <w:sz w:val="21"/>
                      <w:szCs w:val="21"/>
                      <w:u w:val="none"/>
                    </w:rPr>
                  </w:pPr>
                  <w:r>
                    <w:rPr>
                      <w:rFonts w:hint="eastAsia" w:eastAsia="宋体"/>
                      <w:sz w:val="21"/>
                      <w:szCs w:val="21"/>
                      <w:u w:val="none"/>
                    </w:rPr>
                    <w:t>0.141~0.171</w:t>
                  </w:r>
                </w:p>
              </w:tc>
              <w:tc>
                <w:tcPr>
                  <w:tcW w:w="610" w:type="pct"/>
                  <w:shd w:val="clear" w:color="auto" w:fill="auto"/>
                  <w:noWrap w:val="0"/>
                  <w:vAlign w:val="center"/>
                </w:tcPr>
                <w:p w14:paraId="13FCA938">
                  <w:pPr>
                    <w:jc w:val="center"/>
                    <w:rPr>
                      <w:rFonts w:eastAsia="宋体"/>
                      <w:sz w:val="21"/>
                      <w:szCs w:val="21"/>
                      <w:u w:val="none"/>
                    </w:rPr>
                  </w:pPr>
                  <w:r>
                    <w:rPr>
                      <w:rFonts w:hint="eastAsia" w:eastAsia="宋体"/>
                      <w:sz w:val="21"/>
                      <w:szCs w:val="21"/>
                      <w:u w:val="none"/>
                    </w:rPr>
                    <w:t>20</w:t>
                  </w:r>
                </w:p>
              </w:tc>
              <w:tc>
                <w:tcPr>
                  <w:tcW w:w="569" w:type="pct"/>
                  <w:shd w:val="clear" w:color="auto" w:fill="auto"/>
                  <w:noWrap w:val="0"/>
                  <w:vAlign w:val="center"/>
                </w:tcPr>
                <w:p w14:paraId="53747552">
                  <w:pPr>
                    <w:jc w:val="center"/>
                    <w:rPr>
                      <w:rFonts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32CD9A2A">
                  <w:pPr>
                    <w:jc w:val="center"/>
                    <w:rPr>
                      <w:rFonts w:eastAsia="宋体"/>
                      <w:sz w:val="21"/>
                      <w:szCs w:val="21"/>
                      <w:u w:val="none"/>
                    </w:rPr>
                  </w:pPr>
                  <w:r>
                    <w:rPr>
                      <w:rFonts w:eastAsia="宋体"/>
                      <w:sz w:val="21"/>
                      <w:szCs w:val="21"/>
                      <w:u w:val="none"/>
                    </w:rPr>
                    <w:t>是</w:t>
                  </w:r>
                </w:p>
              </w:tc>
            </w:tr>
            <w:tr w14:paraId="1BDC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3615E67E">
                  <w:pPr>
                    <w:jc w:val="center"/>
                    <w:rPr>
                      <w:rFonts w:hint="eastAsia" w:eastAsia="宋体"/>
                      <w:sz w:val="21"/>
                      <w:szCs w:val="21"/>
                      <w:u w:val="none"/>
                    </w:rPr>
                  </w:pPr>
                </w:p>
              </w:tc>
              <w:tc>
                <w:tcPr>
                  <w:tcW w:w="904" w:type="pct"/>
                  <w:vMerge w:val="continue"/>
                  <w:shd w:val="clear" w:color="auto" w:fill="auto"/>
                  <w:noWrap w:val="0"/>
                  <w:vAlign w:val="center"/>
                </w:tcPr>
                <w:p w14:paraId="6EF7EE33">
                  <w:pPr>
                    <w:jc w:val="center"/>
                    <w:rPr>
                      <w:rFonts w:eastAsia="宋体"/>
                      <w:sz w:val="21"/>
                      <w:szCs w:val="21"/>
                      <w:u w:val="none"/>
                      <w:lang w:val="de-DE"/>
                    </w:rPr>
                  </w:pPr>
                </w:p>
              </w:tc>
              <w:tc>
                <w:tcPr>
                  <w:tcW w:w="454" w:type="pct"/>
                  <w:shd w:val="clear" w:color="auto" w:fill="auto"/>
                  <w:noWrap w:val="0"/>
                  <w:vAlign w:val="center"/>
                </w:tcPr>
                <w:p w14:paraId="3787D507">
                  <w:pPr>
                    <w:jc w:val="center"/>
                    <w:rPr>
                      <w:rFonts w:eastAsia="宋体"/>
                      <w:sz w:val="21"/>
                      <w:szCs w:val="21"/>
                      <w:u w:val="none"/>
                    </w:rPr>
                  </w:pPr>
                  <w:r>
                    <w:rPr>
                      <w:rFonts w:eastAsia="宋体"/>
                      <w:sz w:val="21"/>
                      <w:szCs w:val="21"/>
                      <w:u w:val="none"/>
                    </w:rPr>
                    <w:t>二氧化硫</w:t>
                  </w:r>
                </w:p>
              </w:tc>
              <w:tc>
                <w:tcPr>
                  <w:tcW w:w="720" w:type="pct"/>
                  <w:shd w:val="clear" w:color="auto" w:fill="auto"/>
                  <w:noWrap w:val="0"/>
                  <w:vAlign w:val="center"/>
                </w:tcPr>
                <w:p w14:paraId="25A0A4AA">
                  <w:pPr>
                    <w:jc w:val="center"/>
                    <w:rPr>
                      <w:rFonts w:eastAsia="宋体"/>
                      <w:sz w:val="21"/>
                      <w:szCs w:val="21"/>
                      <w:u w:val="none"/>
                    </w:rPr>
                  </w:pPr>
                  <w:r>
                    <w:rPr>
                      <w:rFonts w:hint="eastAsia" w:eastAsia="宋体"/>
                      <w:sz w:val="21"/>
                      <w:szCs w:val="21"/>
                      <w:u w:val="none"/>
                    </w:rPr>
                    <w:t>86~97</w:t>
                  </w:r>
                </w:p>
              </w:tc>
              <w:tc>
                <w:tcPr>
                  <w:tcW w:w="732" w:type="pct"/>
                  <w:shd w:val="clear" w:color="auto" w:fill="auto"/>
                  <w:noWrap w:val="0"/>
                  <w:vAlign w:val="center"/>
                </w:tcPr>
                <w:p w14:paraId="6E383A29">
                  <w:pPr>
                    <w:jc w:val="center"/>
                    <w:rPr>
                      <w:rFonts w:eastAsia="宋体"/>
                      <w:sz w:val="21"/>
                      <w:szCs w:val="21"/>
                      <w:u w:val="none"/>
                    </w:rPr>
                  </w:pPr>
                  <w:r>
                    <w:rPr>
                      <w:rFonts w:hint="eastAsia" w:eastAsia="宋体"/>
                      <w:sz w:val="21"/>
                      <w:szCs w:val="21"/>
                      <w:u w:val="none"/>
                    </w:rPr>
                    <w:t>2.04~2.44</w:t>
                  </w:r>
                </w:p>
              </w:tc>
              <w:tc>
                <w:tcPr>
                  <w:tcW w:w="610" w:type="pct"/>
                  <w:shd w:val="clear" w:color="auto" w:fill="auto"/>
                  <w:noWrap w:val="0"/>
                  <w:vAlign w:val="center"/>
                </w:tcPr>
                <w:p w14:paraId="64538094">
                  <w:pPr>
                    <w:jc w:val="center"/>
                    <w:rPr>
                      <w:rFonts w:eastAsia="宋体"/>
                      <w:sz w:val="21"/>
                      <w:szCs w:val="21"/>
                      <w:u w:val="none"/>
                    </w:rPr>
                  </w:pPr>
                  <w:r>
                    <w:rPr>
                      <w:rFonts w:hint="eastAsia" w:eastAsia="宋体"/>
                      <w:sz w:val="21"/>
                      <w:szCs w:val="21"/>
                      <w:u w:val="none"/>
                    </w:rPr>
                    <w:t>100</w:t>
                  </w:r>
                </w:p>
              </w:tc>
              <w:tc>
                <w:tcPr>
                  <w:tcW w:w="569" w:type="pct"/>
                  <w:shd w:val="clear" w:color="auto" w:fill="auto"/>
                  <w:noWrap w:val="0"/>
                  <w:vAlign w:val="center"/>
                </w:tcPr>
                <w:p w14:paraId="3869CAC2">
                  <w:pPr>
                    <w:jc w:val="center"/>
                    <w:rPr>
                      <w:rFonts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00F79135">
                  <w:pPr>
                    <w:jc w:val="center"/>
                    <w:rPr>
                      <w:rFonts w:eastAsia="宋体"/>
                      <w:sz w:val="21"/>
                      <w:szCs w:val="21"/>
                      <w:u w:val="none"/>
                    </w:rPr>
                  </w:pPr>
                  <w:r>
                    <w:rPr>
                      <w:rFonts w:eastAsia="宋体"/>
                      <w:sz w:val="21"/>
                      <w:szCs w:val="21"/>
                      <w:u w:val="none"/>
                    </w:rPr>
                    <w:t>是</w:t>
                  </w:r>
                </w:p>
              </w:tc>
            </w:tr>
            <w:tr w14:paraId="529A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tcBorders>
                    <w:bottom w:val="single" w:color="auto" w:sz="4" w:space="0"/>
                  </w:tcBorders>
                  <w:shd w:val="clear" w:color="auto" w:fill="auto"/>
                  <w:noWrap w:val="0"/>
                  <w:vAlign w:val="center"/>
                </w:tcPr>
                <w:p w14:paraId="47E6D286">
                  <w:pPr>
                    <w:jc w:val="center"/>
                    <w:rPr>
                      <w:rFonts w:hint="eastAsia" w:eastAsia="宋体"/>
                      <w:sz w:val="21"/>
                      <w:szCs w:val="21"/>
                      <w:u w:val="none"/>
                    </w:rPr>
                  </w:pPr>
                </w:p>
              </w:tc>
              <w:tc>
                <w:tcPr>
                  <w:tcW w:w="904" w:type="pct"/>
                  <w:vMerge w:val="continue"/>
                  <w:tcBorders>
                    <w:bottom w:val="single" w:color="auto" w:sz="4" w:space="0"/>
                  </w:tcBorders>
                  <w:shd w:val="clear" w:color="auto" w:fill="auto"/>
                  <w:noWrap w:val="0"/>
                  <w:vAlign w:val="center"/>
                </w:tcPr>
                <w:p w14:paraId="533D4884">
                  <w:pPr>
                    <w:jc w:val="center"/>
                    <w:rPr>
                      <w:rFonts w:eastAsia="宋体"/>
                      <w:sz w:val="21"/>
                      <w:szCs w:val="21"/>
                      <w:u w:val="none"/>
                      <w:lang w:val="de-DE"/>
                    </w:rPr>
                  </w:pPr>
                </w:p>
              </w:tc>
              <w:tc>
                <w:tcPr>
                  <w:tcW w:w="454" w:type="pct"/>
                  <w:tcBorders>
                    <w:bottom w:val="single" w:color="auto" w:sz="4" w:space="0"/>
                  </w:tcBorders>
                  <w:shd w:val="clear" w:color="auto" w:fill="auto"/>
                  <w:noWrap w:val="0"/>
                  <w:vAlign w:val="center"/>
                </w:tcPr>
                <w:p w14:paraId="6AC1AA5E">
                  <w:pPr>
                    <w:jc w:val="center"/>
                    <w:rPr>
                      <w:rFonts w:eastAsia="宋体"/>
                      <w:sz w:val="21"/>
                      <w:szCs w:val="21"/>
                      <w:u w:val="none"/>
                    </w:rPr>
                  </w:pPr>
                  <w:r>
                    <w:rPr>
                      <w:rFonts w:eastAsia="宋体"/>
                      <w:sz w:val="21"/>
                      <w:szCs w:val="21"/>
                      <w:u w:val="none"/>
                    </w:rPr>
                    <w:t>氮氧化物</w:t>
                  </w:r>
                </w:p>
              </w:tc>
              <w:tc>
                <w:tcPr>
                  <w:tcW w:w="720" w:type="pct"/>
                  <w:tcBorders>
                    <w:bottom w:val="single" w:color="auto" w:sz="4" w:space="0"/>
                  </w:tcBorders>
                  <w:shd w:val="clear" w:color="auto" w:fill="auto"/>
                  <w:noWrap w:val="0"/>
                  <w:vAlign w:val="center"/>
                </w:tcPr>
                <w:p w14:paraId="3C8ED227">
                  <w:pPr>
                    <w:jc w:val="center"/>
                    <w:rPr>
                      <w:rFonts w:eastAsia="宋体"/>
                      <w:sz w:val="21"/>
                      <w:szCs w:val="21"/>
                      <w:u w:val="none"/>
                    </w:rPr>
                  </w:pPr>
                  <w:r>
                    <w:rPr>
                      <w:rFonts w:hint="eastAsia" w:eastAsia="宋体"/>
                      <w:sz w:val="21"/>
                      <w:szCs w:val="21"/>
                      <w:u w:val="none"/>
                    </w:rPr>
                    <w:t>65~71</w:t>
                  </w:r>
                </w:p>
              </w:tc>
              <w:tc>
                <w:tcPr>
                  <w:tcW w:w="732" w:type="pct"/>
                  <w:tcBorders>
                    <w:bottom w:val="single" w:color="auto" w:sz="4" w:space="0"/>
                  </w:tcBorders>
                  <w:shd w:val="clear" w:color="auto" w:fill="auto"/>
                  <w:noWrap w:val="0"/>
                  <w:vAlign w:val="center"/>
                </w:tcPr>
                <w:p w14:paraId="28F91FFB">
                  <w:pPr>
                    <w:jc w:val="center"/>
                    <w:rPr>
                      <w:rFonts w:eastAsia="宋体"/>
                      <w:sz w:val="21"/>
                      <w:szCs w:val="21"/>
                      <w:u w:val="none"/>
                    </w:rPr>
                  </w:pPr>
                  <w:r>
                    <w:rPr>
                      <w:rFonts w:hint="eastAsia" w:eastAsia="宋体"/>
                      <w:sz w:val="21"/>
                      <w:szCs w:val="21"/>
                      <w:u w:val="none"/>
                    </w:rPr>
                    <w:t>1.59~1.77</w:t>
                  </w:r>
                </w:p>
              </w:tc>
              <w:tc>
                <w:tcPr>
                  <w:tcW w:w="610" w:type="pct"/>
                  <w:tcBorders>
                    <w:bottom w:val="single" w:color="auto" w:sz="4" w:space="0"/>
                  </w:tcBorders>
                  <w:shd w:val="clear" w:color="auto" w:fill="auto"/>
                  <w:noWrap w:val="0"/>
                  <w:vAlign w:val="center"/>
                </w:tcPr>
                <w:p w14:paraId="071C7079">
                  <w:pPr>
                    <w:jc w:val="center"/>
                    <w:rPr>
                      <w:rFonts w:eastAsia="宋体"/>
                      <w:sz w:val="21"/>
                      <w:szCs w:val="21"/>
                      <w:u w:val="none"/>
                    </w:rPr>
                  </w:pPr>
                  <w:r>
                    <w:rPr>
                      <w:rFonts w:hint="eastAsia" w:eastAsia="宋体"/>
                      <w:sz w:val="21"/>
                      <w:szCs w:val="21"/>
                      <w:u w:val="none"/>
                    </w:rPr>
                    <w:t>150</w:t>
                  </w:r>
                </w:p>
              </w:tc>
              <w:tc>
                <w:tcPr>
                  <w:tcW w:w="569" w:type="pct"/>
                  <w:tcBorders>
                    <w:bottom w:val="single" w:color="auto" w:sz="4" w:space="0"/>
                  </w:tcBorders>
                  <w:shd w:val="clear" w:color="auto" w:fill="auto"/>
                  <w:noWrap w:val="0"/>
                  <w:vAlign w:val="center"/>
                </w:tcPr>
                <w:p w14:paraId="3F1F007A">
                  <w:pPr>
                    <w:jc w:val="center"/>
                    <w:rPr>
                      <w:rFonts w:eastAsia="宋体"/>
                      <w:sz w:val="21"/>
                      <w:szCs w:val="21"/>
                      <w:u w:val="none"/>
                    </w:rPr>
                  </w:pPr>
                  <w:r>
                    <w:rPr>
                      <w:rFonts w:hint="eastAsia" w:eastAsia="宋体"/>
                      <w:sz w:val="21"/>
                      <w:szCs w:val="21"/>
                      <w:u w:val="none"/>
                    </w:rPr>
                    <w:t>/</w:t>
                  </w:r>
                </w:p>
              </w:tc>
              <w:tc>
                <w:tcPr>
                  <w:tcW w:w="567" w:type="pct"/>
                  <w:tcBorders>
                    <w:bottom w:val="single" w:color="auto" w:sz="4" w:space="0"/>
                  </w:tcBorders>
                  <w:shd w:val="clear" w:color="auto" w:fill="auto"/>
                  <w:noWrap w:val="0"/>
                  <w:vAlign w:val="center"/>
                </w:tcPr>
                <w:p w14:paraId="6F410525">
                  <w:pPr>
                    <w:jc w:val="center"/>
                    <w:rPr>
                      <w:rFonts w:eastAsia="宋体"/>
                      <w:sz w:val="21"/>
                      <w:szCs w:val="21"/>
                      <w:u w:val="none"/>
                    </w:rPr>
                  </w:pPr>
                  <w:r>
                    <w:rPr>
                      <w:rFonts w:eastAsia="宋体"/>
                      <w:sz w:val="21"/>
                      <w:szCs w:val="21"/>
                      <w:u w:val="none"/>
                    </w:rPr>
                    <w:t>是</w:t>
                  </w:r>
                </w:p>
              </w:tc>
            </w:tr>
            <w:tr w14:paraId="76F4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57506936">
                  <w:pPr>
                    <w:jc w:val="center"/>
                    <w:rPr>
                      <w:rFonts w:eastAsia="宋体"/>
                      <w:sz w:val="21"/>
                      <w:szCs w:val="21"/>
                      <w:u w:val="none"/>
                    </w:rPr>
                  </w:pPr>
                  <w:r>
                    <w:rPr>
                      <w:rFonts w:hint="eastAsia" w:eastAsia="宋体"/>
                      <w:sz w:val="21"/>
                      <w:szCs w:val="21"/>
                      <w:u w:val="none"/>
                    </w:rPr>
                    <w:t>DA040</w:t>
                  </w:r>
                </w:p>
              </w:tc>
              <w:tc>
                <w:tcPr>
                  <w:tcW w:w="904" w:type="pct"/>
                  <w:vMerge w:val="restart"/>
                  <w:shd w:val="clear" w:color="auto" w:fill="auto"/>
                  <w:noWrap w:val="0"/>
                  <w:vAlign w:val="center"/>
                </w:tcPr>
                <w:p w14:paraId="51B63DE5">
                  <w:pPr>
                    <w:jc w:val="center"/>
                    <w:rPr>
                      <w:rFonts w:eastAsia="宋体"/>
                      <w:sz w:val="21"/>
                      <w:szCs w:val="21"/>
                      <w:u w:val="none"/>
                      <w:lang w:val="de-DE"/>
                    </w:rPr>
                  </w:pPr>
                  <w:r>
                    <w:rPr>
                      <w:rFonts w:eastAsia="宋体"/>
                      <w:sz w:val="21"/>
                      <w:szCs w:val="21"/>
                      <w:u w:val="none"/>
                    </w:rPr>
                    <w:t>甲醇1#装置加热炉</w:t>
                  </w:r>
                </w:p>
              </w:tc>
              <w:tc>
                <w:tcPr>
                  <w:tcW w:w="454" w:type="pct"/>
                  <w:shd w:val="clear" w:color="auto" w:fill="auto"/>
                  <w:noWrap w:val="0"/>
                  <w:vAlign w:val="center"/>
                </w:tcPr>
                <w:p w14:paraId="329E159A">
                  <w:pPr>
                    <w:jc w:val="center"/>
                    <w:rPr>
                      <w:rFonts w:eastAsia="宋体"/>
                      <w:sz w:val="21"/>
                      <w:szCs w:val="21"/>
                      <w:u w:val="none"/>
                    </w:rPr>
                  </w:pPr>
                  <w:r>
                    <w:rPr>
                      <w:rFonts w:eastAsia="宋体"/>
                      <w:sz w:val="21"/>
                      <w:szCs w:val="21"/>
                      <w:u w:val="none"/>
                      <w:lang w:val="de-DE"/>
                    </w:rPr>
                    <w:t>颗粒物</w:t>
                  </w:r>
                </w:p>
              </w:tc>
              <w:tc>
                <w:tcPr>
                  <w:tcW w:w="720" w:type="pct"/>
                  <w:shd w:val="clear" w:color="auto" w:fill="auto"/>
                  <w:noWrap w:val="0"/>
                  <w:vAlign w:val="center"/>
                </w:tcPr>
                <w:p w14:paraId="3B28C6F0">
                  <w:pPr>
                    <w:jc w:val="center"/>
                    <w:rPr>
                      <w:rFonts w:eastAsia="宋体"/>
                      <w:sz w:val="21"/>
                      <w:szCs w:val="21"/>
                      <w:u w:val="none"/>
                    </w:rPr>
                  </w:pPr>
                  <w:r>
                    <w:rPr>
                      <w:rFonts w:hint="eastAsia" w:eastAsia="宋体"/>
                      <w:sz w:val="21"/>
                      <w:szCs w:val="21"/>
                      <w:u w:val="none"/>
                    </w:rPr>
                    <w:t>4.8~6.9</w:t>
                  </w:r>
                </w:p>
              </w:tc>
              <w:tc>
                <w:tcPr>
                  <w:tcW w:w="732" w:type="pct"/>
                  <w:shd w:val="clear" w:color="auto" w:fill="auto"/>
                  <w:noWrap w:val="0"/>
                  <w:vAlign w:val="center"/>
                </w:tcPr>
                <w:p w14:paraId="02BAFB23">
                  <w:pPr>
                    <w:jc w:val="center"/>
                    <w:rPr>
                      <w:rFonts w:eastAsia="宋体"/>
                      <w:sz w:val="21"/>
                      <w:szCs w:val="21"/>
                      <w:u w:val="none"/>
                    </w:rPr>
                  </w:pPr>
                  <w:r>
                    <w:rPr>
                      <w:rFonts w:hint="eastAsia" w:eastAsia="宋体"/>
                      <w:sz w:val="21"/>
                      <w:szCs w:val="21"/>
                      <w:u w:val="none"/>
                    </w:rPr>
                    <w:t>0.086~0.121</w:t>
                  </w:r>
                </w:p>
              </w:tc>
              <w:tc>
                <w:tcPr>
                  <w:tcW w:w="610" w:type="pct"/>
                  <w:shd w:val="clear" w:color="auto" w:fill="auto"/>
                  <w:noWrap w:val="0"/>
                  <w:vAlign w:val="center"/>
                </w:tcPr>
                <w:p w14:paraId="557C5D57">
                  <w:pPr>
                    <w:jc w:val="center"/>
                    <w:rPr>
                      <w:rFonts w:hint="eastAsia" w:eastAsia="宋体"/>
                      <w:sz w:val="21"/>
                      <w:szCs w:val="21"/>
                      <w:u w:val="none"/>
                    </w:rPr>
                  </w:pPr>
                  <w:r>
                    <w:rPr>
                      <w:rFonts w:hint="eastAsia" w:eastAsia="宋体"/>
                      <w:sz w:val="21"/>
                      <w:szCs w:val="21"/>
                      <w:u w:val="none"/>
                    </w:rPr>
                    <w:t>20</w:t>
                  </w:r>
                </w:p>
              </w:tc>
              <w:tc>
                <w:tcPr>
                  <w:tcW w:w="569" w:type="pct"/>
                  <w:shd w:val="clear" w:color="auto" w:fill="auto"/>
                  <w:noWrap w:val="0"/>
                  <w:vAlign w:val="center"/>
                </w:tcPr>
                <w:p w14:paraId="1BC14C8E">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56CA52DF">
                  <w:pPr>
                    <w:jc w:val="center"/>
                    <w:rPr>
                      <w:rFonts w:eastAsia="宋体"/>
                      <w:sz w:val="21"/>
                      <w:szCs w:val="21"/>
                      <w:u w:val="none"/>
                    </w:rPr>
                  </w:pPr>
                  <w:r>
                    <w:rPr>
                      <w:rFonts w:eastAsia="宋体"/>
                      <w:sz w:val="21"/>
                      <w:szCs w:val="21"/>
                      <w:u w:val="none"/>
                    </w:rPr>
                    <w:t>是</w:t>
                  </w:r>
                </w:p>
              </w:tc>
            </w:tr>
            <w:tr w14:paraId="28A0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3038271">
                  <w:pPr>
                    <w:jc w:val="center"/>
                    <w:rPr>
                      <w:rFonts w:hint="eastAsia" w:eastAsia="宋体"/>
                      <w:sz w:val="21"/>
                      <w:szCs w:val="21"/>
                      <w:u w:val="none"/>
                    </w:rPr>
                  </w:pPr>
                </w:p>
              </w:tc>
              <w:tc>
                <w:tcPr>
                  <w:tcW w:w="904" w:type="pct"/>
                  <w:vMerge w:val="continue"/>
                  <w:shd w:val="clear" w:color="auto" w:fill="auto"/>
                  <w:noWrap w:val="0"/>
                  <w:vAlign w:val="center"/>
                </w:tcPr>
                <w:p w14:paraId="1982A834">
                  <w:pPr>
                    <w:jc w:val="center"/>
                    <w:rPr>
                      <w:rFonts w:eastAsia="宋体"/>
                      <w:sz w:val="21"/>
                      <w:szCs w:val="21"/>
                      <w:u w:val="none"/>
                      <w:lang w:val="de-DE"/>
                    </w:rPr>
                  </w:pPr>
                </w:p>
              </w:tc>
              <w:tc>
                <w:tcPr>
                  <w:tcW w:w="454" w:type="pct"/>
                  <w:shd w:val="clear" w:color="auto" w:fill="auto"/>
                  <w:noWrap w:val="0"/>
                  <w:vAlign w:val="center"/>
                </w:tcPr>
                <w:p w14:paraId="66422303">
                  <w:pPr>
                    <w:jc w:val="center"/>
                    <w:rPr>
                      <w:rFonts w:eastAsia="宋体"/>
                      <w:sz w:val="21"/>
                      <w:szCs w:val="21"/>
                      <w:u w:val="none"/>
                    </w:rPr>
                  </w:pPr>
                  <w:r>
                    <w:rPr>
                      <w:rFonts w:eastAsia="宋体"/>
                      <w:sz w:val="21"/>
                      <w:szCs w:val="21"/>
                      <w:u w:val="none"/>
                    </w:rPr>
                    <w:t>二氧化硫</w:t>
                  </w:r>
                </w:p>
              </w:tc>
              <w:tc>
                <w:tcPr>
                  <w:tcW w:w="720" w:type="pct"/>
                  <w:shd w:val="clear" w:color="auto" w:fill="auto"/>
                  <w:noWrap w:val="0"/>
                  <w:vAlign w:val="center"/>
                </w:tcPr>
                <w:p w14:paraId="41FF2F42">
                  <w:pPr>
                    <w:jc w:val="center"/>
                    <w:rPr>
                      <w:rFonts w:eastAsia="宋体"/>
                      <w:sz w:val="21"/>
                      <w:szCs w:val="21"/>
                      <w:u w:val="none"/>
                    </w:rPr>
                  </w:pPr>
                  <w:r>
                    <w:rPr>
                      <w:rFonts w:hint="eastAsia" w:eastAsia="宋体"/>
                      <w:sz w:val="21"/>
                      <w:szCs w:val="21"/>
                      <w:u w:val="none"/>
                    </w:rPr>
                    <w:t>21~27</w:t>
                  </w:r>
                </w:p>
              </w:tc>
              <w:tc>
                <w:tcPr>
                  <w:tcW w:w="732" w:type="pct"/>
                  <w:shd w:val="clear" w:color="auto" w:fill="auto"/>
                  <w:noWrap w:val="0"/>
                  <w:vAlign w:val="center"/>
                </w:tcPr>
                <w:p w14:paraId="13756AE5">
                  <w:pPr>
                    <w:jc w:val="center"/>
                    <w:rPr>
                      <w:rFonts w:eastAsia="宋体"/>
                      <w:sz w:val="21"/>
                      <w:szCs w:val="21"/>
                      <w:u w:val="none"/>
                    </w:rPr>
                  </w:pPr>
                  <w:r>
                    <w:rPr>
                      <w:rFonts w:hint="eastAsia" w:eastAsia="宋体"/>
                      <w:sz w:val="21"/>
                      <w:szCs w:val="21"/>
                      <w:u w:val="none"/>
                    </w:rPr>
                    <w:t>0.375~0.465</w:t>
                  </w:r>
                </w:p>
              </w:tc>
              <w:tc>
                <w:tcPr>
                  <w:tcW w:w="610" w:type="pct"/>
                  <w:shd w:val="clear" w:color="auto" w:fill="auto"/>
                  <w:noWrap w:val="0"/>
                  <w:vAlign w:val="center"/>
                </w:tcPr>
                <w:p w14:paraId="37906DB4">
                  <w:pPr>
                    <w:jc w:val="center"/>
                    <w:rPr>
                      <w:rFonts w:hint="eastAsia" w:eastAsia="宋体"/>
                      <w:sz w:val="21"/>
                      <w:szCs w:val="21"/>
                      <w:u w:val="none"/>
                    </w:rPr>
                  </w:pPr>
                  <w:r>
                    <w:rPr>
                      <w:rFonts w:hint="eastAsia" w:eastAsia="宋体"/>
                      <w:sz w:val="21"/>
                      <w:szCs w:val="21"/>
                      <w:u w:val="none"/>
                    </w:rPr>
                    <w:t>100</w:t>
                  </w:r>
                </w:p>
              </w:tc>
              <w:tc>
                <w:tcPr>
                  <w:tcW w:w="569" w:type="pct"/>
                  <w:shd w:val="clear" w:color="auto" w:fill="auto"/>
                  <w:noWrap w:val="0"/>
                  <w:vAlign w:val="center"/>
                </w:tcPr>
                <w:p w14:paraId="5B8CBA94">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55E9F8A8">
                  <w:pPr>
                    <w:jc w:val="center"/>
                    <w:rPr>
                      <w:rFonts w:eastAsia="宋体"/>
                      <w:sz w:val="21"/>
                      <w:szCs w:val="21"/>
                      <w:u w:val="none"/>
                    </w:rPr>
                  </w:pPr>
                  <w:r>
                    <w:rPr>
                      <w:rFonts w:eastAsia="宋体"/>
                      <w:sz w:val="21"/>
                      <w:szCs w:val="21"/>
                      <w:u w:val="none"/>
                    </w:rPr>
                    <w:t>是</w:t>
                  </w:r>
                </w:p>
              </w:tc>
            </w:tr>
            <w:tr w14:paraId="1520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6AB79619">
                  <w:pPr>
                    <w:jc w:val="center"/>
                    <w:rPr>
                      <w:rFonts w:hint="eastAsia" w:eastAsia="宋体"/>
                      <w:sz w:val="21"/>
                      <w:szCs w:val="21"/>
                      <w:u w:val="none"/>
                    </w:rPr>
                  </w:pPr>
                </w:p>
              </w:tc>
              <w:tc>
                <w:tcPr>
                  <w:tcW w:w="904" w:type="pct"/>
                  <w:vMerge w:val="continue"/>
                  <w:shd w:val="clear" w:color="auto" w:fill="auto"/>
                  <w:noWrap w:val="0"/>
                  <w:vAlign w:val="center"/>
                </w:tcPr>
                <w:p w14:paraId="48FE37EF">
                  <w:pPr>
                    <w:jc w:val="center"/>
                    <w:rPr>
                      <w:rFonts w:eastAsia="宋体"/>
                      <w:sz w:val="21"/>
                      <w:szCs w:val="21"/>
                      <w:u w:val="none"/>
                      <w:lang w:val="de-DE"/>
                    </w:rPr>
                  </w:pPr>
                </w:p>
              </w:tc>
              <w:tc>
                <w:tcPr>
                  <w:tcW w:w="454" w:type="pct"/>
                  <w:shd w:val="clear" w:color="auto" w:fill="auto"/>
                  <w:noWrap w:val="0"/>
                  <w:vAlign w:val="center"/>
                </w:tcPr>
                <w:p w14:paraId="77A2C89B">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74166420">
                  <w:pPr>
                    <w:jc w:val="center"/>
                    <w:rPr>
                      <w:rFonts w:eastAsia="宋体"/>
                      <w:sz w:val="21"/>
                      <w:szCs w:val="21"/>
                      <w:u w:val="none"/>
                    </w:rPr>
                  </w:pPr>
                  <w:r>
                    <w:rPr>
                      <w:rFonts w:hint="eastAsia" w:eastAsia="宋体"/>
                      <w:sz w:val="21"/>
                      <w:szCs w:val="21"/>
                      <w:u w:val="none"/>
                    </w:rPr>
                    <w:t>20~27</w:t>
                  </w:r>
                </w:p>
              </w:tc>
              <w:tc>
                <w:tcPr>
                  <w:tcW w:w="732" w:type="pct"/>
                  <w:shd w:val="clear" w:color="auto" w:fill="auto"/>
                  <w:noWrap w:val="0"/>
                  <w:vAlign w:val="center"/>
                </w:tcPr>
                <w:p w14:paraId="04EDCA11">
                  <w:pPr>
                    <w:jc w:val="center"/>
                    <w:rPr>
                      <w:rFonts w:eastAsia="宋体"/>
                      <w:sz w:val="21"/>
                      <w:szCs w:val="21"/>
                      <w:u w:val="none"/>
                    </w:rPr>
                  </w:pPr>
                  <w:r>
                    <w:rPr>
                      <w:rFonts w:hint="eastAsia" w:eastAsia="宋体"/>
                      <w:sz w:val="21"/>
                      <w:szCs w:val="21"/>
                      <w:u w:val="none"/>
                    </w:rPr>
                    <w:t>0.348~0.465</w:t>
                  </w:r>
                </w:p>
              </w:tc>
              <w:tc>
                <w:tcPr>
                  <w:tcW w:w="610" w:type="pct"/>
                  <w:shd w:val="clear" w:color="auto" w:fill="auto"/>
                  <w:noWrap w:val="0"/>
                  <w:vAlign w:val="center"/>
                </w:tcPr>
                <w:p w14:paraId="721263D0">
                  <w:pPr>
                    <w:jc w:val="center"/>
                    <w:rPr>
                      <w:rFonts w:hint="eastAsia" w:eastAsia="宋体"/>
                      <w:sz w:val="21"/>
                      <w:szCs w:val="21"/>
                      <w:u w:val="none"/>
                    </w:rPr>
                  </w:pPr>
                  <w:r>
                    <w:rPr>
                      <w:rFonts w:hint="eastAsia" w:eastAsia="宋体"/>
                      <w:sz w:val="21"/>
                      <w:szCs w:val="21"/>
                      <w:u w:val="none"/>
                    </w:rPr>
                    <w:t>150</w:t>
                  </w:r>
                </w:p>
              </w:tc>
              <w:tc>
                <w:tcPr>
                  <w:tcW w:w="569" w:type="pct"/>
                  <w:shd w:val="clear" w:color="auto" w:fill="auto"/>
                  <w:noWrap w:val="0"/>
                  <w:vAlign w:val="center"/>
                </w:tcPr>
                <w:p w14:paraId="185523AF">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567BB7C5">
                  <w:pPr>
                    <w:jc w:val="center"/>
                    <w:rPr>
                      <w:rFonts w:eastAsia="宋体"/>
                      <w:sz w:val="21"/>
                      <w:szCs w:val="21"/>
                      <w:u w:val="none"/>
                    </w:rPr>
                  </w:pPr>
                  <w:r>
                    <w:rPr>
                      <w:rFonts w:eastAsia="宋体"/>
                      <w:sz w:val="21"/>
                      <w:szCs w:val="21"/>
                      <w:u w:val="none"/>
                    </w:rPr>
                    <w:t>是</w:t>
                  </w:r>
                </w:p>
              </w:tc>
            </w:tr>
            <w:tr w14:paraId="4E3B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4E17BBEA">
                  <w:pPr>
                    <w:jc w:val="center"/>
                    <w:rPr>
                      <w:rFonts w:hint="eastAsia" w:eastAsia="宋体"/>
                      <w:sz w:val="21"/>
                      <w:szCs w:val="21"/>
                      <w:u w:val="none"/>
                    </w:rPr>
                  </w:pPr>
                  <w:r>
                    <w:rPr>
                      <w:rFonts w:hint="eastAsia" w:eastAsia="宋体"/>
                      <w:sz w:val="21"/>
                      <w:szCs w:val="21"/>
                      <w:u w:val="none"/>
                    </w:rPr>
                    <w:t>DA043</w:t>
                  </w:r>
                </w:p>
              </w:tc>
              <w:tc>
                <w:tcPr>
                  <w:tcW w:w="904" w:type="pct"/>
                  <w:vMerge w:val="restart"/>
                  <w:shd w:val="clear" w:color="auto" w:fill="auto"/>
                  <w:noWrap w:val="0"/>
                  <w:vAlign w:val="center"/>
                </w:tcPr>
                <w:p w14:paraId="7DE32383">
                  <w:pPr>
                    <w:jc w:val="center"/>
                    <w:rPr>
                      <w:rFonts w:eastAsia="宋体"/>
                      <w:sz w:val="21"/>
                      <w:szCs w:val="21"/>
                      <w:u w:val="none"/>
                      <w:lang w:val="de-DE"/>
                    </w:rPr>
                  </w:pPr>
                  <w:r>
                    <w:rPr>
                      <w:rFonts w:eastAsia="宋体"/>
                      <w:sz w:val="21"/>
                      <w:szCs w:val="21"/>
                      <w:u w:val="none"/>
                    </w:rPr>
                    <w:t>甲醇</w:t>
                  </w:r>
                  <w:r>
                    <w:rPr>
                      <w:rFonts w:hint="eastAsia" w:eastAsia="宋体"/>
                      <w:sz w:val="21"/>
                      <w:szCs w:val="21"/>
                      <w:u w:val="none"/>
                    </w:rPr>
                    <w:t>2</w:t>
                  </w:r>
                  <w:r>
                    <w:rPr>
                      <w:rFonts w:eastAsia="宋体"/>
                      <w:sz w:val="21"/>
                      <w:szCs w:val="21"/>
                      <w:u w:val="none"/>
                    </w:rPr>
                    <w:t>#装置加热炉</w:t>
                  </w:r>
                </w:p>
              </w:tc>
              <w:tc>
                <w:tcPr>
                  <w:tcW w:w="454" w:type="pct"/>
                  <w:shd w:val="clear" w:color="auto" w:fill="auto"/>
                  <w:noWrap w:val="0"/>
                  <w:vAlign w:val="center"/>
                </w:tcPr>
                <w:p w14:paraId="1236DC48">
                  <w:pPr>
                    <w:jc w:val="center"/>
                    <w:rPr>
                      <w:rFonts w:eastAsia="宋体"/>
                      <w:sz w:val="21"/>
                      <w:szCs w:val="21"/>
                      <w:u w:val="none"/>
                    </w:rPr>
                  </w:pPr>
                  <w:r>
                    <w:rPr>
                      <w:rFonts w:eastAsia="宋体"/>
                      <w:sz w:val="21"/>
                      <w:szCs w:val="21"/>
                      <w:u w:val="none"/>
                      <w:lang w:val="de-DE"/>
                    </w:rPr>
                    <w:t>颗粒物</w:t>
                  </w:r>
                </w:p>
              </w:tc>
              <w:tc>
                <w:tcPr>
                  <w:tcW w:w="720" w:type="pct"/>
                  <w:shd w:val="clear" w:color="auto" w:fill="auto"/>
                  <w:noWrap w:val="0"/>
                  <w:vAlign w:val="center"/>
                </w:tcPr>
                <w:p w14:paraId="3A9DF093">
                  <w:pPr>
                    <w:jc w:val="center"/>
                    <w:rPr>
                      <w:rFonts w:eastAsia="宋体"/>
                      <w:sz w:val="21"/>
                      <w:szCs w:val="21"/>
                      <w:u w:val="none"/>
                    </w:rPr>
                  </w:pPr>
                  <w:r>
                    <w:rPr>
                      <w:rFonts w:hint="eastAsia" w:eastAsia="宋体"/>
                      <w:sz w:val="21"/>
                      <w:szCs w:val="21"/>
                      <w:u w:val="none"/>
                    </w:rPr>
                    <w:t>6.8~8.1</w:t>
                  </w:r>
                </w:p>
              </w:tc>
              <w:tc>
                <w:tcPr>
                  <w:tcW w:w="732" w:type="pct"/>
                  <w:shd w:val="clear" w:color="auto" w:fill="auto"/>
                  <w:noWrap w:val="0"/>
                  <w:vAlign w:val="center"/>
                </w:tcPr>
                <w:p w14:paraId="09926F20">
                  <w:pPr>
                    <w:jc w:val="center"/>
                    <w:rPr>
                      <w:rFonts w:eastAsia="宋体"/>
                      <w:sz w:val="21"/>
                      <w:szCs w:val="21"/>
                      <w:u w:val="none"/>
                    </w:rPr>
                  </w:pPr>
                  <w:r>
                    <w:rPr>
                      <w:rFonts w:hint="eastAsia" w:eastAsia="宋体"/>
                      <w:sz w:val="21"/>
                      <w:szCs w:val="21"/>
                      <w:u w:val="none"/>
                    </w:rPr>
                    <w:t>0.096~0.122</w:t>
                  </w:r>
                </w:p>
              </w:tc>
              <w:tc>
                <w:tcPr>
                  <w:tcW w:w="610" w:type="pct"/>
                  <w:shd w:val="clear" w:color="auto" w:fill="auto"/>
                  <w:noWrap w:val="0"/>
                  <w:vAlign w:val="center"/>
                </w:tcPr>
                <w:p w14:paraId="737F8D8F">
                  <w:pPr>
                    <w:jc w:val="center"/>
                    <w:rPr>
                      <w:rFonts w:hint="eastAsia" w:eastAsia="宋体"/>
                      <w:sz w:val="21"/>
                      <w:szCs w:val="21"/>
                      <w:u w:val="none"/>
                    </w:rPr>
                  </w:pPr>
                  <w:r>
                    <w:rPr>
                      <w:rFonts w:hint="eastAsia" w:eastAsia="宋体"/>
                      <w:sz w:val="21"/>
                      <w:szCs w:val="21"/>
                      <w:u w:val="none"/>
                    </w:rPr>
                    <w:t>20</w:t>
                  </w:r>
                </w:p>
              </w:tc>
              <w:tc>
                <w:tcPr>
                  <w:tcW w:w="569" w:type="pct"/>
                  <w:shd w:val="clear" w:color="auto" w:fill="auto"/>
                  <w:noWrap w:val="0"/>
                  <w:vAlign w:val="center"/>
                </w:tcPr>
                <w:p w14:paraId="1229A429">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00472EE7">
                  <w:pPr>
                    <w:jc w:val="center"/>
                    <w:rPr>
                      <w:rFonts w:eastAsia="宋体"/>
                      <w:sz w:val="21"/>
                      <w:szCs w:val="21"/>
                      <w:u w:val="none"/>
                    </w:rPr>
                  </w:pPr>
                  <w:r>
                    <w:rPr>
                      <w:rFonts w:eastAsia="宋体"/>
                      <w:sz w:val="21"/>
                      <w:szCs w:val="21"/>
                      <w:u w:val="none"/>
                    </w:rPr>
                    <w:t>是</w:t>
                  </w:r>
                </w:p>
              </w:tc>
            </w:tr>
            <w:tr w14:paraId="73AC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50E59D3D">
                  <w:pPr>
                    <w:jc w:val="center"/>
                    <w:rPr>
                      <w:rFonts w:hint="eastAsia" w:eastAsia="宋体"/>
                      <w:sz w:val="21"/>
                      <w:szCs w:val="21"/>
                      <w:u w:val="none"/>
                    </w:rPr>
                  </w:pPr>
                </w:p>
              </w:tc>
              <w:tc>
                <w:tcPr>
                  <w:tcW w:w="904" w:type="pct"/>
                  <w:vMerge w:val="continue"/>
                  <w:shd w:val="clear" w:color="auto" w:fill="auto"/>
                  <w:noWrap w:val="0"/>
                  <w:vAlign w:val="center"/>
                </w:tcPr>
                <w:p w14:paraId="69C7418C">
                  <w:pPr>
                    <w:jc w:val="center"/>
                    <w:rPr>
                      <w:rFonts w:eastAsia="宋体"/>
                      <w:sz w:val="21"/>
                      <w:szCs w:val="21"/>
                      <w:u w:val="none"/>
                      <w:lang w:val="de-DE"/>
                    </w:rPr>
                  </w:pPr>
                </w:p>
              </w:tc>
              <w:tc>
                <w:tcPr>
                  <w:tcW w:w="454" w:type="pct"/>
                  <w:shd w:val="clear" w:color="auto" w:fill="auto"/>
                  <w:noWrap w:val="0"/>
                  <w:vAlign w:val="center"/>
                </w:tcPr>
                <w:p w14:paraId="6C2188DC">
                  <w:pPr>
                    <w:jc w:val="center"/>
                    <w:rPr>
                      <w:rFonts w:eastAsia="宋体"/>
                      <w:sz w:val="21"/>
                      <w:szCs w:val="21"/>
                      <w:u w:val="none"/>
                    </w:rPr>
                  </w:pPr>
                  <w:r>
                    <w:rPr>
                      <w:rFonts w:eastAsia="宋体"/>
                      <w:sz w:val="21"/>
                      <w:szCs w:val="21"/>
                      <w:u w:val="none"/>
                    </w:rPr>
                    <w:t>二氧化硫</w:t>
                  </w:r>
                </w:p>
              </w:tc>
              <w:tc>
                <w:tcPr>
                  <w:tcW w:w="720" w:type="pct"/>
                  <w:shd w:val="clear" w:color="auto" w:fill="auto"/>
                  <w:noWrap w:val="0"/>
                  <w:vAlign w:val="center"/>
                </w:tcPr>
                <w:p w14:paraId="29E66E34">
                  <w:pPr>
                    <w:jc w:val="center"/>
                    <w:rPr>
                      <w:rFonts w:eastAsia="宋体"/>
                      <w:sz w:val="21"/>
                      <w:szCs w:val="21"/>
                      <w:u w:val="none"/>
                    </w:rPr>
                  </w:pPr>
                  <w:r>
                    <w:rPr>
                      <w:rFonts w:hint="eastAsia" w:eastAsia="宋体"/>
                      <w:sz w:val="21"/>
                      <w:szCs w:val="21"/>
                      <w:u w:val="none"/>
                    </w:rPr>
                    <w:t>20~28</w:t>
                  </w:r>
                </w:p>
              </w:tc>
              <w:tc>
                <w:tcPr>
                  <w:tcW w:w="732" w:type="pct"/>
                  <w:shd w:val="clear" w:color="auto" w:fill="auto"/>
                  <w:noWrap w:val="0"/>
                  <w:vAlign w:val="center"/>
                </w:tcPr>
                <w:p w14:paraId="09E8EF1F">
                  <w:pPr>
                    <w:jc w:val="center"/>
                    <w:rPr>
                      <w:rFonts w:eastAsia="宋体"/>
                      <w:sz w:val="21"/>
                      <w:szCs w:val="21"/>
                      <w:u w:val="none"/>
                    </w:rPr>
                  </w:pPr>
                  <w:r>
                    <w:rPr>
                      <w:rFonts w:hint="eastAsia" w:eastAsia="宋体"/>
                      <w:sz w:val="21"/>
                      <w:szCs w:val="21"/>
                      <w:u w:val="none"/>
                    </w:rPr>
                    <w:t>0.253~0.377</w:t>
                  </w:r>
                </w:p>
              </w:tc>
              <w:tc>
                <w:tcPr>
                  <w:tcW w:w="610" w:type="pct"/>
                  <w:shd w:val="clear" w:color="auto" w:fill="auto"/>
                  <w:noWrap w:val="0"/>
                  <w:vAlign w:val="center"/>
                </w:tcPr>
                <w:p w14:paraId="32994B3B">
                  <w:pPr>
                    <w:jc w:val="center"/>
                    <w:rPr>
                      <w:rFonts w:hint="eastAsia" w:eastAsia="宋体"/>
                      <w:sz w:val="21"/>
                      <w:szCs w:val="21"/>
                      <w:u w:val="none"/>
                    </w:rPr>
                  </w:pPr>
                  <w:r>
                    <w:rPr>
                      <w:rFonts w:hint="eastAsia" w:eastAsia="宋体"/>
                      <w:sz w:val="21"/>
                      <w:szCs w:val="21"/>
                      <w:u w:val="none"/>
                    </w:rPr>
                    <w:t>100</w:t>
                  </w:r>
                </w:p>
              </w:tc>
              <w:tc>
                <w:tcPr>
                  <w:tcW w:w="569" w:type="pct"/>
                  <w:shd w:val="clear" w:color="auto" w:fill="auto"/>
                  <w:noWrap w:val="0"/>
                  <w:vAlign w:val="center"/>
                </w:tcPr>
                <w:p w14:paraId="3C264DC3">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74BB803C">
                  <w:pPr>
                    <w:jc w:val="center"/>
                    <w:rPr>
                      <w:rFonts w:eastAsia="宋体"/>
                      <w:sz w:val="21"/>
                      <w:szCs w:val="21"/>
                      <w:u w:val="none"/>
                    </w:rPr>
                  </w:pPr>
                  <w:r>
                    <w:rPr>
                      <w:rFonts w:eastAsia="宋体"/>
                      <w:sz w:val="21"/>
                      <w:szCs w:val="21"/>
                      <w:u w:val="none"/>
                    </w:rPr>
                    <w:t>是</w:t>
                  </w:r>
                </w:p>
              </w:tc>
            </w:tr>
            <w:tr w14:paraId="7130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F987636">
                  <w:pPr>
                    <w:jc w:val="center"/>
                    <w:rPr>
                      <w:rFonts w:hint="eastAsia" w:eastAsia="宋体"/>
                      <w:sz w:val="21"/>
                      <w:szCs w:val="21"/>
                      <w:u w:val="none"/>
                    </w:rPr>
                  </w:pPr>
                </w:p>
              </w:tc>
              <w:tc>
                <w:tcPr>
                  <w:tcW w:w="904" w:type="pct"/>
                  <w:vMerge w:val="continue"/>
                  <w:shd w:val="clear" w:color="auto" w:fill="auto"/>
                  <w:noWrap w:val="0"/>
                  <w:vAlign w:val="center"/>
                </w:tcPr>
                <w:p w14:paraId="7E99EE38">
                  <w:pPr>
                    <w:jc w:val="center"/>
                    <w:rPr>
                      <w:rFonts w:eastAsia="宋体"/>
                      <w:sz w:val="21"/>
                      <w:szCs w:val="21"/>
                      <w:u w:val="none"/>
                      <w:lang w:val="de-DE"/>
                    </w:rPr>
                  </w:pPr>
                </w:p>
              </w:tc>
              <w:tc>
                <w:tcPr>
                  <w:tcW w:w="454" w:type="pct"/>
                  <w:shd w:val="clear" w:color="auto" w:fill="auto"/>
                  <w:noWrap w:val="0"/>
                  <w:vAlign w:val="center"/>
                </w:tcPr>
                <w:p w14:paraId="0BA732A0">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46E7FFBC">
                  <w:pPr>
                    <w:jc w:val="center"/>
                    <w:rPr>
                      <w:rFonts w:eastAsia="宋体"/>
                      <w:sz w:val="21"/>
                      <w:szCs w:val="21"/>
                      <w:u w:val="none"/>
                    </w:rPr>
                  </w:pPr>
                  <w:r>
                    <w:rPr>
                      <w:rFonts w:hint="eastAsia" w:eastAsia="宋体"/>
                      <w:sz w:val="21"/>
                      <w:szCs w:val="21"/>
                      <w:u w:val="none"/>
                    </w:rPr>
                    <w:t>19~28</w:t>
                  </w:r>
                </w:p>
              </w:tc>
              <w:tc>
                <w:tcPr>
                  <w:tcW w:w="732" w:type="pct"/>
                  <w:shd w:val="clear" w:color="auto" w:fill="auto"/>
                  <w:noWrap w:val="0"/>
                  <w:vAlign w:val="center"/>
                </w:tcPr>
                <w:p w14:paraId="1432FD92">
                  <w:pPr>
                    <w:jc w:val="center"/>
                    <w:rPr>
                      <w:rFonts w:eastAsia="宋体"/>
                      <w:sz w:val="21"/>
                      <w:szCs w:val="21"/>
                      <w:u w:val="none"/>
                    </w:rPr>
                  </w:pPr>
                  <w:r>
                    <w:rPr>
                      <w:rFonts w:hint="eastAsia" w:eastAsia="宋体"/>
                      <w:sz w:val="21"/>
                      <w:szCs w:val="21"/>
                      <w:u w:val="none"/>
                    </w:rPr>
                    <w:t>0.250~0.377</w:t>
                  </w:r>
                </w:p>
              </w:tc>
              <w:tc>
                <w:tcPr>
                  <w:tcW w:w="610" w:type="pct"/>
                  <w:shd w:val="clear" w:color="auto" w:fill="auto"/>
                  <w:noWrap w:val="0"/>
                  <w:vAlign w:val="center"/>
                </w:tcPr>
                <w:p w14:paraId="124E8443">
                  <w:pPr>
                    <w:jc w:val="center"/>
                    <w:rPr>
                      <w:rFonts w:hint="eastAsia" w:eastAsia="宋体"/>
                      <w:sz w:val="21"/>
                      <w:szCs w:val="21"/>
                      <w:u w:val="none"/>
                    </w:rPr>
                  </w:pPr>
                  <w:r>
                    <w:rPr>
                      <w:rFonts w:hint="eastAsia" w:eastAsia="宋体"/>
                      <w:sz w:val="21"/>
                      <w:szCs w:val="21"/>
                      <w:u w:val="none"/>
                    </w:rPr>
                    <w:t>150</w:t>
                  </w:r>
                </w:p>
              </w:tc>
              <w:tc>
                <w:tcPr>
                  <w:tcW w:w="569" w:type="pct"/>
                  <w:shd w:val="clear" w:color="auto" w:fill="auto"/>
                  <w:noWrap w:val="0"/>
                  <w:vAlign w:val="center"/>
                </w:tcPr>
                <w:p w14:paraId="2C809423">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604E79D1">
                  <w:pPr>
                    <w:jc w:val="center"/>
                    <w:rPr>
                      <w:rFonts w:eastAsia="宋体"/>
                      <w:sz w:val="21"/>
                      <w:szCs w:val="21"/>
                      <w:u w:val="none"/>
                    </w:rPr>
                  </w:pPr>
                  <w:r>
                    <w:rPr>
                      <w:rFonts w:eastAsia="宋体"/>
                      <w:sz w:val="21"/>
                      <w:szCs w:val="21"/>
                      <w:u w:val="none"/>
                    </w:rPr>
                    <w:t>是</w:t>
                  </w:r>
                </w:p>
              </w:tc>
            </w:tr>
            <w:tr w14:paraId="6C71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shd w:val="clear" w:color="auto" w:fill="auto"/>
                  <w:noWrap w:val="0"/>
                  <w:vAlign w:val="center"/>
                </w:tcPr>
                <w:p w14:paraId="51892FAA">
                  <w:pPr>
                    <w:jc w:val="center"/>
                    <w:rPr>
                      <w:rFonts w:eastAsia="宋体"/>
                      <w:sz w:val="21"/>
                      <w:szCs w:val="21"/>
                      <w:u w:val="none"/>
                    </w:rPr>
                  </w:pPr>
                  <w:r>
                    <w:rPr>
                      <w:rFonts w:hint="eastAsia" w:eastAsia="宋体"/>
                      <w:sz w:val="21"/>
                      <w:szCs w:val="21"/>
                      <w:u w:val="none"/>
                    </w:rPr>
                    <w:t>DA044</w:t>
                  </w:r>
                </w:p>
              </w:tc>
              <w:tc>
                <w:tcPr>
                  <w:tcW w:w="904" w:type="pct"/>
                  <w:vMerge w:val="restart"/>
                  <w:shd w:val="clear" w:color="auto" w:fill="auto"/>
                  <w:noWrap w:val="0"/>
                  <w:vAlign w:val="center"/>
                </w:tcPr>
                <w:p w14:paraId="5C73BD98">
                  <w:pPr>
                    <w:jc w:val="center"/>
                    <w:rPr>
                      <w:rFonts w:eastAsia="宋体"/>
                      <w:sz w:val="21"/>
                      <w:szCs w:val="21"/>
                      <w:u w:val="none"/>
                      <w:lang w:val="de-DE"/>
                    </w:rPr>
                  </w:pPr>
                  <w:r>
                    <w:rPr>
                      <w:rFonts w:eastAsia="宋体"/>
                      <w:bCs/>
                      <w:sz w:val="21"/>
                      <w:szCs w:val="21"/>
                      <w:u w:val="none"/>
                    </w:rPr>
                    <w:t>硫回收</w:t>
                  </w:r>
                </w:p>
              </w:tc>
              <w:tc>
                <w:tcPr>
                  <w:tcW w:w="454" w:type="pct"/>
                  <w:shd w:val="clear" w:color="auto" w:fill="auto"/>
                  <w:noWrap w:val="0"/>
                  <w:vAlign w:val="center"/>
                </w:tcPr>
                <w:p w14:paraId="5D666740">
                  <w:pPr>
                    <w:jc w:val="center"/>
                    <w:rPr>
                      <w:rFonts w:eastAsia="宋体"/>
                      <w:sz w:val="21"/>
                      <w:szCs w:val="21"/>
                      <w:u w:val="none"/>
                    </w:rPr>
                  </w:pPr>
                  <w:r>
                    <w:rPr>
                      <w:rFonts w:eastAsia="宋体"/>
                      <w:sz w:val="21"/>
                      <w:szCs w:val="21"/>
                      <w:u w:val="none"/>
                      <w:lang w:val="de-DE"/>
                    </w:rPr>
                    <w:t>颗粒物</w:t>
                  </w:r>
                </w:p>
              </w:tc>
              <w:tc>
                <w:tcPr>
                  <w:tcW w:w="720" w:type="pct"/>
                  <w:shd w:val="clear" w:color="auto" w:fill="auto"/>
                  <w:noWrap w:val="0"/>
                  <w:vAlign w:val="center"/>
                </w:tcPr>
                <w:p w14:paraId="62245B5E">
                  <w:pPr>
                    <w:jc w:val="center"/>
                    <w:rPr>
                      <w:rFonts w:eastAsia="宋体"/>
                      <w:sz w:val="21"/>
                      <w:szCs w:val="21"/>
                      <w:u w:val="none"/>
                    </w:rPr>
                  </w:pPr>
                  <w:r>
                    <w:rPr>
                      <w:rFonts w:hint="eastAsia" w:eastAsia="宋体"/>
                      <w:sz w:val="21"/>
                      <w:szCs w:val="21"/>
                      <w:u w:val="none"/>
                    </w:rPr>
                    <w:t>14.3~16.8</w:t>
                  </w:r>
                </w:p>
              </w:tc>
              <w:tc>
                <w:tcPr>
                  <w:tcW w:w="732" w:type="pct"/>
                  <w:shd w:val="clear" w:color="auto" w:fill="auto"/>
                  <w:noWrap w:val="0"/>
                  <w:vAlign w:val="center"/>
                </w:tcPr>
                <w:p w14:paraId="38C5C4A1">
                  <w:pPr>
                    <w:jc w:val="center"/>
                    <w:rPr>
                      <w:rFonts w:eastAsia="宋体"/>
                      <w:sz w:val="21"/>
                      <w:szCs w:val="21"/>
                      <w:u w:val="none"/>
                    </w:rPr>
                  </w:pPr>
                  <w:r>
                    <w:rPr>
                      <w:rFonts w:hint="eastAsia" w:eastAsia="宋体"/>
                      <w:sz w:val="21"/>
                      <w:szCs w:val="21"/>
                      <w:u w:val="none"/>
                    </w:rPr>
                    <w:t>0.126~0.150</w:t>
                  </w:r>
                </w:p>
              </w:tc>
              <w:tc>
                <w:tcPr>
                  <w:tcW w:w="610" w:type="pct"/>
                  <w:shd w:val="clear" w:color="auto" w:fill="auto"/>
                  <w:noWrap w:val="0"/>
                  <w:vAlign w:val="center"/>
                </w:tcPr>
                <w:p w14:paraId="4AC51301">
                  <w:pPr>
                    <w:jc w:val="center"/>
                    <w:rPr>
                      <w:rFonts w:hint="eastAsia" w:eastAsia="宋体"/>
                      <w:sz w:val="21"/>
                      <w:szCs w:val="21"/>
                      <w:u w:val="none"/>
                    </w:rPr>
                  </w:pPr>
                  <w:r>
                    <w:rPr>
                      <w:rFonts w:hint="eastAsia" w:eastAsia="宋体"/>
                      <w:sz w:val="21"/>
                      <w:szCs w:val="21"/>
                      <w:u w:val="none"/>
                    </w:rPr>
                    <w:t>20</w:t>
                  </w:r>
                </w:p>
              </w:tc>
              <w:tc>
                <w:tcPr>
                  <w:tcW w:w="569" w:type="pct"/>
                  <w:shd w:val="clear" w:color="auto" w:fill="auto"/>
                  <w:noWrap w:val="0"/>
                  <w:vAlign w:val="center"/>
                </w:tcPr>
                <w:p w14:paraId="7D9F90EB">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7051A15B">
                  <w:pPr>
                    <w:jc w:val="center"/>
                    <w:rPr>
                      <w:rFonts w:eastAsia="宋体"/>
                      <w:sz w:val="21"/>
                      <w:szCs w:val="21"/>
                      <w:u w:val="none"/>
                    </w:rPr>
                  </w:pPr>
                  <w:r>
                    <w:rPr>
                      <w:rFonts w:eastAsia="宋体"/>
                      <w:sz w:val="21"/>
                      <w:szCs w:val="21"/>
                      <w:u w:val="none"/>
                    </w:rPr>
                    <w:t>是</w:t>
                  </w:r>
                </w:p>
              </w:tc>
            </w:tr>
            <w:tr w14:paraId="5221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765ED3E4">
                  <w:pPr>
                    <w:jc w:val="center"/>
                    <w:rPr>
                      <w:rFonts w:hint="eastAsia" w:eastAsia="宋体"/>
                      <w:sz w:val="21"/>
                      <w:szCs w:val="21"/>
                      <w:u w:val="none"/>
                    </w:rPr>
                  </w:pPr>
                </w:p>
              </w:tc>
              <w:tc>
                <w:tcPr>
                  <w:tcW w:w="904" w:type="pct"/>
                  <w:vMerge w:val="continue"/>
                  <w:shd w:val="clear" w:color="auto" w:fill="auto"/>
                  <w:noWrap w:val="0"/>
                  <w:vAlign w:val="center"/>
                </w:tcPr>
                <w:p w14:paraId="72655F26">
                  <w:pPr>
                    <w:jc w:val="center"/>
                    <w:rPr>
                      <w:rFonts w:eastAsia="宋体"/>
                      <w:sz w:val="21"/>
                      <w:szCs w:val="21"/>
                      <w:u w:val="none"/>
                    </w:rPr>
                  </w:pPr>
                </w:p>
              </w:tc>
              <w:tc>
                <w:tcPr>
                  <w:tcW w:w="454" w:type="pct"/>
                  <w:shd w:val="clear" w:color="auto" w:fill="auto"/>
                  <w:noWrap w:val="0"/>
                  <w:vAlign w:val="center"/>
                </w:tcPr>
                <w:p w14:paraId="35615794">
                  <w:pPr>
                    <w:jc w:val="center"/>
                    <w:rPr>
                      <w:rFonts w:eastAsia="宋体"/>
                      <w:sz w:val="21"/>
                      <w:szCs w:val="21"/>
                      <w:u w:val="none"/>
                      <w:lang w:val="de-DE"/>
                    </w:rPr>
                  </w:pPr>
                  <w:r>
                    <w:rPr>
                      <w:rFonts w:eastAsia="宋体"/>
                      <w:sz w:val="21"/>
                      <w:szCs w:val="21"/>
                      <w:u w:val="none"/>
                    </w:rPr>
                    <w:t>二氧化硫</w:t>
                  </w:r>
                </w:p>
              </w:tc>
              <w:tc>
                <w:tcPr>
                  <w:tcW w:w="720" w:type="pct"/>
                  <w:shd w:val="clear" w:color="auto" w:fill="auto"/>
                  <w:noWrap w:val="0"/>
                  <w:vAlign w:val="center"/>
                </w:tcPr>
                <w:p w14:paraId="369280B6">
                  <w:pPr>
                    <w:jc w:val="center"/>
                    <w:rPr>
                      <w:rFonts w:eastAsia="宋体"/>
                      <w:sz w:val="21"/>
                      <w:szCs w:val="21"/>
                      <w:u w:val="none"/>
                    </w:rPr>
                  </w:pPr>
                  <w:r>
                    <w:rPr>
                      <w:rFonts w:hint="eastAsia" w:eastAsia="宋体"/>
                      <w:sz w:val="21"/>
                      <w:szCs w:val="21"/>
                      <w:u w:val="none"/>
                    </w:rPr>
                    <w:t>345~398</w:t>
                  </w:r>
                </w:p>
              </w:tc>
              <w:tc>
                <w:tcPr>
                  <w:tcW w:w="732" w:type="pct"/>
                  <w:shd w:val="clear" w:color="auto" w:fill="auto"/>
                  <w:noWrap w:val="0"/>
                  <w:vAlign w:val="center"/>
                </w:tcPr>
                <w:p w14:paraId="563C4F43">
                  <w:pPr>
                    <w:jc w:val="center"/>
                    <w:rPr>
                      <w:rFonts w:eastAsia="宋体"/>
                      <w:sz w:val="21"/>
                      <w:szCs w:val="21"/>
                      <w:u w:val="none"/>
                    </w:rPr>
                  </w:pPr>
                  <w:r>
                    <w:rPr>
                      <w:rFonts w:hint="eastAsia" w:eastAsia="宋体"/>
                      <w:sz w:val="21"/>
                      <w:szCs w:val="21"/>
                      <w:u w:val="none"/>
                    </w:rPr>
                    <w:t>3.02~3.55</w:t>
                  </w:r>
                </w:p>
              </w:tc>
              <w:tc>
                <w:tcPr>
                  <w:tcW w:w="610" w:type="pct"/>
                  <w:shd w:val="clear" w:color="auto" w:fill="auto"/>
                  <w:noWrap w:val="0"/>
                  <w:vAlign w:val="center"/>
                </w:tcPr>
                <w:p w14:paraId="4D1E7471">
                  <w:pPr>
                    <w:jc w:val="center"/>
                    <w:rPr>
                      <w:rFonts w:eastAsia="宋体"/>
                      <w:sz w:val="21"/>
                      <w:szCs w:val="21"/>
                      <w:u w:val="none"/>
                    </w:rPr>
                  </w:pPr>
                  <w:r>
                    <w:rPr>
                      <w:rFonts w:hint="eastAsia" w:eastAsia="宋体"/>
                      <w:sz w:val="21"/>
                      <w:szCs w:val="21"/>
                      <w:u w:val="none"/>
                    </w:rPr>
                    <w:t>400</w:t>
                  </w:r>
                </w:p>
              </w:tc>
              <w:tc>
                <w:tcPr>
                  <w:tcW w:w="569" w:type="pct"/>
                  <w:shd w:val="clear" w:color="auto" w:fill="auto"/>
                  <w:noWrap w:val="0"/>
                  <w:vAlign w:val="center"/>
                </w:tcPr>
                <w:p w14:paraId="0E7F6BD6">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22AE5A4F">
                  <w:pPr>
                    <w:jc w:val="center"/>
                    <w:rPr>
                      <w:rFonts w:eastAsia="宋体"/>
                      <w:sz w:val="21"/>
                      <w:szCs w:val="21"/>
                      <w:u w:val="none"/>
                    </w:rPr>
                  </w:pPr>
                  <w:r>
                    <w:rPr>
                      <w:rFonts w:eastAsia="宋体"/>
                      <w:sz w:val="21"/>
                      <w:szCs w:val="21"/>
                      <w:u w:val="none"/>
                    </w:rPr>
                    <w:t>是</w:t>
                  </w:r>
                </w:p>
              </w:tc>
            </w:tr>
            <w:tr w14:paraId="5727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2C0ED80E">
                  <w:pPr>
                    <w:jc w:val="center"/>
                    <w:rPr>
                      <w:rFonts w:hint="eastAsia" w:eastAsia="宋体"/>
                      <w:sz w:val="21"/>
                      <w:szCs w:val="21"/>
                      <w:u w:val="none"/>
                    </w:rPr>
                  </w:pPr>
                </w:p>
              </w:tc>
              <w:tc>
                <w:tcPr>
                  <w:tcW w:w="904" w:type="pct"/>
                  <w:vMerge w:val="continue"/>
                  <w:shd w:val="clear" w:color="auto" w:fill="auto"/>
                  <w:noWrap w:val="0"/>
                  <w:vAlign w:val="center"/>
                </w:tcPr>
                <w:p w14:paraId="0472610A">
                  <w:pPr>
                    <w:jc w:val="center"/>
                    <w:rPr>
                      <w:rFonts w:eastAsia="宋体"/>
                      <w:sz w:val="21"/>
                      <w:szCs w:val="21"/>
                      <w:u w:val="none"/>
                      <w:lang w:val="de-DE"/>
                    </w:rPr>
                  </w:pPr>
                </w:p>
              </w:tc>
              <w:tc>
                <w:tcPr>
                  <w:tcW w:w="454" w:type="pct"/>
                  <w:shd w:val="clear" w:color="auto" w:fill="auto"/>
                  <w:noWrap w:val="0"/>
                  <w:vAlign w:val="center"/>
                </w:tcPr>
                <w:p w14:paraId="56E8AE1B">
                  <w:pPr>
                    <w:jc w:val="center"/>
                    <w:rPr>
                      <w:rFonts w:eastAsia="宋体"/>
                      <w:sz w:val="21"/>
                      <w:szCs w:val="21"/>
                      <w:u w:val="none"/>
                    </w:rPr>
                  </w:pPr>
                  <w:r>
                    <w:rPr>
                      <w:rFonts w:eastAsia="宋体"/>
                      <w:sz w:val="21"/>
                      <w:szCs w:val="21"/>
                      <w:u w:val="none"/>
                    </w:rPr>
                    <w:t>氮氧化物</w:t>
                  </w:r>
                </w:p>
              </w:tc>
              <w:tc>
                <w:tcPr>
                  <w:tcW w:w="720" w:type="pct"/>
                  <w:shd w:val="clear" w:color="auto" w:fill="auto"/>
                  <w:noWrap w:val="0"/>
                  <w:vAlign w:val="center"/>
                </w:tcPr>
                <w:p w14:paraId="778CF2DF">
                  <w:pPr>
                    <w:jc w:val="center"/>
                    <w:rPr>
                      <w:rFonts w:eastAsia="宋体"/>
                      <w:sz w:val="21"/>
                      <w:szCs w:val="21"/>
                      <w:u w:val="none"/>
                    </w:rPr>
                  </w:pPr>
                  <w:r>
                    <w:rPr>
                      <w:rFonts w:hint="eastAsia" w:eastAsia="宋体"/>
                      <w:sz w:val="21"/>
                      <w:szCs w:val="21"/>
                      <w:u w:val="none"/>
                    </w:rPr>
                    <w:t>44~50</w:t>
                  </w:r>
                </w:p>
              </w:tc>
              <w:tc>
                <w:tcPr>
                  <w:tcW w:w="732" w:type="pct"/>
                  <w:shd w:val="clear" w:color="auto" w:fill="auto"/>
                  <w:noWrap w:val="0"/>
                  <w:vAlign w:val="center"/>
                </w:tcPr>
                <w:p w14:paraId="21F2634F">
                  <w:pPr>
                    <w:jc w:val="center"/>
                    <w:rPr>
                      <w:rFonts w:eastAsia="宋体"/>
                      <w:sz w:val="21"/>
                      <w:szCs w:val="21"/>
                      <w:u w:val="none"/>
                    </w:rPr>
                  </w:pPr>
                  <w:r>
                    <w:rPr>
                      <w:rFonts w:hint="eastAsia" w:eastAsia="宋体"/>
                      <w:sz w:val="21"/>
                      <w:szCs w:val="21"/>
                      <w:u w:val="none"/>
                    </w:rPr>
                    <w:t>0.383~0.447</w:t>
                  </w:r>
                </w:p>
              </w:tc>
              <w:tc>
                <w:tcPr>
                  <w:tcW w:w="610" w:type="pct"/>
                  <w:shd w:val="clear" w:color="auto" w:fill="auto"/>
                  <w:noWrap w:val="0"/>
                  <w:vAlign w:val="center"/>
                </w:tcPr>
                <w:p w14:paraId="41211618">
                  <w:pPr>
                    <w:jc w:val="center"/>
                    <w:rPr>
                      <w:rFonts w:hint="eastAsia" w:eastAsia="宋体"/>
                      <w:sz w:val="21"/>
                      <w:szCs w:val="21"/>
                      <w:u w:val="none"/>
                    </w:rPr>
                  </w:pPr>
                  <w:r>
                    <w:rPr>
                      <w:rFonts w:hint="eastAsia" w:eastAsia="宋体"/>
                      <w:sz w:val="21"/>
                      <w:szCs w:val="21"/>
                      <w:u w:val="none"/>
                    </w:rPr>
                    <w:t>150</w:t>
                  </w:r>
                </w:p>
              </w:tc>
              <w:tc>
                <w:tcPr>
                  <w:tcW w:w="569" w:type="pct"/>
                  <w:shd w:val="clear" w:color="auto" w:fill="auto"/>
                  <w:noWrap w:val="0"/>
                  <w:vAlign w:val="center"/>
                </w:tcPr>
                <w:p w14:paraId="182AE618">
                  <w:pPr>
                    <w:jc w:val="center"/>
                    <w:rPr>
                      <w:rFonts w:hint="eastAsia" w:eastAsia="宋体"/>
                      <w:sz w:val="21"/>
                      <w:szCs w:val="21"/>
                      <w:u w:val="none"/>
                    </w:rPr>
                  </w:pPr>
                  <w:r>
                    <w:rPr>
                      <w:rFonts w:hint="eastAsia" w:eastAsia="宋体"/>
                      <w:sz w:val="21"/>
                      <w:szCs w:val="21"/>
                      <w:u w:val="none"/>
                    </w:rPr>
                    <w:t>/</w:t>
                  </w:r>
                </w:p>
              </w:tc>
              <w:tc>
                <w:tcPr>
                  <w:tcW w:w="567" w:type="pct"/>
                  <w:shd w:val="clear" w:color="auto" w:fill="auto"/>
                  <w:noWrap w:val="0"/>
                  <w:vAlign w:val="center"/>
                </w:tcPr>
                <w:p w14:paraId="106B5FCF">
                  <w:pPr>
                    <w:jc w:val="center"/>
                    <w:rPr>
                      <w:rFonts w:eastAsia="宋体"/>
                      <w:sz w:val="21"/>
                      <w:szCs w:val="21"/>
                      <w:u w:val="none"/>
                    </w:rPr>
                  </w:pPr>
                  <w:r>
                    <w:rPr>
                      <w:rFonts w:eastAsia="宋体"/>
                      <w:sz w:val="21"/>
                      <w:szCs w:val="21"/>
                      <w:u w:val="none"/>
                    </w:rPr>
                    <w:t>是</w:t>
                  </w:r>
                </w:p>
              </w:tc>
            </w:tr>
            <w:tr w14:paraId="469A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4EEB7648">
                  <w:pPr>
                    <w:jc w:val="center"/>
                    <w:rPr>
                      <w:rFonts w:hint="eastAsia" w:eastAsia="宋体"/>
                      <w:sz w:val="21"/>
                      <w:szCs w:val="21"/>
                      <w:u w:val="none"/>
                    </w:rPr>
                  </w:pPr>
                </w:p>
              </w:tc>
              <w:tc>
                <w:tcPr>
                  <w:tcW w:w="904" w:type="pct"/>
                  <w:vMerge w:val="continue"/>
                  <w:shd w:val="clear" w:color="auto" w:fill="auto"/>
                  <w:noWrap w:val="0"/>
                  <w:vAlign w:val="center"/>
                </w:tcPr>
                <w:p w14:paraId="06E23601">
                  <w:pPr>
                    <w:jc w:val="center"/>
                    <w:rPr>
                      <w:rFonts w:eastAsia="宋体"/>
                      <w:sz w:val="21"/>
                      <w:szCs w:val="21"/>
                      <w:u w:val="none"/>
                      <w:lang w:val="de-DE"/>
                    </w:rPr>
                  </w:pPr>
                </w:p>
              </w:tc>
              <w:tc>
                <w:tcPr>
                  <w:tcW w:w="454" w:type="pct"/>
                  <w:shd w:val="clear" w:color="auto" w:fill="auto"/>
                  <w:noWrap w:val="0"/>
                  <w:vAlign w:val="center"/>
                </w:tcPr>
                <w:p w14:paraId="0F396920">
                  <w:pPr>
                    <w:jc w:val="center"/>
                    <w:rPr>
                      <w:rFonts w:eastAsia="宋体"/>
                      <w:sz w:val="21"/>
                      <w:szCs w:val="21"/>
                      <w:u w:val="none"/>
                    </w:rPr>
                  </w:pPr>
                  <w:r>
                    <w:rPr>
                      <w:rFonts w:hint="eastAsia" w:eastAsia="宋体"/>
                      <w:sz w:val="21"/>
                      <w:szCs w:val="21"/>
                      <w:u w:val="none"/>
                    </w:rPr>
                    <w:t>硫化氢</w:t>
                  </w:r>
                </w:p>
              </w:tc>
              <w:tc>
                <w:tcPr>
                  <w:tcW w:w="720" w:type="pct"/>
                  <w:shd w:val="clear" w:color="auto" w:fill="auto"/>
                  <w:noWrap w:val="0"/>
                  <w:vAlign w:val="center"/>
                </w:tcPr>
                <w:p w14:paraId="47DDCBE8">
                  <w:pPr>
                    <w:jc w:val="center"/>
                    <w:rPr>
                      <w:rFonts w:hint="eastAsia" w:eastAsia="宋体"/>
                      <w:sz w:val="21"/>
                      <w:szCs w:val="21"/>
                      <w:u w:val="none"/>
                    </w:rPr>
                  </w:pPr>
                  <w:r>
                    <w:rPr>
                      <w:rFonts w:hint="eastAsia" w:eastAsia="宋体"/>
                      <w:sz w:val="21"/>
                      <w:szCs w:val="21"/>
                      <w:u w:val="none"/>
                    </w:rPr>
                    <w:t>ND</w:t>
                  </w:r>
                </w:p>
              </w:tc>
              <w:tc>
                <w:tcPr>
                  <w:tcW w:w="732" w:type="pct"/>
                  <w:shd w:val="clear" w:color="auto" w:fill="auto"/>
                  <w:noWrap w:val="0"/>
                  <w:vAlign w:val="center"/>
                </w:tcPr>
                <w:p w14:paraId="7C1C15FC">
                  <w:pPr>
                    <w:jc w:val="center"/>
                    <w:rPr>
                      <w:rFonts w:hint="eastAsia" w:eastAsia="宋体"/>
                      <w:sz w:val="21"/>
                      <w:szCs w:val="21"/>
                      <w:u w:val="none"/>
                    </w:rPr>
                  </w:pPr>
                  <w:r>
                    <w:rPr>
                      <w:rFonts w:eastAsia="宋体"/>
                      <w:kern w:val="0"/>
                      <w:sz w:val="21"/>
                      <w:szCs w:val="21"/>
                      <w:u w:val="none"/>
                      <w:lang w:bidi="ar"/>
                    </w:rPr>
                    <w:t>5.</w:t>
                  </w:r>
                  <w:r>
                    <w:rPr>
                      <w:rFonts w:hint="eastAsia" w:eastAsia="宋体"/>
                      <w:kern w:val="0"/>
                      <w:sz w:val="21"/>
                      <w:szCs w:val="21"/>
                      <w:u w:val="none"/>
                      <w:lang w:bidi="ar"/>
                    </w:rPr>
                    <w:t>5×10</w:t>
                  </w:r>
                  <w:r>
                    <w:rPr>
                      <w:rFonts w:hint="eastAsia" w:eastAsia="宋体"/>
                      <w:kern w:val="0"/>
                      <w:sz w:val="21"/>
                      <w:szCs w:val="21"/>
                      <w:u w:val="none"/>
                      <w:vertAlign w:val="superscript"/>
                      <w:lang w:bidi="ar"/>
                    </w:rPr>
                    <w:t>-5~</w:t>
                  </w:r>
                  <w:r>
                    <w:rPr>
                      <w:rFonts w:eastAsia="宋体"/>
                      <w:kern w:val="0"/>
                      <w:sz w:val="21"/>
                      <w:szCs w:val="21"/>
                      <w:u w:val="none"/>
                      <w:lang w:bidi="ar"/>
                    </w:rPr>
                    <w:t>5.</w:t>
                  </w:r>
                  <w:r>
                    <w:rPr>
                      <w:rFonts w:hint="eastAsia" w:eastAsia="宋体"/>
                      <w:kern w:val="0"/>
                      <w:sz w:val="21"/>
                      <w:szCs w:val="21"/>
                      <w:u w:val="none"/>
                      <w:lang w:bidi="ar"/>
                    </w:rPr>
                    <w:t>7×10</w:t>
                  </w:r>
                  <w:r>
                    <w:rPr>
                      <w:rFonts w:hint="eastAsia" w:eastAsia="宋体"/>
                      <w:kern w:val="0"/>
                      <w:sz w:val="21"/>
                      <w:szCs w:val="21"/>
                      <w:u w:val="none"/>
                      <w:vertAlign w:val="superscript"/>
                      <w:lang w:bidi="ar"/>
                    </w:rPr>
                    <w:t>-5</w:t>
                  </w:r>
                </w:p>
              </w:tc>
              <w:tc>
                <w:tcPr>
                  <w:tcW w:w="610" w:type="pct"/>
                  <w:shd w:val="clear" w:color="auto" w:fill="auto"/>
                  <w:noWrap w:val="0"/>
                  <w:vAlign w:val="center"/>
                </w:tcPr>
                <w:p w14:paraId="60288ABD">
                  <w:pPr>
                    <w:jc w:val="center"/>
                    <w:rPr>
                      <w:rFonts w:hint="eastAsia" w:eastAsia="宋体"/>
                      <w:sz w:val="21"/>
                      <w:szCs w:val="21"/>
                      <w:u w:val="none"/>
                    </w:rPr>
                  </w:pPr>
                  <w:r>
                    <w:rPr>
                      <w:rFonts w:hint="eastAsia" w:eastAsia="宋体"/>
                      <w:sz w:val="21"/>
                      <w:szCs w:val="21"/>
                      <w:u w:val="none"/>
                    </w:rPr>
                    <w:t>/</w:t>
                  </w:r>
                </w:p>
              </w:tc>
              <w:tc>
                <w:tcPr>
                  <w:tcW w:w="569" w:type="pct"/>
                  <w:shd w:val="clear" w:color="auto" w:fill="auto"/>
                  <w:noWrap w:val="0"/>
                  <w:vAlign w:val="center"/>
                </w:tcPr>
                <w:p w14:paraId="15C37052">
                  <w:pPr>
                    <w:jc w:val="center"/>
                    <w:rPr>
                      <w:rFonts w:hint="eastAsia" w:eastAsia="宋体"/>
                      <w:sz w:val="21"/>
                      <w:szCs w:val="21"/>
                      <w:u w:val="none"/>
                    </w:rPr>
                  </w:pPr>
                  <w:r>
                    <w:rPr>
                      <w:rFonts w:hint="eastAsia" w:eastAsia="宋体"/>
                      <w:sz w:val="21"/>
                      <w:szCs w:val="21"/>
                      <w:u w:val="none"/>
                    </w:rPr>
                    <w:t>5.2</w:t>
                  </w:r>
                </w:p>
              </w:tc>
              <w:tc>
                <w:tcPr>
                  <w:tcW w:w="567" w:type="pct"/>
                  <w:shd w:val="clear" w:color="auto" w:fill="auto"/>
                  <w:noWrap w:val="0"/>
                  <w:vAlign w:val="center"/>
                </w:tcPr>
                <w:p w14:paraId="541A673A">
                  <w:pPr>
                    <w:jc w:val="center"/>
                    <w:rPr>
                      <w:rFonts w:eastAsia="宋体"/>
                      <w:sz w:val="21"/>
                      <w:szCs w:val="21"/>
                      <w:u w:val="none"/>
                    </w:rPr>
                  </w:pPr>
                  <w:r>
                    <w:rPr>
                      <w:rFonts w:eastAsia="宋体"/>
                      <w:sz w:val="21"/>
                      <w:szCs w:val="21"/>
                      <w:u w:val="none"/>
                    </w:rPr>
                    <w:t>是</w:t>
                  </w:r>
                </w:p>
              </w:tc>
            </w:tr>
            <w:tr w14:paraId="0150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shd w:val="clear" w:color="auto" w:fill="auto"/>
                  <w:noWrap w:val="0"/>
                  <w:vAlign w:val="center"/>
                </w:tcPr>
                <w:p w14:paraId="79BB1B1F">
                  <w:pPr>
                    <w:jc w:val="center"/>
                    <w:rPr>
                      <w:rFonts w:hint="eastAsia" w:eastAsia="宋体"/>
                      <w:sz w:val="21"/>
                      <w:szCs w:val="21"/>
                      <w:u w:val="none"/>
                    </w:rPr>
                  </w:pPr>
                </w:p>
              </w:tc>
              <w:tc>
                <w:tcPr>
                  <w:tcW w:w="904" w:type="pct"/>
                  <w:vMerge w:val="continue"/>
                  <w:shd w:val="clear" w:color="auto" w:fill="auto"/>
                  <w:noWrap w:val="0"/>
                  <w:vAlign w:val="center"/>
                </w:tcPr>
                <w:p w14:paraId="0CBA5C7A">
                  <w:pPr>
                    <w:jc w:val="center"/>
                    <w:rPr>
                      <w:rFonts w:eastAsia="宋体"/>
                      <w:sz w:val="21"/>
                      <w:szCs w:val="21"/>
                      <w:u w:val="none"/>
                      <w:lang w:val="de-DE"/>
                    </w:rPr>
                  </w:pPr>
                </w:p>
              </w:tc>
              <w:tc>
                <w:tcPr>
                  <w:tcW w:w="454" w:type="pct"/>
                  <w:shd w:val="clear" w:color="auto" w:fill="auto"/>
                  <w:noWrap w:val="0"/>
                  <w:vAlign w:val="center"/>
                </w:tcPr>
                <w:p w14:paraId="6AAB1E19">
                  <w:pPr>
                    <w:jc w:val="center"/>
                    <w:rPr>
                      <w:rFonts w:hint="eastAsia" w:eastAsia="宋体"/>
                      <w:sz w:val="21"/>
                      <w:szCs w:val="21"/>
                      <w:u w:val="none"/>
                    </w:rPr>
                  </w:pPr>
                  <w:r>
                    <w:rPr>
                      <w:rFonts w:hint="eastAsia" w:eastAsia="宋体"/>
                      <w:sz w:val="21"/>
                      <w:szCs w:val="21"/>
                      <w:u w:val="none"/>
                    </w:rPr>
                    <w:t>非甲烷总烃</w:t>
                  </w:r>
                </w:p>
              </w:tc>
              <w:tc>
                <w:tcPr>
                  <w:tcW w:w="720" w:type="pct"/>
                  <w:shd w:val="clear" w:color="auto" w:fill="auto"/>
                  <w:noWrap w:val="0"/>
                  <w:vAlign w:val="center"/>
                </w:tcPr>
                <w:p w14:paraId="101CF75C">
                  <w:pPr>
                    <w:jc w:val="center"/>
                    <w:rPr>
                      <w:rFonts w:hint="eastAsia" w:eastAsia="宋体"/>
                      <w:sz w:val="21"/>
                      <w:szCs w:val="21"/>
                      <w:u w:val="none"/>
                    </w:rPr>
                  </w:pPr>
                  <w:r>
                    <w:rPr>
                      <w:rFonts w:hint="eastAsia" w:eastAsia="宋体"/>
                      <w:sz w:val="21"/>
                      <w:szCs w:val="21"/>
                      <w:u w:val="none"/>
                    </w:rPr>
                    <w:t>41.5~47.1</w:t>
                  </w:r>
                </w:p>
              </w:tc>
              <w:tc>
                <w:tcPr>
                  <w:tcW w:w="732" w:type="pct"/>
                  <w:shd w:val="clear" w:color="auto" w:fill="auto"/>
                  <w:noWrap w:val="0"/>
                  <w:vAlign w:val="center"/>
                </w:tcPr>
                <w:p w14:paraId="3939C55E">
                  <w:pPr>
                    <w:jc w:val="center"/>
                    <w:rPr>
                      <w:rFonts w:hint="eastAsia" w:eastAsia="宋体"/>
                      <w:sz w:val="21"/>
                      <w:szCs w:val="21"/>
                      <w:u w:val="none"/>
                    </w:rPr>
                  </w:pPr>
                  <w:r>
                    <w:rPr>
                      <w:rFonts w:hint="eastAsia" w:eastAsia="宋体"/>
                      <w:sz w:val="21"/>
                      <w:szCs w:val="21"/>
                      <w:u w:val="none"/>
                    </w:rPr>
                    <w:t>0.57~0.68</w:t>
                  </w:r>
                </w:p>
              </w:tc>
              <w:tc>
                <w:tcPr>
                  <w:tcW w:w="1179" w:type="pct"/>
                  <w:gridSpan w:val="2"/>
                  <w:shd w:val="clear" w:color="auto" w:fill="auto"/>
                  <w:noWrap w:val="0"/>
                  <w:vAlign w:val="center"/>
                </w:tcPr>
                <w:p w14:paraId="1B7088A8">
                  <w:pPr>
                    <w:jc w:val="center"/>
                    <w:rPr>
                      <w:rFonts w:hint="eastAsia" w:eastAsia="宋体"/>
                      <w:sz w:val="21"/>
                      <w:szCs w:val="21"/>
                      <w:u w:val="none"/>
                    </w:rPr>
                  </w:pPr>
                  <w:r>
                    <w:rPr>
                      <w:rFonts w:hint="eastAsia" w:eastAsia="宋体"/>
                      <w:sz w:val="21"/>
                      <w:szCs w:val="21"/>
                      <w:u w:val="none"/>
                    </w:rPr>
                    <w:t>去除率≥95%</w:t>
                  </w:r>
                </w:p>
              </w:tc>
              <w:tc>
                <w:tcPr>
                  <w:tcW w:w="567" w:type="pct"/>
                  <w:shd w:val="clear" w:color="auto" w:fill="auto"/>
                  <w:noWrap w:val="0"/>
                  <w:vAlign w:val="center"/>
                </w:tcPr>
                <w:p w14:paraId="6AEE1147">
                  <w:pPr>
                    <w:jc w:val="center"/>
                    <w:rPr>
                      <w:rFonts w:eastAsia="宋体"/>
                      <w:sz w:val="21"/>
                      <w:szCs w:val="21"/>
                      <w:u w:val="none"/>
                    </w:rPr>
                  </w:pPr>
                  <w:r>
                    <w:rPr>
                      <w:rFonts w:eastAsia="宋体"/>
                      <w:sz w:val="21"/>
                      <w:szCs w:val="21"/>
                      <w:u w:val="none"/>
                    </w:rPr>
                    <w:t>是</w:t>
                  </w:r>
                </w:p>
              </w:tc>
            </w:tr>
          </w:tbl>
          <w:p w14:paraId="2D1CB3F2">
            <w:pPr>
              <w:spacing w:line="500" w:lineRule="atLeast"/>
              <w:ind w:firstLine="480" w:firstLineChars="200"/>
              <w:jc w:val="left"/>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综合所述，煤输送转运站、煤筒仓、煤磨前煤仓、磨煤干燥、煤加压、灰渣干燥等系统各排气筒满足《大气污染物综合排放标准》（GB16297-1996）；甲醇1#加热炉、甲醇2#加热炉、变换加热炉、罐区废气满足《石油化学工业污染物排放标准》（GB 31571-2015）及其修改单要求；硫回收焚烧炉满足《石油炼制工业污染物排放标准》（GB 31570-2015）及其修改单要求。</w:t>
            </w:r>
          </w:p>
          <w:p w14:paraId="2F5C1AB3">
            <w:pPr>
              <w:spacing w:line="500" w:lineRule="atLeast"/>
              <w:ind w:firstLine="480" w:firstLineChars="200"/>
              <w:jc w:val="left"/>
              <w:rPr>
                <w:rFonts w:hint="default" w:ascii="Times New Roman" w:hAnsi="Times New Roman" w:cs="Times New Roman"/>
                <w:bCs/>
                <w:sz w:val="24"/>
                <w:lang w:val="en-US" w:eastAsia="zh-CN"/>
              </w:rPr>
            </w:pPr>
            <w:r>
              <w:rPr>
                <w:rFonts w:hint="default" w:ascii="Times New Roman" w:hAnsi="Times New Roman" w:cs="Times New Roman"/>
                <w:bCs/>
                <w:sz w:val="24"/>
                <w:lang w:val="en-US" w:eastAsia="zh-CN"/>
              </w:rPr>
              <w:t>各有组织排气筒排放量见</w:t>
            </w:r>
            <w:r>
              <w:rPr>
                <w:rFonts w:hint="eastAsia" w:cs="Times New Roman"/>
                <w:bCs/>
                <w:sz w:val="24"/>
                <w:lang w:val="en-US" w:eastAsia="zh-CN"/>
              </w:rPr>
              <w:t>下表</w:t>
            </w:r>
            <w:r>
              <w:rPr>
                <w:rFonts w:hint="default" w:ascii="Times New Roman" w:hAnsi="Times New Roman" w:cs="Times New Roman"/>
                <w:bCs/>
                <w:sz w:val="24"/>
                <w:lang w:val="en-US" w:eastAsia="zh-CN"/>
              </w:rPr>
              <w:t>。</w:t>
            </w:r>
          </w:p>
          <w:p w14:paraId="658D005D">
            <w:pPr>
              <w:pStyle w:val="51"/>
              <w:numPr>
                <w:ilvl w:val="2"/>
                <w:numId w:val="3"/>
              </w:numPr>
              <w:spacing w:line="500" w:lineRule="atLeast"/>
              <w:ind w:firstLineChars="0"/>
              <w:jc w:val="center"/>
              <w:rPr>
                <w:rFonts w:hint="default" w:ascii="Times New Roman" w:hAnsi="Times New Roman" w:cs="Times New Roman"/>
                <w:bCs/>
                <w:sz w:val="24"/>
                <w:lang w:val="en-US" w:eastAsia="zh-CN"/>
              </w:rPr>
            </w:pPr>
            <w:r>
              <w:rPr>
                <w:rFonts w:hint="default"/>
                <w:b/>
                <w:sz w:val="24"/>
                <w:lang w:val="en-US" w:eastAsia="zh-CN"/>
              </w:rPr>
              <w:t>各有组织废气排放量统计结果</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08"/>
              <w:gridCol w:w="1739"/>
              <w:gridCol w:w="1174"/>
              <w:gridCol w:w="964"/>
              <w:gridCol w:w="1065"/>
              <w:gridCol w:w="1181"/>
              <w:gridCol w:w="1179"/>
            </w:tblGrid>
            <w:tr w14:paraId="5DED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59" w:type="pct"/>
                  <w:shd w:val="clear" w:color="auto" w:fill="auto"/>
                  <w:noWrap w:val="0"/>
                  <w:vAlign w:val="center"/>
                </w:tcPr>
                <w:p w14:paraId="1DB5D933">
                  <w:pPr>
                    <w:kinsoku w:val="0"/>
                    <w:overflowPunct w:val="0"/>
                    <w:jc w:val="center"/>
                    <w:rPr>
                      <w:rFonts w:eastAsia="宋体"/>
                      <w:bCs/>
                      <w:sz w:val="21"/>
                      <w:u w:val="none"/>
                    </w:rPr>
                  </w:pPr>
                  <w:r>
                    <w:rPr>
                      <w:rFonts w:eastAsia="宋体"/>
                      <w:bCs/>
                      <w:sz w:val="21"/>
                      <w:szCs w:val="21"/>
                      <w:u w:val="none"/>
                    </w:rPr>
                    <w:t>产生源</w:t>
                  </w:r>
                </w:p>
              </w:tc>
              <w:tc>
                <w:tcPr>
                  <w:tcW w:w="1034" w:type="pct"/>
                  <w:shd w:val="clear" w:color="auto" w:fill="auto"/>
                  <w:noWrap w:val="0"/>
                  <w:vAlign w:val="center"/>
                </w:tcPr>
                <w:p w14:paraId="0F1607E8">
                  <w:pPr>
                    <w:kinsoku w:val="0"/>
                    <w:overflowPunct w:val="0"/>
                    <w:jc w:val="center"/>
                    <w:rPr>
                      <w:rFonts w:eastAsia="宋体"/>
                      <w:bCs/>
                      <w:sz w:val="21"/>
                      <w:szCs w:val="21"/>
                      <w:u w:val="none"/>
                    </w:rPr>
                  </w:pPr>
                  <w:r>
                    <w:rPr>
                      <w:rFonts w:hint="eastAsia" w:eastAsia="宋体"/>
                      <w:bCs/>
                      <w:sz w:val="21"/>
                      <w:szCs w:val="21"/>
                      <w:u w:val="none"/>
                    </w:rPr>
                    <w:t>排气筒编号</w:t>
                  </w:r>
                </w:p>
              </w:tc>
              <w:tc>
                <w:tcPr>
                  <w:tcW w:w="698" w:type="pct"/>
                  <w:shd w:val="clear" w:color="auto" w:fill="auto"/>
                  <w:noWrap w:val="0"/>
                  <w:vAlign w:val="center"/>
                </w:tcPr>
                <w:p w14:paraId="28A27ED0">
                  <w:pPr>
                    <w:kinsoku w:val="0"/>
                    <w:overflowPunct w:val="0"/>
                    <w:jc w:val="center"/>
                    <w:rPr>
                      <w:rFonts w:eastAsia="宋体"/>
                      <w:bCs/>
                      <w:sz w:val="21"/>
                      <w:szCs w:val="21"/>
                      <w:u w:val="none"/>
                    </w:rPr>
                  </w:pPr>
                  <w:r>
                    <w:rPr>
                      <w:rFonts w:hint="eastAsia" w:eastAsia="宋体"/>
                      <w:bCs/>
                      <w:sz w:val="21"/>
                      <w:szCs w:val="21"/>
                      <w:u w:val="none"/>
                    </w:rPr>
                    <w:t>污染因子</w:t>
                  </w:r>
                </w:p>
              </w:tc>
              <w:tc>
                <w:tcPr>
                  <w:tcW w:w="573" w:type="pct"/>
                  <w:shd w:val="clear" w:color="auto" w:fill="auto"/>
                  <w:noWrap w:val="0"/>
                  <w:vAlign w:val="center"/>
                </w:tcPr>
                <w:p w14:paraId="7A9A486B">
                  <w:pPr>
                    <w:kinsoku w:val="0"/>
                    <w:overflowPunct w:val="0"/>
                    <w:jc w:val="center"/>
                    <w:rPr>
                      <w:rFonts w:hint="eastAsia" w:eastAsia="宋体"/>
                      <w:bCs/>
                      <w:sz w:val="21"/>
                      <w:u w:val="none"/>
                    </w:rPr>
                  </w:pPr>
                  <w:r>
                    <w:rPr>
                      <w:rFonts w:hint="eastAsia" w:eastAsia="宋体"/>
                      <w:bCs/>
                      <w:sz w:val="21"/>
                      <w:u w:val="none"/>
                    </w:rPr>
                    <w:t>污染物浓度</w:t>
                  </w:r>
                </w:p>
                <w:p w14:paraId="1E6A77FB">
                  <w:pPr>
                    <w:kinsoku w:val="0"/>
                    <w:overflowPunct w:val="0"/>
                    <w:jc w:val="center"/>
                    <w:rPr>
                      <w:rFonts w:eastAsia="宋体"/>
                      <w:bCs/>
                      <w:sz w:val="21"/>
                      <w:u w:val="none"/>
                    </w:rPr>
                  </w:pPr>
                  <w:r>
                    <w:rPr>
                      <w:rFonts w:hint="eastAsia" w:eastAsia="宋体"/>
                      <w:bCs/>
                      <w:sz w:val="21"/>
                      <w:u w:val="none"/>
                    </w:rPr>
                    <w:t>mg/m</w:t>
                  </w:r>
                  <w:r>
                    <w:rPr>
                      <w:rFonts w:hint="eastAsia" w:eastAsia="宋体"/>
                      <w:bCs/>
                      <w:sz w:val="21"/>
                      <w:u w:val="none"/>
                      <w:vertAlign w:val="superscript"/>
                    </w:rPr>
                    <w:t>3</w:t>
                  </w:r>
                </w:p>
              </w:tc>
              <w:tc>
                <w:tcPr>
                  <w:tcW w:w="633" w:type="pct"/>
                  <w:shd w:val="clear" w:color="auto" w:fill="auto"/>
                  <w:noWrap w:val="0"/>
                  <w:vAlign w:val="center"/>
                </w:tcPr>
                <w:p w14:paraId="368633B6">
                  <w:pPr>
                    <w:kinsoku w:val="0"/>
                    <w:overflowPunct w:val="0"/>
                    <w:jc w:val="center"/>
                    <w:rPr>
                      <w:rFonts w:hint="eastAsia" w:eastAsia="宋体"/>
                      <w:bCs/>
                      <w:sz w:val="21"/>
                      <w:szCs w:val="21"/>
                      <w:u w:val="none"/>
                    </w:rPr>
                  </w:pPr>
                  <w:r>
                    <w:rPr>
                      <w:rFonts w:hint="eastAsia" w:eastAsia="宋体"/>
                      <w:bCs/>
                      <w:sz w:val="21"/>
                      <w:szCs w:val="21"/>
                      <w:u w:val="none"/>
                    </w:rPr>
                    <w:t>风量</w:t>
                  </w:r>
                </w:p>
                <w:p w14:paraId="3F03EA2B">
                  <w:pPr>
                    <w:kinsoku w:val="0"/>
                    <w:overflowPunct w:val="0"/>
                    <w:jc w:val="center"/>
                    <w:rPr>
                      <w:rFonts w:hint="eastAsia" w:eastAsia="宋体"/>
                      <w:bCs/>
                      <w:sz w:val="21"/>
                      <w:szCs w:val="21"/>
                      <w:u w:val="none"/>
                    </w:rPr>
                  </w:pPr>
                  <w:r>
                    <w:rPr>
                      <w:rFonts w:hint="eastAsia" w:eastAsia="宋体"/>
                      <w:bCs/>
                      <w:sz w:val="21"/>
                      <w:u w:val="none"/>
                    </w:rPr>
                    <w:t>m</w:t>
                  </w:r>
                  <w:r>
                    <w:rPr>
                      <w:rFonts w:hint="eastAsia" w:eastAsia="宋体"/>
                      <w:bCs/>
                      <w:sz w:val="21"/>
                      <w:u w:val="none"/>
                      <w:vertAlign w:val="superscript"/>
                    </w:rPr>
                    <w:t>3</w:t>
                  </w:r>
                  <w:r>
                    <w:rPr>
                      <w:rFonts w:hint="eastAsia" w:eastAsia="宋体"/>
                      <w:bCs/>
                      <w:sz w:val="21"/>
                      <w:u w:val="none"/>
                    </w:rPr>
                    <w:t>/h</w:t>
                  </w:r>
                </w:p>
              </w:tc>
              <w:tc>
                <w:tcPr>
                  <w:tcW w:w="702" w:type="pct"/>
                  <w:shd w:val="clear" w:color="auto" w:fill="auto"/>
                  <w:noWrap w:val="0"/>
                  <w:vAlign w:val="center"/>
                </w:tcPr>
                <w:p w14:paraId="40191C1F">
                  <w:pPr>
                    <w:kinsoku w:val="0"/>
                    <w:overflowPunct w:val="0"/>
                    <w:jc w:val="center"/>
                    <w:rPr>
                      <w:rFonts w:hint="eastAsia" w:eastAsia="宋体"/>
                      <w:bCs/>
                      <w:sz w:val="21"/>
                      <w:szCs w:val="21"/>
                      <w:u w:val="none"/>
                    </w:rPr>
                  </w:pPr>
                  <w:r>
                    <w:rPr>
                      <w:rFonts w:hint="eastAsia" w:eastAsia="宋体"/>
                      <w:bCs/>
                      <w:sz w:val="21"/>
                      <w:szCs w:val="21"/>
                      <w:u w:val="none"/>
                    </w:rPr>
                    <w:t>运行时间</w:t>
                  </w:r>
                </w:p>
                <w:p w14:paraId="029766AE">
                  <w:pPr>
                    <w:kinsoku w:val="0"/>
                    <w:overflowPunct w:val="0"/>
                    <w:jc w:val="center"/>
                    <w:rPr>
                      <w:rFonts w:eastAsia="宋体"/>
                      <w:bCs/>
                      <w:sz w:val="21"/>
                      <w:szCs w:val="21"/>
                      <w:u w:val="none"/>
                    </w:rPr>
                  </w:pPr>
                  <w:r>
                    <w:rPr>
                      <w:rFonts w:hint="eastAsia" w:eastAsia="宋体"/>
                      <w:bCs/>
                      <w:sz w:val="21"/>
                      <w:szCs w:val="21"/>
                      <w:u w:val="none"/>
                    </w:rPr>
                    <w:t>h</w:t>
                  </w:r>
                </w:p>
              </w:tc>
              <w:tc>
                <w:tcPr>
                  <w:tcW w:w="701" w:type="pct"/>
                  <w:shd w:val="clear" w:color="auto" w:fill="auto"/>
                  <w:noWrap w:val="0"/>
                  <w:vAlign w:val="center"/>
                </w:tcPr>
                <w:p w14:paraId="12285E62">
                  <w:pPr>
                    <w:kinsoku w:val="0"/>
                    <w:overflowPunct w:val="0"/>
                    <w:jc w:val="center"/>
                    <w:rPr>
                      <w:rFonts w:hint="eastAsia" w:eastAsia="宋体"/>
                      <w:bCs/>
                      <w:sz w:val="21"/>
                      <w:szCs w:val="21"/>
                      <w:u w:val="none"/>
                    </w:rPr>
                  </w:pPr>
                  <w:r>
                    <w:rPr>
                      <w:rFonts w:hint="eastAsia" w:eastAsia="宋体"/>
                      <w:bCs/>
                      <w:sz w:val="21"/>
                      <w:szCs w:val="21"/>
                      <w:u w:val="none"/>
                    </w:rPr>
                    <w:t>排放量</w:t>
                  </w:r>
                </w:p>
                <w:p w14:paraId="22F3E197">
                  <w:pPr>
                    <w:kinsoku w:val="0"/>
                    <w:overflowPunct w:val="0"/>
                    <w:jc w:val="center"/>
                    <w:rPr>
                      <w:rFonts w:eastAsia="宋体"/>
                      <w:bCs/>
                      <w:sz w:val="21"/>
                      <w:szCs w:val="21"/>
                      <w:u w:val="none"/>
                    </w:rPr>
                  </w:pPr>
                  <w:r>
                    <w:rPr>
                      <w:rFonts w:hint="eastAsia" w:eastAsia="宋体"/>
                      <w:bCs/>
                      <w:sz w:val="21"/>
                      <w:szCs w:val="21"/>
                      <w:u w:val="none"/>
                    </w:rPr>
                    <w:t>t/a</w:t>
                  </w:r>
                </w:p>
              </w:tc>
            </w:tr>
            <w:tr w14:paraId="7CF1B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136BB703">
                  <w:pPr>
                    <w:kinsoku w:val="0"/>
                    <w:overflowPunct w:val="0"/>
                    <w:jc w:val="center"/>
                    <w:rPr>
                      <w:rFonts w:eastAsia="宋体"/>
                      <w:bCs/>
                      <w:sz w:val="21"/>
                      <w:u w:val="none"/>
                    </w:rPr>
                  </w:pPr>
                  <w:r>
                    <w:rPr>
                      <w:rFonts w:eastAsia="宋体"/>
                      <w:bCs/>
                      <w:sz w:val="21"/>
                      <w:szCs w:val="21"/>
                      <w:u w:val="none"/>
                    </w:rPr>
                    <w:t>煤输送转运</w:t>
                  </w:r>
                </w:p>
              </w:tc>
              <w:tc>
                <w:tcPr>
                  <w:tcW w:w="1034" w:type="pct"/>
                  <w:shd w:val="clear" w:color="auto" w:fill="auto"/>
                  <w:noWrap w:val="0"/>
                  <w:vAlign w:val="center"/>
                </w:tcPr>
                <w:p w14:paraId="49556D19">
                  <w:pPr>
                    <w:kinsoku w:val="0"/>
                    <w:overflowPunct w:val="0"/>
                    <w:jc w:val="center"/>
                    <w:rPr>
                      <w:rFonts w:eastAsia="宋体"/>
                      <w:bCs/>
                      <w:sz w:val="21"/>
                      <w:szCs w:val="21"/>
                      <w:u w:val="none"/>
                    </w:rPr>
                  </w:pPr>
                  <w:r>
                    <w:rPr>
                      <w:rFonts w:eastAsia="宋体"/>
                      <w:bCs/>
                      <w:sz w:val="21"/>
                      <w:szCs w:val="21"/>
                      <w:u w:val="none"/>
                    </w:rPr>
                    <w:t>DA026</w:t>
                  </w:r>
                </w:p>
              </w:tc>
              <w:tc>
                <w:tcPr>
                  <w:tcW w:w="698" w:type="pct"/>
                  <w:shd w:val="clear" w:color="auto" w:fill="auto"/>
                  <w:noWrap w:val="0"/>
                  <w:vAlign w:val="center"/>
                </w:tcPr>
                <w:p w14:paraId="315A4234">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52712D7A">
                  <w:pPr>
                    <w:widowControl/>
                    <w:jc w:val="center"/>
                    <w:textAlignment w:val="center"/>
                    <w:rPr>
                      <w:rFonts w:eastAsia="宋体"/>
                      <w:bCs/>
                      <w:sz w:val="21"/>
                      <w:u w:val="none"/>
                    </w:rPr>
                  </w:pPr>
                  <w:r>
                    <w:rPr>
                      <w:rFonts w:eastAsia="宋体"/>
                      <w:kern w:val="0"/>
                      <w:sz w:val="21"/>
                      <w:szCs w:val="21"/>
                      <w:u w:val="none"/>
                      <w:lang w:bidi="ar"/>
                    </w:rPr>
                    <w:t>46.6</w:t>
                  </w:r>
                </w:p>
              </w:tc>
              <w:tc>
                <w:tcPr>
                  <w:tcW w:w="633" w:type="pct"/>
                  <w:shd w:val="clear" w:color="auto" w:fill="auto"/>
                  <w:noWrap w:val="0"/>
                  <w:vAlign w:val="center"/>
                </w:tcPr>
                <w:p w14:paraId="2F2C40E6">
                  <w:pPr>
                    <w:kinsoku w:val="0"/>
                    <w:overflowPunct w:val="0"/>
                    <w:jc w:val="center"/>
                    <w:rPr>
                      <w:rFonts w:hint="eastAsia" w:eastAsia="宋体"/>
                      <w:bCs/>
                      <w:sz w:val="21"/>
                      <w:u w:val="none"/>
                    </w:rPr>
                  </w:pPr>
                  <w:r>
                    <w:rPr>
                      <w:rFonts w:eastAsia="宋体"/>
                      <w:bCs/>
                      <w:sz w:val="21"/>
                      <w:u w:val="none"/>
                    </w:rPr>
                    <w:t>11500</w:t>
                  </w:r>
                </w:p>
              </w:tc>
              <w:tc>
                <w:tcPr>
                  <w:tcW w:w="702" w:type="pct"/>
                  <w:shd w:val="clear" w:color="auto" w:fill="auto"/>
                  <w:noWrap w:val="0"/>
                  <w:vAlign w:val="center"/>
                </w:tcPr>
                <w:p w14:paraId="52CF743F">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20AD4DE">
                  <w:pPr>
                    <w:kinsoku w:val="0"/>
                    <w:overflowPunct w:val="0"/>
                    <w:jc w:val="center"/>
                    <w:rPr>
                      <w:rFonts w:hint="eastAsia" w:eastAsia="宋体"/>
                      <w:bCs/>
                      <w:sz w:val="21"/>
                      <w:u w:val="none"/>
                    </w:rPr>
                  </w:pPr>
                  <w:r>
                    <w:rPr>
                      <w:rFonts w:hint="eastAsia" w:eastAsia="宋体"/>
                      <w:bCs/>
                      <w:sz w:val="21"/>
                      <w:u w:val="none"/>
                    </w:rPr>
                    <w:t xml:space="preserve">4.287 </w:t>
                  </w:r>
                </w:p>
              </w:tc>
            </w:tr>
            <w:tr w14:paraId="2F951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FD744D9">
                  <w:pPr>
                    <w:kinsoku w:val="0"/>
                    <w:overflowPunct w:val="0"/>
                    <w:jc w:val="center"/>
                    <w:rPr>
                      <w:rFonts w:eastAsia="宋体"/>
                      <w:bCs/>
                      <w:sz w:val="21"/>
                      <w:u w:val="none"/>
                    </w:rPr>
                  </w:pPr>
                </w:p>
              </w:tc>
              <w:tc>
                <w:tcPr>
                  <w:tcW w:w="1034" w:type="pct"/>
                  <w:shd w:val="clear" w:color="auto" w:fill="auto"/>
                  <w:noWrap w:val="0"/>
                  <w:vAlign w:val="center"/>
                </w:tcPr>
                <w:p w14:paraId="6B1F7ECC">
                  <w:pPr>
                    <w:kinsoku w:val="0"/>
                    <w:overflowPunct w:val="0"/>
                    <w:jc w:val="center"/>
                    <w:rPr>
                      <w:rFonts w:eastAsia="宋体"/>
                      <w:bCs/>
                      <w:sz w:val="21"/>
                      <w:szCs w:val="21"/>
                      <w:u w:val="none"/>
                    </w:rPr>
                  </w:pPr>
                  <w:r>
                    <w:rPr>
                      <w:rFonts w:eastAsia="宋体"/>
                      <w:bCs/>
                      <w:sz w:val="21"/>
                      <w:szCs w:val="21"/>
                      <w:u w:val="none"/>
                    </w:rPr>
                    <w:t>DA027</w:t>
                  </w:r>
                </w:p>
              </w:tc>
              <w:tc>
                <w:tcPr>
                  <w:tcW w:w="698" w:type="pct"/>
                  <w:shd w:val="clear" w:color="auto" w:fill="auto"/>
                  <w:noWrap w:val="0"/>
                  <w:vAlign w:val="center"/>
                </w:tcPr>
                <w:p w14:paraId="35B5BC1C">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2A8398BF">
                  <w:pPr>
                    <w:widowControl/>
                    <w:jc w:val="center"/>
                    <w:textAlignment w:val="center"/>
                    <w:rPr>
                      <w:rFonts w:eastAsia="宋体"/>
                      <w:bCs/>
                      <w:sz w:val="21"/>
                      <w:u w:val="none"/>
                    </w:rPr>
                  </w:pPr>
                  <w:r>
                    <w:rPr>
                      <w:rFonts w:eastAsia="宋体"/>
                      <w:kern w:val="0"/>
                      <w:sz w:val="21"/>
                      <w:szCs w:val="21"/>
                      <w:u w:val="none"/>
                      <w:lang w:bidi="ar"/>
                    </w:rPr>
                    <w:t>29.2</w:t>
                  </w:r>
                </w:p>
              </w:tc>
              <w:tc>
                <w:tcPr>
                  <w:tcW w:w="633" w:type="pct"/>
                  <w:shd w:val="clear" w:color="auto" w:fill="auto"/>
                  <w:noWrap w:val="0"/>
                  <w:vAlign w:val="center"/>
                </w:tcPr>
                <w:p w14:paraId="56F7B1C3">
                  <w:pPr>
                    <w:kinsoku w:val="0"/>
                    <w:overflowPunct w:val="0"/>
                    <w:jc w:val="center"/>
                    <w:rPr>
                      <w:rFonts w:hint="eastAsia" w:eastAsia="宋体"/>
                      <w:bCs/>
                      <w:sz w:val="21"/>
                      <w:u w:val="none"/>
                    </w:rPr>
                  </w:pPr>
                  <w:r>
                    <w:rPr>
                      <w:rFonts w:eastAsia="宋体"/>
                      <w:bCs/>
                      <w:sz w:val="21"/>
                      <w:u w:val="none"/>
                    </w:rPr>
                    <w:t>11500</w:t>
                  </w:r>
                </w:p>
              </w:tc>
              <w:tc>
                <w:tcPr>
                  <w:tcW w:w="702" w:type="pct"/>
                  <w:shd w:val="clear" w:color="auto" w:fill="auto"/>
                  <w:noWrap w:val="0"/>
                  <w:vAlign w:val="center"/>
                </w:tcPr>
                <w:p w14:paraId="790AE614">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7C6926A">
                  <w:pPr>
                    <w:kinsoku w:val="0"/>
                    <w:overflowPunct w:val="0"/>
                    <w:jc w:val="center"/>
                    <w:rPr>
                      <w:rFonts w:hint="eastAsia" w:eastAsia="宋体"/>
                      <w:bCs/>
                      <w:sz w:val="21"/>
                      <w:u w:val="none"/>
                    </w:rPr>
                  </w:pPr>
                  <w:r>
                    <w:rPr>
                      <w:rFonts w:hint="eastAsia" w:eastAsia="宋体"/>
                      <w:bCs/>
                      <w:sz w:val="21"/>
                      <w:u w:val="none"/>
                    </w:rPr>
                    <w:t xml:space="preserve">2.686 </w:t>
                  </w:r>
                </w:p>
              </w:tc>
            </w:tr>
            <w:tr w14:paraId="7F611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372AC61">
                  <w:pPr>
                    <w:kinsoku w:val="0"/>
                    <w:overflowPunct w:val="0"/>
                    <w:jc w:val="center"/>
                    <w:rPr>
                      <w:rFonts w:eastAsia="宋体"/>
                      <w:bCs/>
                      <w:sz w:val="21"/>
                      <w:u w:val="none"/>
                    </w:rPr>
                  </w:pPr>
                </w:p>
              </w:tc>
              <w:tc>
                <w:tcPr>
                  <w:tcW w:w="1034" w:type="pct"/>
                  <w:shd w:val="clear" w:color="auto" w:fill="auto"/>
                  <w:noWrap w:val="0"/>
                  <w:vAlign w:val="center"/>
                </w:tcPr>
                <w:p w14:paraId="3BA3D2E4">
                  <w:pPr>
                    <w:kinsoku w:val="0"/>
                    <w:overflowPunct w:val="0"/>
                    <w:jc w:val="center"/>
                    <w:rPr>
                      <w:rFonts w:eastAsia="宋体"/>
                      <w:bCs/>
                      <w:sz w:val="21"/>
                      <w:szCs w:val="21"/>
                      <w:u w:val="none"/>
                    </w:rPr>
                  </w:pPr>
                  <w:r>
                    <w:rPr>
                      <w:rFonts w:eastAsia="宋体"/>
                      <w:bCs/>
                      <w:sz w:val="21"/>
                      <w:szCs w:val="21"/>
                      <w:u w:val="none"/>
                    </w:rPr>
                    <w:t>DA028</w:t>
                  </w:r>
                </w:p>
              </w:tc>
              <w:tc>
                <w:tcPr>
                  <w:tcW w:w="698" w:type="pct"/>
                  <w:shd w:val="clear" w:color="auto" w:fill="auto"/>
                  <w:noWrap w:val="0"/>
                  <w:vAlign w:val="center"/>
                </w:tcPr>
                <w:p w14:paraId="1F1A195B">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59BE0346">
                  <w:pPr>
                    <w:widowControl/>
                    <w:jc w:val="center"/>
                    <w:textAlignment w:val="center"/>
                    <w:rPr>
                      <w:rFonts w:eastAsia="宋体"/>
                      <w:bCs/>
                      <w:sz w:val="21"/>
                      <w:u w:val="none"/>
                    </w:rPr>
                  </w:pPr>
                  <w:r>
                    <w:rPr>
                      <w:rFonts w:eastAsia="宋体"/>
                      <w:kern w:val="0"/>
                      <w:sz w:val="21"/>
                      <w:szCs w:val="21"/>
                      <w:u w:val="none"/>
                      <w:lang w:bidi="ar"/>
                    </w:rPr>
                    <w:t>11.7</w:t>
                  </w:r>
                </w:p>
              </w:tc>
              <w:tc>
                <w:tcPr>
                  <w:tcW w:w="633" w:type="pct"/>
                  <w:shd w:val="clear" w:color="auto" w:fill="auto"/>
                  <w:noWrap w:val="0"/>
                  <w:vAlign w:val="center"/>
                </w:tcPr>
                <w:p w14:paraId="67125266">
                  <w:pPr>
                    <w:kinsoku w:val="0"/>
                    <w:overflowPunct w:val="0"/>
                    <w:jc w:val="center"/>
                    <w:rPr>
                      <w:rFonts w:hint="eastAsia" w:eastAsia="宋体"/>
                      <w:bCs/>
                      <w:sz w:val="21"/>
                      <w:u w:val="none"/>
                    </w:rPr>
                  </w:pPr>
                  <w:r>
                    <w:rPr>
                      <w:rFonts w:eastAsia="宋体"/>
                      <w:bCs/>
                      <w:sz w:val="21"/>
                      <w:u w:val="none"/>
                    </w:rPr>
                    <w:t>8900</w:t>
                  </w:r>
                </w:p>
              </w:tc>
              <w:tc>
                <w:tcPr>
                  <w:tcW w:w="702" w:type="pct"/>
                  <w:shd w:val="clear" w:color="auto" w:fill="auto"/>
                  <w:noWrap w:val="0"/>
                  <w:vAlign w:val="center"/>
                </w:tcPr>
                <w:p w14:paraId="5D3F572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7F8C37A">
                  <w:pPr>
                    <w:kinsoku w:val="0"/>
                    <w:overflowPunct w:val="0"/>
                    <w:jc w:val="center"/>
                    <w:rPr>
                      <w:rFonts w:hint="eastAsia" w:eastAsia="宋体"/>
                      <w:bCs/>
                      <w:sz w:val="21"/>
                      <w:u w:val="none"/>
                    </w:rPr>
                  </w:pPr>
                  <w:r>
                    <w:rPr>
                      <w:rFonts w:hint="eastAsia" w:eastAsia="宋体"/>
                      <w:bCs/>
                      <w:sz w:val="21"/>
                      <w:u w:val="none"/>
                    </w:rPr>
                    <w:t xml:space="preserve">0.833 </w:t>
                  </w:r>
                </w:p>
              </w:tc>
            </w:tr>
            <w:tr w14:paraId="36977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E8FAD6F">
                  <w:pPr>
                    <w:kinsoku w:val="0"/>
                    <w:overflowPunct w:val="0"/>
                    <w:jc w:val="center"/>
                    <w:rPr>
                      <w:rFonts w:eastAsia="宋体"/>
                      <w:bCs/>
                      <w:sz w:val="21"/>
                      <w:u w:val="none"/>
                    </w:rPr>
                  </w:pPr>
                </w:p>
              </w:tc>
              <w:tc>
                <w:tcPr>
                  <w:tcW w:w="1034" w:type="pct"/>
                  <w:shd w:val="clear" w:color="auto" w:fill="auto"/>
                  <w:noWrap w:val="0"/>
                  <w:vAlign w:val="center"/>
                </w:tcPr>
                <w:p w14:paraId="08E410D9">
                  <w:pPr>
                    <w:kinsoku w:val="0"/>
                    <w:overflowPunct w:val="0"/>
                    <w:jc w:val="center"/>
                    <w:rPr>
                      <w:rFonts w:eastAsia="宋体"/>
                      <w:bCs/>
                      <w:sz w:val="21"/>
                      <w:szCs w:val="21"/>
                      <w:u w:val="none"/>
                    </w:rPr>
                  </w:pPr>
                  <w:r>
                    <w:rPr>
                      <w:rFonts w:eastAsia="宋体"/>
                      <w:bCs/>
                      <w:sz w:val="21"/>
                      <w:szCs w:val="21"/>
                      <w:u w:val="none"/>
                    </w:rPr>
                    <w:t>DA029</w:t>
                  </w:r>
                </w:p>
              </w:tc>
              <w:tc>
                <w:tcPr>
                  <w:tcW w:w="698" w:type="pct"/>
                  <w:shd w:val="clear" w:color="auto" w:fill="auto"/>
                  <w:noWrap w:val="0"/>
                  <w:vAlign w:val="center"/>
                </w:tcPr>
                <w:p w14:paraId="08551D18">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54D4AC42">
                  <w:pPr>
                    <w:widowControl/>
                    <w:jc w:val="center"/>
                    <w:textAlignment w:val="center"/>
                    <w:rPr>
                      <w:rFonts w:eastAsia="宋体"/>
                      <w:bCs/>
                      <w:sz w:val="21"/>
                      <w:u w:val="none"/>
                    </w:rPr>
                  </w:pPr>
                  <w:r>
                    <w:rPr>
                      <w:rFonts w:eastAsia="宋体"/>
                      <w:kern w:val="0"/>
                      <w:sz w:val="21"/>
                      <w:szCs w:val="21"/>
                      <w:u w:val="none"/>
                      <w:lang w:bidi="ar"/>
                    </w:rPr>
                    <w:t>36.2</w:t>
                  </w:r>
                </w:p>
              </w:tc>
              <w:tc>
                <w:tcPr>
                  <w:tcW w:w="633" w:type="pct"/>
                  <w:shd w:val="clear" w:color="auto" w:fill="auto"/>
                  <w:noWrap w:val="0"/>
                  <w:vAlign w:val="center"/>
                </w:tcPr>
                <w:p w14:paraId="75DA35C6">
                  <w:pPr>
                    <w:kinsoku w:val="0"/>
                    <w:overflowPunct w:val="0"/>
                    <w:jc w:val="center"/>
                    <w:rPr>
                      <w:rFonts w:hint="eastAsia" w:eastAsia="宋体"/>
                      <w:bCs/>
                      <w:sz w:val="21"/>
                      <w:u w:val="none"/>
                    </w:rPr>
                  </w:pPr>
                  <w:r>
                    <w:rPr>
                      <w:rFonts w:eastAsia="宋体"/>
                      <w:bCs/>
                      <w:sz w:val="21"/>
                      <w:u w:val="none"/>
                    </w:rPr>
                    <w:t>6900</w:t>
                  </w:r>
                </w:p>
              </w:tc>
              <w:tc>
                <w:tcPr>
                  <w:tcW w:w="702" w:type="pct"/>
                  <w:shd w:val="clear" w:color="auto" w:fill="auto"/>
                  <w:noWrap w:val="0"/>
                  <w:vAlign w:val="center"/>
                </w:tcPr>
                <w:p w14:paraId="1188184B">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1D0D496">
                  <w:pPr>
                    <w:kinsoku w:val="0"/>
                    <w:overflowPunct w:val="0"/>
                    <w:jc w:val="center"/>
                    <w:rPr>
                      <w:rFonts w:hint="eastAsia" w:eastAsia="宋体"/>
                      <w:bCs/>
                      <w:sz w:val="21"/>
                      <w:u w:val="none"/>
                    </w:rPr>
                  </w:pPr>
                  <w:r>
                    <w:rPr>
                      <w:rFonts w:hint="eastAsia" w:eastAsia="宋体"/>
                      <w:bCs/>
                      <w:sz w:val="21"/>
                      <w:u w:val="none"/>
                    </w:rPr>
                    <w:t xml:space="preserve">1.998 </w:t>
                  </w:r>
                </w:p>
              </w:tc>
            </w:tr>
            <w:tr w14:paraId="61AED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5C7931F">
                  <w:pPr>
                    <w:kinsoku w:val="0"/>
                    <w:overflowPunct w:val="0"/>
                    <w:jc w:val="center"/>
                    <w:rPr>
                      <w:rFonts w:eastAsia="宋体"/>
                      <w:bCs/>
                      <w:sz w:val="21"/>
                      <w:u w:val="none"/>
                    </w:rPr>
                  </w:pPr>
                </w:p>
              </w:tc>
              <w:tc>
                <w:tcPr>
                  <w:tcW w:w="1034" w:type="pct"/>
                  <w:shd w:val="clear" w:color="auto" w:fill="auto"/>
                  <w:noWrap w:val="0"/>
                  <w:vAlign w:val="center"/>
                </w:tcPr>
                <w:p w14:paraId="3438C20C">
                  <w:pPr>
                    <w:kinsoku w:val="0"/>
                    <w:overflowPunct w:val="0"/>
                    <w:jc w:val="center"/>
                    <w:rPr>
                      <w:rFonts w:eastAsia="宋体"/>
                      <w:bCs/>
                      <w:sz w:val="21"/>
                      <w:szCs w:val="21"/>
                      <w:u w:val="none"/>
                    </w:rPr>
                  </w:pPr>
                  <w:r>
                    <w:rPr>
                      <w:rFonts w:eastAsia="宋体"/>
                      <w:bCs/>
                      <w:sz w:val="21"/>
                      <w:szCs w:val="21"/>
                      <w:u w:val="none"/>
                    </w:rPr>
                    <w:t>DA030</w:t>
                  </w:r>
                </w:p>
              </w:tc>
              <w:tc>
                <w:tcPr>
                  <w:tcW w:w="698" w:type="pct"/>
                  <w:shd w:val="clear" w:color="auto" w:fill="auto"/>
                  <w:noWrap w:val="0"/>
                  <w:vAlign w:val="center"/>
                </w:tcPr>
                <w:p w14:paraId="70B2AADF">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60981ED8">
                  <w:pPr>
                    <w:widowControl/>
                    <w:jc w:val="center"/>
                    <w:textAlignment w:val="center"/>
                    <w:rPr>
                      <w:rFonts w:eastAsia="宋体"/>
                      <w:bCs/>
                      <w:sz w:val="21"/>
                      <w:u w:val="none"/>
                    </w:rPr>
                  </w:pPr>
                  <w:r>
                    <w:rPr>
                      <w:rFonts w:eastAsia="宋体"/>
                      <w:kern w:val="0"/>
                      <w:sz w:val="21"/>
                      <w:szCs w:val="21"/>
                      <w:u w:val="none"/>
                      <w:lang w:bidi="ar"/>
                    </w:rPr>
                    <w:t>46.6</w:t>
                  </w:r>
                </w:p>
              </w:tc>
              <w:tc>
                <w:tcPr>
                  <w:tcW w:w="633" w:type="pct"/>
                  <w:shd w:val="clear" w:color="auto" w:fill="auto"/>
                  <w:noWrap w:val="0"/>
                  <w:vAlign w:val="center"/>
                </w:tcPr>
                <w:p w14:paraId="2ED8FD3A">
                  <w:pPr>
                    <w:kinsoku w:val="0"/>
                    <w:overflowPunct w:val="0"/>
                    <w:jc w:val="center"/>
                    <w:rPr>
                      <w:rFonts w:hint="eastAsia" w:eastAsia="宋体"/>
                      <w:bCs/>
                      <w:sz w:val="21"/>
                      <w:u w:val="none"/>
                    </w:rPr>
                  </w:pPr>
                  <w:r>
                    <w:rPr>
                      <w:rFonts w:eastAsia="宋体"/>
                      <w:bCs/>
                      <w:sz w:val="21"/>
                      <w:u w:val="none"/>
                    </w:rPr>
                    <w:t>10800</w:t>
                  </w:r>
                </w:p>
              </w:tc>
              <w:tc>
                <w:tcPr>
                  <w:tcW w:w="702" w:type="pct"/>
                  <w:shd w:val="clear" w:color="auto" w:fill="auto"/>
                  <w:noWrap w:val="0"/>
                  <w:vAlign w:val="center"/>
                </w:tcPr>
                <w:p w14:paraId="728C4B7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530D265">
                  <w:pPr>
                    <w:kinsoku w:val="0"/>
                    <w:overflowPunct w:val="0"/>
                    <w:jc w:val="center"/>
                    <w:rPr>
                      <w:rFonts w:hint="eastAsia" w:eastAsia="宋体"/>
                      <w:bCs/>
                      <w:sz w:val="21"/>
                      <w:u w:val="none"/>
                    </w:rPr>
                  </w:pPr>
                  <w:r>
                    <w:rPr>
                      <w:rFonts w:hint="eastAsia" w:eastAsia="宋体"/>
                      <w:bCs/>
                      <w:sz w:val="21"/>
                      <w:u w:val="none"/>
                    </w:rPr>
                    <w:t xml:space="preserve">4.026 </w:t>
                  </w:r>
                </w:p>
              </w:tc>
            </w:tr>
            <w:tr w14:paraId="6C72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181EA702">
                  <w:pPr>
                    <w:kinsoku w:val="0"/>
                    <w:overflowPunct w:val="0"/>
                    <w:jc w:val="center"/>
                    <w:rPr>
                      <w:rFonts w:hint="eastAsia" w:eastAsia="宋体"/>
                      <w:bCs/>
                      <w:sz w:val="21"/>
                      <w:u w:val="none"/>
                    </w:rPr>
                  </w:pPr>
                  <w:r>
                    <w:rPr>
                      <w:rFonts w:eastAsia="宋体"/>
                      <w:bCs/>
                      <w:sz w:val="21"/>
                      <w:szCs w:val="21"/>
                      <w:u w:val="none"/>
                    </w:rPr>
                    <w:t>煤</w:t>
                  </w:r>
                  <w:r>
                    <w:rPr>
                      <w:rFonts w:hint="eastAsia" w:eastAsia="宋体"/>
                      <w:bCs/>
                      <w:sz w:val="21"/>
                      <w:szCs w:val="21"/>
                      <w:u w:val="none"/>
                    </w:rPr>
                    <w:t>筒仓</w:t>
                  </w:r>
                </w:p>
              </w:tc>
              <w:tc>
                <w:tcPr>
                  <w:tcW w:w="1034" w:type="pct"/>
                  <w:shd w:val="clear" w:color="auto" w:fill="auto"/>
                  <w:noWrap w:val="0"/>
                  <w:vAlign w:val="center"/>
                </w:tcPr>
                <w:p w14:paraId="05A09C4F">
                  <w:pPr>
                    <w:kinsoku w:val="0"/>
                    <w:overflowPunct w:val="0"/>
                    <w:jc w:val="center"/>
                    <w:rPr>
                      <w:rFonts w:eastAsia="宋体"/>
                      <w:bCs/>
                      <w:sz w:val="21"/>
                      <w:szCs w:val="21"/>
                      <w:u w:val="none"/>
                    </w:rPr>
                  </w:pPr>
                  <w:r>
                    <w:rPr>
                      <w:rFonts w:eastAsia="宋体"/>
                      <w:bCs/>
                      <w:sz w:val="21"/>
                      <w:szCs w:val="21"/>
                      <w:u w:val="none"/>
                    </w:rPr>
                    <w:t>DA022</w:t>
                  </w:r>
                </w:p>
              </w:tc>
              <w:tc>
                <w:tcPr>
                  <w:tcW w:w="698" w:type="pct"/>
                  <w:shd w:val="clear" w:color="auto" w:fill="auto"/>
                  <w:noWrap w:val="0"/>
                  <w:vAlign w:val="center"/>
                </w:tcPr>
                <w:p w14:paraId="5DC732B1">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7D4FB7F4">
                  <w:pPr>
                    <w:widowControl/>
                    <w:jc w:val="center"/>
                    <w:textAlignment w:val="center"/>
                    <w:rPr>
                      <w:rFonts w:eastAsia="宋体"/>
                      <w:bCs/>
                      <w:sz w:val="21"/>
                      <w:u w:val="none"/>
                    </w:rPr>
                  </w:pPr>
                  <w:r>
                    <w:rPr>
                      <w:rFonts w:eastAsia="宋体"/>
                      <w:kern w:val="0"/>
                      <w:sz w:val="21"/>
                      <w:szCs w:val="21"/>
                      <w:u w:val="none"/>
                      <w:lang w:bidi="ar"/>
                    </w:rPr>
                    <w:t>19.2</w:t>
                  </w:r>
                </w:p>
              </w:tc>
              <w:tc>
                <w:tcPr>
                  <w:tcW w:w="633" w:type="pct"/>
                  <w:shd w:val="clear" w:color="auto" w:fill="auto"/>
                  <w:noWrap w:val="0"/>
                  <w:vAlign w:val="center"/>
                </w:tcPr>
                <w:p w14:paraId="3EC4BF29">
                  <w:pPr>
                    <w:kinsoku w:val="0"/>
                    <w:overflowPunct w:val="0"/>
                    <w:jc w:val="center"/>
                    <w:rPr>
                      <w:rFonts w:hint="eastAsia" w:eastAsia="宋体"/>
                      <w:bCs/>
                      <w:sz w:val="21"/>
                      <w:u w:val="none"/>
                    </w:rPr>
                  </w:pPr>
                  <w:r>
                    <w:rPr>
                      <w:rFonts w:eastAsia="宋体"/>
                      <w:bCs/>
                      <w:sz w:val="21"/>
                      <w:u w:val="none"/>
                    </w:rPr>
                    <w:t>22500</w:t>
                  </w:r>
                </w:p>
              </w:tc>
              <w:tc>
                <w:tcPr>
                  <w:tcW w:w="702" w:type="pct"/>
                  <w:shd w:val="clear" w:color="auto" w:fill="auto"/>
                  <w:noWrap w:val="0"/>
                  <w:vAlign w:val="center"/>
                </w:tcPr>
                <w:p w14:paraId="5FD6835D">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978410A">
                  <w:pPr>
                    <w:kinsoku w:val="0"/>
                    <w:overflowPunct w:val="0"/>
                    <w:jc w:val="center"/>
                    <w:rPr>
                      <w:rFonts w:hint="eastAsia" w:eastAsia="宋体"/>
                      <w:bCs/>
                      <w:sz w:val="21"/>
                      <w:u w:val="none"/>
                    </w:rPr>
                  </w:pPr>
                  <w:r>
                    <w:rPr>
                      <w:rFonts w:hint="eastAsia" w:eastAsia="宋体"/>
                      <w:bCs/>
                      <w:sz w:val="21"/>
                      <w:u w:val="none"/>
                    </w:rPr>
                    <w:t xml:space="preserve">3.456 </w:t>
                  </w:r>
                </w:p>
              </w:tc>
            </w:tr>
            <w:tr w14:paraId="73AE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771018C">
                  <w:pPr>
                    <w:kinsoku w:val="0"/>
                    <w:overflowPunct w:val="0"/>
                    <w:jc w:val="center"/>
                    <w:rPr>
                      <w:rFonts w:eastAsia="宋体"/>
                      <w:bCs/>
                      <w:sz w:val="21"/>
                      <w:u w:val="none"/>
                    </w:rPr>
                  </w:pPr>
                </w:p>
              </w:tc>
              <w:tc>
                <w:tcPr>
                  <w:tcW w:w="1034" w:type="pct"/>
                  <w:shd w:val="clear" w:color="auto" w:fill="auto"/>
                  <w:noWrap w:val="0"/>
                  <w:vAlign w:val="center"/>
                </w:tcPr>
                <w:p w14:paraId="0F727B86">
                  <w:pPr>
                    <w:kinsoku w:val="0"/>
                    <w:overflowPunct w:val="0"/>
                    <w:jc w:val="center"/>
                    <w:rPr>
                      <w:rFonts w:eastAsia="宋体"/>
                      <w:bCs/>
                      <w:sz w:val="21"/>
                      <w:szCs w:val="21"/>
                      <w:u w:val="none"/>
                    </w:rPr>
                  </w:pPr>
                  <w:r>
                    <w:rPr>
                      <w:rFonts w:eastAsia="宋体"/>
                      <w:bCs/>
                      <w:sz w:val="21"/>
                      <w:szCs w:val="21"/>
                      <w:u w:val="none"/>
                    </w:rPr>
                    <w:t>DA023</w:t>
                  </w:r>
                </w:p>
              </w:tc>
              <w:tc>
                <w:tcPr>
                  <w:tcW w:w="698" w:type="pct"/>
                  <w:shd w:val="clear" w:color="auto" w:fill="auto"/>
                  <w:noWrap w:val="0"/>
                  <w:vAlign w:val="center"/>
                </w:tcPr>
                <w:p w14:paraId="6DE67C64">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2B593AFA">
                  <w:pPr>
                    <w:widowControl/>
                    <w:jc w:val="center"/>
                    <w:textAlignment w:val="center"/>
                    <w:rPr>
                      <w:rFonts w:eastAsia="宋体"/>
                      <w:bCs/>
                      <w:sz w:val="21"/>
                      <w:u w:val="none"/>
                    </w:rPr>
                  </w:pPr>
                  <w:r>
                    <w:rPr>
                      <w:rFonts w:eastAsia="宋体"/>
                      <w:kern w:val="0"/>
                      <w:sz w:val="21"/>
                      <w:szCs w:val="21"/>
                      <w:u w:val="none"/>
                      <w:lang w:bidi="ar"/>
                    </w:rPr>
                    <w:t>13.8</w:t>
                  </w:r>
                </w:p>
              </w:tc>
              <w:tc>
                <w:tcPr>
                  <w:tcW w:w="633" w:type="pct"/>
                  <w:shd w:val="clear" w:color="auto" w:fill="auto"/>
                  <w:noWrap w:val="0"/>
                  <w:vAlign w:val="center"/>
                </w:tcPr>
                <w:p w14:paraId="63EAAB5A">
                  <w:pPr>
                    <w:kinsoku w:val="0"/>
                    <w:overflowPunct w:val="0"/>
                    <w:jc w:val="center"/>
                    <w:rPr>
                      <w:rFonts w:hint="eastAsia" w:eastAsia="宋体"/>
                      <w:bCs/>
                      <w:sz w:val="21"/>
                      <w:u w:val="none"/>
                    </w:rPr>
                  </w:pPr>
                  <w:r>
                    <w:rPr>
                      <w:rFonts w:eastAsia="宋体"/>
                      <w:bCs/>
                      <w:sz w:val="21"/>
                      <w:u w:val="none"/>
                    </w:rPr>
                    <w:t>10800</w:t>
                  </w:r>
                </w:p>
              </w:tc>
              <w:tc>
                <w:tcPr>
                  <w:tcW w:w="702" w:type="pct"/>
                  <w:shd w:val="clear" w:color="auto" w:fill="auto"/>
                  <w:noWrap w:val="0"/>
                  <w:vAlign w:val="center"/>
                </w:tcPr>
                <w:p w14:paraId="3A12514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5C461DE">
                  <w:pPr>
                    <w:kinsoku w:val="0"/>
                    <w:overflowPunct w:val="0"/>
                    <w:jc w:val="center"/>
                    <w:rPr>
                      <w:rFonts w:hint="eastAsia" w:eastAsia="宋体"/>
                      <w:bCs/>
                      <w:sz w:val="21"/>
                      <w:u w:val="none"/>
                    </w:rPr>
                  </w:pPr>
                  <w:r>
                    <w:rPr>
                      <w:rFonts w:hint="eastAsia" w:eastAsia="宋体"/>
                      <w:bCs/>
                      <w:sz w:val="21"/>
                      <w:u w:val="none"/>
                    </w:rPr>
                    <w:t xml:space="preserve">1.192 </w:t>
                  </w:r>
                </w:p>
              </w:tc>
            </w:tr>
            <w:tr w14:paraId="0CCAC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DFCC756">
                  <w:pPr>
                    <w:kinsoku w:val="0"/>
                    <w:overflowPunct w:val="0"/>
                    <w:jc w:val="center"/>
                    <w:rPr>
                      <w:rFonts w:eastAsia="宋体"/>
                      <w:bCs/>
                      <w:sz w:val="21"/>
                      <w:u w:val="none"/>
                    </w:rPr>
                  </w:pPr>
                </w:p>
              </w:tc>
              <w:tc>
                <w:tcPr>
                  <w:tcW w:w="1034" w:type="pct"/>
                  <w:shd w:val="clear" w:color="auto" w:fill="auto"/>
                  <w:noWrap w:val="0"/>
                  <w:vAlign w:val="center"/>
                </w:tcPr>
                <w:p w14:paraId="0293B4CA">
                  <w:pPr>
                    <w:kinsoku w:val="0"/>
                    <w:overflowPunct w:val="0"/>
                    <w:jc w:val="center"/>
                    <w:rPr>
                      <w:rFonts w:eastAsia="宋体"/>
                      <w:bCs/>
                      <w:sz w:val="21"/>
                      <w:szCs w:val="21"/>
                      <w:u w:val="none"/>
                    </w:rPr>
                  </w:pPr>
                  <w:r>
                    <w:rPr>
                      <w:rFonts w:eastAsia="宋体"/>
                      <w:bCs/>
                      <w:sz w:val="21"/>
                      <w:szCs w:val="21"/>
                      <w:u w:val="none"/>
                    </w:rPr>
                    <w:t>DA024</w:t>
                  </w:r>
                </w:p>
              </w:tc>
              <w:tc>
                <w:tcPr>
                  <w:tcW w:w="698" w:type="pct"/>
                  <w:shd w:val="clear" w:color="auto" w:fill="auto"/>
                  <w:noWrap w:val="0"/>
                  <w:vAlign w:val="center"/>
                </w:tcPr>
                <w:p w14:paraId="580336B8">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7753AAD5">
                  <w:pPr>
                    <w:widowControl/>
                    <w:jc w:val="center"/>
                    <w:textAlignment w:val="center"/>
                    <w:rPr>
                      <w:rFonts w:eastAsia="宋体"/>
                      <w:bCs/>
                      <w:sz w:val="21"/>
                      <w:u w:val="none"/>
                    </w:rPr>
                  </w:pPr>
                  <w:r>
                    <w:rPr>
                      <w:rFonts w:eastAsia="宋体"/>
                      <w:kern w:val="0"/>
                      <w:sz w:val="21"/>
                      <w:szCs w:val="21"/>
                      <w:u w:val="none"/>
                      <w:lang w:bidi="ar"/>
                    </w:rPr>
                    <w:t>12.3</w:t>
                  </w:r>
                </w:p>
              </w:tc>
              <w:tc>
                <w:tcPr>
                  <w:tcW w:w="633" w:type="pct"/>
                  <w:shd w:val="clear" w:color="auto" w:fill="auto"/>
                  <w:noWrap w:val="0"/>
                  <w:vAlign w:val="center"/>
                </w:tcPr>
                <w:p w14:paraId="6EC85633">
                  <w:pPr>
                    <w:kinsoku w:val="0"/>
                    <w:overflowPunct w:val="0"/>
                    <w:jc w:val="center"/>
                    <w:rPr>
                      <w:rFonts w:hint="eastAsia" w:eastAsia="宋体"/>
                      <w:bCs/>
                      <w:sz w:val="21"/>
                      <w:u w:val="none"/>
                    </w:rPr>
                  </w:pPr>
                  <w:r>
                    <w:rPr>
                      <w:rFonts w:eastAsia="宋体"/>
                      <w:bCs/>
                      <w:sz w:val="21"/>
                      <w:u w:val="none"/>
                    </w:rPr>
                    <w:t>10800</w:t>
                  </w:r>
                </w:p>
              </w:tc>
              <w:tc>
                <w:tcPr>
                  <w:tcW w:w="702" w:type="pct"/>
                  <w:shd w:val="clear" w:color="auto" w:fill="auto"/>
                  <w:noWrap w:val="0"/>
                  <w:vAlign w:val="center"/>
                </w:tcPr>
                <w:p w14:paraId="351687F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458BB7AB">
                  <w:pPr>
                    <w:kinsoku w:val="0"/>
                    <w:overflowPunct w:val="0"/>
                    <w:jc w:val="center"/>
                    <w:rPr>
                      <w:rFonts w:hint="eastAsia" w:eastAsia="宋体"/>
                      <w:bCs/>
                      <w:sz w:val="21"/>
                      <w:u w:val="none"/>
                    </w:rPr>
                  </w:pPr>
                  <w:r>
                    <w:rPr>
                      <w:rFonts w:hint="eastAsia" w:eastAsia="宋体"/>
                      <w:bCs/>
                      <w:sz w:val="21"/>
                      <w:u w:val="none"/>
                    </w:rPr>
                    <w:t xml:space="preserve">1.063 </w:t>
                  </w:r>
                </w:p>
              </w:tc>
            </w:tr>
            <w:tr w14:paraId="73229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24E5C940">
                  <w:pPr>
                    <w:kinsoku w:val="0"/>
                    <w:overflowPunct w:val="0"/>
                    <w:jc w:val="center"/>
                    <w:rPr>
                      <w:rFonts w:eastAsia="宋体"/>
                      <w:bCs/>
                      <w:sz w:val="21"/>
                      <w:u w:val="none"/>
                    </w:rPr>
                  </w:pPr>
                  <w:r>
                    <w:rPr>
                      <w:rFonts w:eastAsia="宋体"/>
                      <w:bCs/>
                      <w:sz w:val="21"/>
                      <w:szCs w:val="21"/>
                      <w:u w:val="none"/>
                    </w:rPr>
                    <w:t>煤磨前煤仓</w:t>
                  </w:r>
                </w:p>
              </w:tc>
              <w:tc>
                <w:tcPr>
                  <w:tcW w:w="1034" w:type="pct"/>
                  <w:shd w:val="clear" w:color="auto" w:fill="auto"/>
                  <w:noWrap w:val="0"/>
                  <w:vAlign w:val="center"/>
                </w:tcPr>
                <w:p w14:paraId="518C8771">
                  <w:pPr>
                    <w:kinsoku w:val="0"/>
                    <w:overflowPunct w:val="0"/>
                    <w:jc w:val="center"/>
                    <w:rPr>
                      <w:rFonts w:eastAsia="宋体"/>
                      <w:bCs/>
                      <w:sz w:val="21"/>
                      <w:szCs w:val="21"/>
                      <w:u w:val="none"/>
                    </w:rPr>
                  </w:pPr>
                  <w:r>
                    <w:rPr>
                      <w:rFonts w:eastAsia="宋体"/>
                      <w:bCs/>
                      <w:sz w:val="21"/>
                      <w:szCs w:val="21"/>
                      <w:u w:val="none"/>
                    </w:rPr>
                    <w:t>DA010</w:t>
                  </w:r>
                </w:p>
              </w:tc>
              <w:tc>
                <w:tcPr>
                  <w:tcW w:w="698" w:type="pct"/>
                  <w:shd w:val="clear" w:color="auto" w:fill="auto"/>
                  <w:noWrap w:val="0"/>
                  <w:vAlign w:val="center"/>
                </w:tcPr>
                <w:p w14:paraId="6C928B13">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20D33B65">
                  <w:pPr>
                    <w:widowControl/>
                    <w:jc w:val="center"/>
                    <w:textAlignment w:val="center"/>
                    <w:rPr>
                      <w:rFonts w:eastAsia="宋体"/>
                      <w:bCs/>
                      <w:sz w:val="21"/>
                      <w:u w:val="none"/>
                    </w:rPr>
                  </w:pPr>
                  <w:r>
                    <w:rPr>
                      <w:rFonts w:eastAsia="宋体"/>
                      <w:kern w:val="0"/>
                      <w:sz w:val="21"/>
                      <w:szCs w:val="21"/>
                      <w:u w:val="none"/>
                      <w:lang w:bidi="ar"/>
                    </w:rPr>
                    <w:t>49.1</w:t>
                  </w:r>
                </w:p>
              </w:tc>
              <w:tc>
                <w:tcPr>
                  <w:tcW w:w="633" w:type="pct"/>
                  <w:shd w:val="clear" w:color="auto" w:fill="auto"/>
                  <w:noWrap w:val="0"/>
                  <w:vAlign w:val="center"/>
                </w:tcPr>
                <w:p w14:paraId="1A4BE8BD">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09507AB4">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C3A832D">
                  <w:pPr>
                    <w:kinsoku w:val="0"/>
                    <w:overflowPunct w:val="0"/>
                    <w:jc w:val="center"/>
                    <w:rPr>
                      <w:rFonts w:hint="eastAsia" w:eastAsia="宋体"/>
                      <w:bCs/>
                      <w:sz w:val="21"/>
                      <w:u w:val="none"/>
                    </w:rPr>
                  </w:pPr>
                  <w:r>
                    <w:rPr>
                      <w:rFonts w:hint="eastAsia" w:eastAsia="宋体"/>
                      <w:bCs/>
                      <w:sz w:val="21"/>
                      <w:u w:val="none"/>
                    </w:rPr>
                    <w:t xml:space="preserve">0.393 </w:t>
                  </w:r>
                </w:p>
              </w:tc>
            </w:tr>
            <w:tr w14:paraId="1F407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0F286006">
                  <w:pPr>
                    <w:kinsoku w:val="0"/>
                    <w:overflowPunct w:val="0"/>
                    <w:jc w:val="center"/>
                    <w:rPr>
                      <w:rFonts w:eastAsia="宋体"/>
                      <w:bCs/>
                      <w:sz w:val="21"/>
                      <w:u w:val="none"/>
                    </w:rPr>
                  </w:pPr>
                </w:p>
              </w:tc>
              <w:tc>
                <w:tcPr>
                  <w:tcW w:w="1034" w:type="pct"/>
                  <w:shd w:val="clear" w:color="auto" w:fill="auto"/>
                  <w:noWrap w:val="0"/>
                  <w:vAlign w:val="center"/>
                </w:tcPr>
                <w:p w14:paraId="5F2BF6F5">
                  <w:pPr>
                    <w:kinsoku w:val="0"/>
                    <w:overflowPunct w:val="0"/>
                    <w:jc w:val="center"/>
                    <w:rPr>
                      <w:rFonts w:eastAsia="宋体"/>
                      <w:bCs/>
                      <w:sz w:val="21"/>
                      <w:szCs w:val="21"/>
                      <w:u w:val="none"/>
                    </w:rPr>
                  </w:pPr>
                  <w:r>
                    <w:rPr>
                      <w:rFonts w:eastAsia="宋体"/>
                      <w:bCs/>
                      <w:sz w:val="21"/>
                      <w:szCs w:val="21"/>
                      <w:u w:val="none"/>
                    </w:rPr>
                    <w:t>DA012</w:t>
                  </w:r>
                </w:p>
              </w:tc>
              <w:tc>
                <w:tcPr>
                  <w:tcW w:w="698" w:type="pct"/>
                  <w:shd w:val="clear" w:color="auto" w:fill="auto"/>
                  <w:noWrap w:val="0"/>
                  <w:vAlign w:val="center"/>
                </w:tcPr>
                <w:p w14:paraId="32101C4A">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6BB6211D">
                  <w:pPr>
                    <w:widowControl/>
                    <w:jc w:val="center"/>
                    <w:textAlignment w:val="center"/>
                    <w:rPr>
                      <w:rFonts w:eastAsia="宋体"/>
                      <w:bCs/>
                      <w:sz w:val="21"/>
                      <w:u w:val="none"/>
                    </w:rPr>
                  </w:pPr>
                  <w:r>
                    <w:rPr>
                      <w:rFonts w:eastAsia="宋体"/>
                      <w:kern w:val="0"/>
                      <w:sz w:val="21"/>
                      <w:szCs w:val="21"/>
                      <w:u w:val="none"/>
                      <w:lang w:bidi="ar"/>
                    </w:rPr>
                    <w:t>35.2</w:t>
                  </w:r>
                </w:p>
              </w:tc>
              <w:tc>
                <w:tcPr>
                  <w:tcW w:w="633" w:type="pct"/>
                  <w:shd w:val="clear" w:color="auto" w:fill="auto"/>
                  <w:noWrap w:val="0"/>
                  <w:vAlign w:val="center"/>
                </w:tcPr>
                <w:p w14:paraId="1B097551">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4646A08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794C2C0">
                  <w:pPr>
                    <w:kinsoku w:val="0"/>
                    <w:overflowPunct w:val="0"/>
                    <w:jc w:val="center"/>
                    <w:rPr>
                      <w:rFonts w:hint="eastAsia" w:eastAsia="宋体"/>
                      <w:bCs/>
                      <w:sz w:val="21"/>
                      <w:u w:val="none"/>
                    </w:rPr>
                  </w:pPr>
                  <w:r>
                    <w:rPr>
                      <w:rFonts w:hint="eastAsia" w:eastAsia="宋体"/>
                      <w:bCs/>
                      <w:sz w:val="21"/>
                      <w:u w:val="none"/>
                    </w:rPr>
                    <w:t xml:space="preserve">0.282 </w:t>
                  </w:r>
                </w:p>
              </w:tc>
            </w:tr>
            <w:tr w14:paraId="65AE8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5738247">
                  <w:pPr>
                    <w:kinsoku w:val="0"/>
                    <w:overflowPunct w:val="0"/>
                    <w:jc w:val="center"/>
                    <w:rPr>
                      <w:rFonts w:eastAsia="宋体"/>
                      <w:bCs/>
                      <w:sz w:val="21"/>
                      <w:u w:val="none"/>
                    </w:rPr>
                  </w:pPr>
                </w:p>
              </w:tc>
              <w:tc>
                <w:tcPr>
                  <w:tcW w:w="1034" w:type="pct"/>
                  <w:shd w:val="clear" w:color="auto" w:fill="auto"/>
                  <w:noWrap w:val="0"/>
                  <w:vAlign w:val="center"/>
                </w:tcPr>
                <w:p w14:paraId="3C27729B">
                  <w:pPr>
                    <w:kinsoku w:val="0"/>
                    <w:overflowPunct w:val="0"/>
                    <w:jc w:val="center"/>
                    <w:rPr>
                      <w:rFonts w:eastAsia="宋体"/>
                      <w:bCs/>
                      <w:sz w:val="21"/>
                      <w:szCs w:val="21"/>
                      <w:u w:val="none"/>
                    </w:rPr>
                  </w:pPr>
                  <w:r>
                    <w:rPr>
                      <w:rFonts w:eastAsia="宋体"/>
                      <w:bCs/>
                      <w:sz w:val="21"/>
                      <w:szCs w:val="21"/>
                      <w:u w:val="none"/>
                    </w:rPr>
                    <w:t>DA014</w:t>
                  </w:r>
                </w:p>
              </w:tc>
              <w:tc>
                <w:tcPr>
                  <w:tcW w:w="698" w:type="pct"/>
                  <w:shd w:val="clear" w:color="auto" w:fill="auto"/>
                  <w:noWrap w:val="0"/>
                  <w:vAlign w:val="center"/>
                </w:tcPr>
                <w:p w14:paraId="14240EAC">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D3BF985">
                  <w:pPr>
                    <w:widowControl/>
                    <w:jc w:val="center"/>
                    <w:textAlignment w:val="center"/>
                    <w:rPr>
                      <w:rFonts w:eastAsia="宋体"/>
                      <w:bCs/>
                      <w:sz w:val="21"/>
                      <w:u w:val="none"/>
                    </w:rPr>
                  </w:pPr>
                  <w:r>
                    <w:rPr>
                      <w:rFonts w:eastAsia="宋体"/>
                      <w:kern w:val="0"/>
                      <w:sz w:val="21"/>
                      <w:szCs w:val="21"/>
                      <w:u w:val="none"/>
                      <w:lang w:bidi="ar"/>
                    </w:rPr>
                    <w:t>17.2</w:t>
                  </w:r>
                </w:p>
              </w:tc>
              <w:tc>
                <w:tcPr>
                  <w:tcW w:w="633" w:type="pct"/>
                  <w:shd w:val="clear" w:color="auto" w:fill="auto"/>
                  <w:noWrap w:val="0"/>
                  <w:vAlign w:val="center"/>
                </w:tcPr>
                <w:p w14:paraId="74B60C35">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54BD80E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31907B0">
                  <w:pPr>
                    <w:kinsoku w:val="0"/>
                    <w:overflowPunct w:val="0"/>
                    <w:jc w:val="center"/>
                    <w:rPr>
                      <w:rFonts w:hint="eastAsia" w:eastAsia="宋体"/>
                      <w:bCs/>
                      <w:sz w:val="21"/>
                      <w:u w:val="none"/>
                    </w:rPr>
                  </w:pPr>
                  <w:r>
                    <w:rPr>
                      <w:rFonts w:hint="eastAsia" w:eastAsia="宋体"/>
                      <w:bCs/>
                      <w:sz w:val="21"/>
                      <w:u w:val="none"/>
                    </w:rPr>
                    <w:t xml:space="preserve">0.138 </w:t>
                  </w:r>
                </w:p>
              </w:tc>
            </w:tr>
            <w:tr w14:paraId="35E76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201A8B0">
                  <w:pPr>
                    <w:kinsoku w:val="0"/>
                    <w:overflowPunct w:val="0"/>
                    <w:jc w:val="center"/>
                    <w:rPr>
                      <w:rFonts w:eastAsia="宋体"/>
                      <w:bCs/>
                      <w:sz w:val="21"/>
                      <w:u w:val="none"/>
                    </w:rPr>
                  </w:pPr>
                </w:p>
              </w:tc>
              <w:tc>
                <w:tcPr>
                  <w:tcW w:w="1034" w:type="pct"/>
                  <w:shd w:val="clear" w:color="auto" w:fill="auto"/>
                  <w:noWrap w:val="0"/>
                  <w:vAlign w:val="center"/>
                </w:tcPr>
                <w:p w14:paraId="75AA1FED">
                  <w:pPr>
                    <w:kinsoku w:val="0"/>
                    <w:overflowPunct w:val="0"/>
                    <w:jc w:val="center"/>
                    <w:rPr>
                      <w:rFonts w:eastAsia="宋体"/>
                      <w:bCs/>
                      <w:sz w:val="21"/>
                      <w:szCs w:val="21"/>
                      <w:u w:val="none"/>
                    </w:rPr>
                  </w:pPr>
                  <w:r>
                    <w:rPr>
                      <w:rFonts w:eastAsia="宋体"/>
                      <w:bCs/>
                      <w:sz w:val="21"/>
                      <w:szCs w:val="21"/>
                      <w:u w:val="none"/>
                    </w:rPr>
                    <w:t>DA016</w:t>
                  </w:r>
                </w:p>
              </w:tc>
              <w:tc>
                <w:tcPr>
                  <w:tcW w:w="698" w:type="pct"/>
                  <w:shd w:val="clear" w:color="auto" w:fill="auto"/>
                  <w:noWrap w:val="0"/>
                  <w:vAlign w:val="center"/>
                </w:tcPr>
                <w:p w14:paraId="3AA80737">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FF8684E">
                  <w:pPr>
                    <w:widowControl/>
                    <w:jc w:val="center"/>
                    <w:textAlignment w:val="center"/>
                    <w:rPr>
                      <w:rFonts w:eastAsia="宋体"/>
                      <w:bCs/>
                      <w:sz w:val="21"/>
                      <w:u w:val="none"/>
                    </w:rPr>
                  </w:pPr>
                  <w:r>
                    <w:rPr>
                      <w:rFonts w:eastAsia="宋体"/>
                      <w:kern w:val="0"/>
                      <w:sz w:val="21"/>
                      <w:szCs w:val="21"/>
                      <w:u w:val="none"/>
                      <w:lang w:bidi="ar"/>
                    </w:rPr>
                    <w:t>53</w:t>
                  </w:r>
                </w:p>
              </w:tc>
              <w:tc>
                <w:tcPr>
                  <w:tcW w:w="633" w:type="pct"/>
                  <w:shd w:val="clear" w:color="auto" w:fill="auto"/>
                  <w:noWrap w:val="0"/>
                  <w:vAlign w:val="center"/>
                </w:tcPr>
                <w:p w14:paraId="45212724">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77E577CD">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0264A1E">
                  <w:pPr>
                    <w:kinsoku w:val="0"/>
                    <w:overflowPunct w:val="0"/>
                    <w:jc w:val="center"/>
                    <w:rPr>
                      <w:rFonts w:hint="eastAsia" w:eastAsia="宋体"/>
                      <w:bCs/>
                      <w:sz w:val="21"/>
                      <w:u w:val="none"/>
                    </w:rPr>
                  </w:pPr>
                  <w:r>
                    <w:rPr>
                      <w:rFonts w:hint="eastAsia" w:eastAsia="宋体"/>
                      <w:bCs/>
                      <w:sz w:val="21"/>
                      <w:u w:val="none"/>
                    </w:rPr>
                    <w:t xml:space="preserve">0.424 </w:t>
                  </w:r>
                </w:p>
              </w:tc>
            </w:tr>
            <w:tr w14:paraId="25D90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4968751">
                  <w:pPr>
                    <w:kinsoku w:val="0"/>
                    <w:overflowPunct w:val="0"/>
                    <w:jc w:val="center"/>
                    <w:rPr>
                      <w:rFonts w:eastAsia="宋体"/>
                      <w:bCs/>
                      <w:sz w:val="21"/>
                      <w:u w:val="none"/>
                    </w:rPr>
                  </w:pPr>
                </w:p>
              </w:tc>
              <w:tc>
                <w:tcPr>
                  <w:tcW w:w="1034" w:type="pct"/>
                  <w:shd w:val="clear" w:color="auto" w:fill="auto"/>
                  <w:noWrap w:val="0"/>
                  <w:vAlign w:val="center"/>
                </w:tcPr>
                <w:p w14:paraId="3CEE5CDE">
                  <w:pPr>
                    <w:kinsoku w:val="0"/>
                    <w:overflowPunct w:val="0"/>
                    <w:jc w:val="center"/>
                    <w:rPr>
                      <w:rFonts w:eastAsia="宋体"/>
                      <w:bCs/>
                      <w:sz w:val="21"/>
                      <w:szCs w:val="21"/>
                      <w:u w:val="none"/>
                    </w:rPr>
                  </w:pPr>
                  <w:r>
                    <w:rPr>
                      <w:rFonts w:eastAsia="宋体"/>
                      <w:bCs/>
                      <w:sz w:val="21"/>
                      <w:szCs w:val="21"/>
                      <w:u w:val="none"/>
                    </w:rPr>
                    <w:t>DA018</w:t>
                  </w:r>
                </w:p>
              </w:tc>
              <w:tc>
                <w:tcPr>
                  <w:tcW w:w="698" w:type="pct"/>
                  <w:shd w:val="clear" w:color="auto" w:fill="auto"/>
                  <w:noWrap w:val="0"/>
                  <w:vAlign w:val="center"/>
                </w:tcPr>
                <w:p w14:paraId="5546BB89">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2CE5C18">
                  <w:pPr>
                    <w:widowControl/>
                    <w:jc w:val="center"/>
                    <w:textAlignment w:val="center"/>
                    <w:rPr>
                      <w:rFonts w:eastAsia="宋体"/>
                      <w:bCs/>
                      <w:sz w:val="21"/>
                      <w:u w:val="none"/>
                    </w:rPr>
                  </w:pPr>
                  <w:r>
                    <w:rPr>
                      <w:rFonts w:eastAsia="宋体"/>
                      <w:kern w:val="0"/>
                      <w:sz w:val="21"/>
                      <w:szCs w:val="21"/>
                      <w:u w:val="none"/>
                      <w:lang w:bidi="ar"/>
                    </w:rPr>
                    <w:t>16</w:t>
                  </w:r>
                </w:p>
              </w:tc>
              <w:tc>
                <w:tcPr>
                  <w:tcW w:w="633" w:type="pct"/>
                  <w:shd w:val="clear" w:color="auto" w:fill="auto"/>
                  <w:noWrap w:val="0"/>
                  <w:vAlign w:val="center"/>
                </w:tcPr>
                <w:p w14:paraId="7415C420">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33AD51E7">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81E719B">
                  <w:pPr>
                    <w:kinsoku w:val="0"/>
                    <w:overflowPunct w:val="0"/>
                    <w:jc w:val="center"/>
                    <w:rPr>
                      <w:rFonts w:hint="eastAsia" w:eastAsia="宋体"/>
                      <w:bCs/>
                      <w:sz w:val="21"/>
                      <w:u w:val="none"/>
                    </w:rPr>
                  </w:pPr>
                  <w:r>
                    <w:rPr>
                      <w:rFonts w:hint="eastAsia" w:eastAsia="宋体"/>
                      <w:bCs/>
                      <w:sz w:val="21"/>
                      <w:u w:val="none"/>
                    </w:rPr>
                    <w:t xml:space="preserve">0.128 </w:t>
                  </w:r>
                </w:p>
              </w:tc>
            </w:tr>
            <w:tr w14:paraId="49F26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078E8475">
                  <w:pPr>
                    <w:kinsoku w:val="0"/>
                    <w:overflowPunct w:val="0"/>
                    <w:jc w:val="center"/>
                    <w:rPr>
                      <w:rFonts w:eastAsia="宋体"/>
                      <w:bCs/>
                      <w:sz w:val="21"/>
                      <w:u w:val="none"/>
                    </w:rPr>
                  </w:pPr>
                </w:p>
              </w:tc>
              <w:tc>
                <w:tcPr>
                  <w:tcW w:w="1034" w:type="pct"/>
                  <w:shd w:val="clear" w:color="auto" w:fill="auto"/>
                  <w:noWrap w:val="0"/>
                  <w:vAlign w:val="center"/>
                </w:tcPr>
                <w:p w14:paraId="55199B00">
                  <w:pPr>
                    <w:kinsoku w:val="0"/>
                    <w:overflowPunct w:val="0"/>
                    <w:jc w:val="center"/>
                    <w:rPr>
                      <w:rFonts w:eastAsia="宋体"/>
                      <w:bCs/>
                      <w:sz w:val="21"/>
                      <w:szCs w:val="21"/>
                      <w:u w:val="none"/>
                    </w:rPr>
                  </w:pPr>
                  <w:r>
                    <w:rPr>
                      <w:rFonts w:eastAsia="宋体"/>
                      <w:bCs/>
                      <w:sz w:val="21"/>
                      <w:szCs w:val="21"/>
                      <w:u w:val="none"/>
                    </w:rPr>
                    <w:t>DA020</w:t>
                  </w:r>
                </w:p>
              </w:tc>
              <w:tc>
                <w:tcPr>
                  <w:tcW w:w="698" w:type="pct"/>
                  <w:shd w:val="clear" w:color="auto" w:fill="auto"/>
                  <w:noWrap w:val="0"/>
                  <w:vAlign w:val="center"/>
                </w:tcPr>
                <w:p w14:paraId="315BD21B">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7786365C">
                  <w:pPr>
                    <w:widowControl/>
                    <w:jc w:val="center"/>
                    <w:textAlignment w:val="center"/>
                    <w:rPr>
                      <w:rFonts w:eastAsia="宋体"/>
                      <w:bCs/>
                      <w:sz w:val="21"/>
                      <w:u w:val="none"/>
                    </w:rPr>
                  </w:pPr>
                  <w:r>
                    <w:rPr>
                      <w:rFonts w:eastAsia="宋体"/>
                      <w:kern w:val="0"/>
                      <w:sz w:val="21"/>
                      <w:szCs w:val="21"/>
                      <w:u w:val="none"/>
                      <w:lang w:bidi="ar"/>
                    </w:rPr>
                    <w:t>14.5</w:t>
                  </w:r>
                </w:p>
              </w:tc>
              <w:tc>
                <w:tcPr>
                  <w:tcW w:w="633" w:type="pct"/>
                  <w:shd w:val="clear" w:color="auto" w:fill="auto"/>
                  <w:noWrap w:val="0"/>
                  <w:vAlign w:val="center"/>
                </w:tcPr>
                <w:p w14:paraId="286295D4">
                  <w:pPr>
                    <w:kinsoku w:val="0"/>
                    <w:overflowPunct w:val="0"/>
                    <w:jc w:val="center"/>
                    <w:rPr>
                      <w:rFonts w:hint="eastAsia" w:eastAsia="宋体"/>
                      <w:bCs/>
                      <w:sz w:val="21"/>
                      <w:u w:val="none"/>
                    </w:rPr>
                  </w:pPr>
                  <w:r>
                    <w:rPr>
                      <w:rFonts w:eastAsia="宋体"/>
                      <w:bCs/>
                      <w:sz w:val="21"/>
                      <w:u w:val="none"/>
                    </w:rPr>
                    <w:t>1000</w:t>
                  </w:r>
                </w:p>
              </w:tc>
              <w:tc>
                <w:tcPr>
                  <w:tcW w:w="702" w:type="pct"/>
                  <w:shd w:val="clear" w:color="auto" w:fill="auto"/>
                  <w:noWrap w:val="0"/>
                  <w:vAlign w:val="center"/>
                </w:tcPr>
                <w:p w14:paraId="359CAE9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4A3E44D">
                  <w:pPr>
                    <w:kinsoku w:val="0"/>
                    <w:overflowPunct w:val="0"/>
                    <w:jc w:val="center"/>
                    <w:rPr>
                      <w:rFonts w:hint="eastAsia" w:eastAsia="宋体"/>
                      <w:bCs/>
                      <w:sz w:val="21"/>
                      <w:u w:val="none"/>
                    </w:rPr>
                  </w:pPr>
                  <w:r>
                    <w:rPr>
                      <w:rFonts w:hint="eastAsia" w:eastAsia="宋体"/>
                      <w:bCs/>
                      <w:sz w:val="21"/>
                      <w:u w:val="none"/>
                    </w:rPr>
                    <w:t xml:space="preserve">0.116 </w:t>
                  </w:r>
                </w:p>
              </w:tc>
            </w:tr>
            <w:tr w14:paraId="2F832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6D5A1C3D">
                  <w:pPr>
                    <w:kinsoku w:val="0"/>
                    <w:overflowPunct w:val="0"/>
                    <w:jc w:val="center"/>
                    <w:rPr>
                      <w:rFonts w:eastAsia="宋体"/>
                      <w:bCs/>
                      <w:sz w:val="21"/>
                      <w:u w:val="none"/>
                    </w:rPr>
                  </w:pPr>
                  <w:r>
                    <w:rPr>
                      <w:rFonts w:eastAsia="宋体"/>
                      <w:bCs/>
                      <w:sz w:val="21"/>
                      <w:szCs w:val="21"/>
                      <w:u w:val="none"/>
                    </w:rPr>
                    <w:t>磨煤干燥</w:t>
                  </w:r>
                </w:p>
              </w:tc>
              <w:tc>
                <w:tcPr>
                  <w:tcW w:w="1034" w:type="pct"/>
                  <w:shd w:val="clear" w:color="auto" w:fill="auto"/>
                  <w:noWrap w:val="0"/>
                  <w:vAlign w:val="center"/>
                </w:tcPr>
                <w:p w14:paraId="7EC0C709">
                  <w:pPr>
                    <w:kinsoku w:val="0"/>
                    <w:overflowPunct w:val="0"/>
                    <w:jc w:val="center"/>
                    <w:rPr>
                      <w:rFonts w:eastAsia="宋体"/>
                      <w:bCs/>
                      <w:sz w:val="21"/>
                      <w:szCs w:val="21"/>
                      <w:u w:val="none"/>
                    </w:rPr>
                  </w:pPr>
                  <w:r>
                    <w:rPr>
                      <w:rFonts w:eastAsia="宋体"/>
                      <w:bCs/>
                      <w:sz w:val="21"/>
                      <w:szCs w:val="21"/>
                      <w:u w:val="none"/>
                    </w:rPr>
                    <w:t>DA046</w:t>
                  </w:r>
                </w:p>
              </w:tc>
              <w:tc>
                <w:tcPr>
                  <w:tcW w:w="698" w:type="pct"/>
                  <w:shd w:val="clear" w:color="auto" w:fill="auto"/>
                  <w:noWrap w:val="0"/>
                  <w:vAlign w:val="center"/>
                </w:tcPr>
                <w:p w14:paraId="531E9C53">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16D4AE95">
                  <w:pPr>
                    <w:widowControl/>
                    <w:jc w:val="center"/>
                    <w:textAlignment w:val="center"/>
                    <w:rPr>
                      <w:rFonts w:eastAsia="宋体"/>
                      <w:bCs/>
                      <w:sz w:val="21"/>
                      <w:u w:val="none"/>
                    </w:rPr>
                  </w:pPr>
                  <w:r>
                    <w:rPr>
                      <w:rFonts w:eastAsia="宋体"/>
                      <w:kern w:val="0"/>
                      <w:sz w:val="21"/>
                      <w:szCs w:val="21"/>
                      <w:u w:val="none"/>
                      <w:lang w:bidi="ar"/>
                    </w:rPr>
                    <w:t>/</w:t>
                  </w:r>
                </w:p>
              </w:tc>
              <w:tc>
                <w:tcPr>
                  <w:tcW w:w="633" w:type="pct"/>
                  <w:shd w:val="clear" w:color="auto" w:fill="auto"/>
                  <w:noWrap w:val="0"/>
                  <w:vAlign w:val="center"/>
                </w:tcPr>
                <w:p w14:paraId="126A92B0">
                  <w:pPr>
                    <w:kinsoku w:val="0"/>
                    <w:overflowPunct w:val="0"/>
                    <w:jc w:val="center"/>
                    <w:rPr>
                      <w:rFonts w:hint="eastAsia" w:eastAsia="宋体"/>
                      <w:bCs/>
                      <w:sz w:val="21"/>
                      <w:u w:val="none"/>
                    </w:rPr>
                  </w:pPr>
                  <w:r>
                    <w:rPr>
                      <w:rFonts w:eastAsia="宋体"/>
                      <w:bCs/>
                      <w:sz w:val="21"/>
                      <w:u w:val="none"/>
                    </w:rPr>
                    <w:t>13176</w:t>
                  </w:r>
                </w:p>
              </w:tc>
              <w:tc>
                <w:tcPr>
                  <w:tcW w:w="702" w:type="pct"/>
                  <w:shd w:val="clear" w:color="auto" w:fill="auto"/>
                  <w:noWrap w:val="0"/>
                  <w:vAlign w:val="center"/>
                </w:tcPr>
                <w:p w14:paraId="1CA47F60">
                  <w:pPr>
                    <w:kinsoku w:val="0"/>
                    <w:overflowPunct w:val="0"/>
                    <w:jc w:val="center"/>
                    <w:rPr>
                      <w:rFonts w:hint="eastAsia" w:eastAsia="宋体"/>
                      <w:bCs/>
                      <w:sz w:val="21"/>
                      <w:u w:val="none"/>
                    </w:rPr>
                  </w:pPr>
                  <w:r>
                    <w:rPr>
                      <w:rFonts w:hint="eastAsia" w:eastAsia="宋体"/>
                      <w:bCs/>
                      <w:sz w:val="21"/>
                      <w:u w:val="none"/>
                    </w:rPr>
                    <w:t>备用</w:t>
                  </w:r>
                </w:p>
              </w:tc>
              <w:tc>
                <w:tcPr>
                  <w:tcW w:w="701" w:type="pct"/>
                  <w:shd w:val="clear" w:color="auto" w:fill="auto"/>
                  <w:noWrap w:val="0"/>
                  <w:vAlign w:val="center"/>
                </w:tcPr>
                <w:p w14:paraId="4AB61FAD">
                  <w:pPr>
                    <w:kinsoku w:val="0"/>
                    <w:overflowPunct w:val="0"/>
                    <w:jc w:val="center"/>
                    <w:rPr>
                      <w:rFonts w:hint="eastAsia" w:eastAsia="宋体"/>
                      <w:bCs/>
                      <w:sz w:val="21"/>
                      <w:u w:val="none"/>
                    </w:rPr>
                  </w:pPr>
                  <w:r>
                    <w:rPr>
                      <w:rFonts w:eastAsia="宋体"/>
                      <w:kern w:val="0"/>
                      <w:sz w:val="21"/>
                      <w:szCs w:val="21"/>
                      <w:u w:val="none"/>
                      <w:lang w:bidi="ar"/>
                    </w:rPr>
                    <w:t>/</w:t>
                  </w:r>
                </w:p>
              </w:tc>
            </w:tr>
            <w:tr w14:paraId="5B536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31DA14E">
                  <w:pPr>
                    <w:kinsoku w:val="0"/>
                    <w:overflowPunct w:val="0"/>
                    <w:jc w:val="center"/>
                    <w:rPr>
                      <w:rFonts w:eastAsia="宋体"/>
                      <w:bCs/>
                      <w:sz w:val="21"/>
                      <w:u w:val="none"/>
                    </w:rPr>
                  </w:pPr>
                </w:p>
              </w:tc>
              <w:tc>
                <w:tcPr>
                  <w:tcW w:w="1034" w:type="pct"/>
                  <w:shd w:val="clear" w:color="auto" w:fill="auto"/>
                  <w:noWrap w:val="0"/>
                  <w:vAlign w:val="center"/>
                </w:tcPr>
                <w:p w14:paraId="774C64E5">
                  <w:pPr>
                    <w:kinsoku w:val="0"/>
                    <w:overflowPunct w:val="0"/>
                    <w:jc w:val="center"/>
                    <w:rPr>
                      <w:rFonts w:eastAsia="宋体"/>
                      <w:bCs/>
                      <w:sz w:val="21"/>
                      <w:szCs w:val="21"/>
                      <w:u w:val="none"/>
                    </w:rPr>
                  </w:pPr>
                  <w:r>
                    <w:rPr>
                      <w:rFonts w:eastAsia="宋体"/>
                      <w:bCs/>
                      <w:sz w:val="21"/>
                      <w:szCs w:val="21"/>
                      <w:u w:val="none"/>
                    </w:rPr>
                    <w:t>DA047</w:t>
                  </w:r>
                </w:p>
              </w:tc>
              <w:tc>
                <w:tcPr>
                  <w:tcW w:w="698" w:type="pct"/>
                  <w:shd w:val="clear" w:color="auto" w:fill="auto"/>
                  <w:noWrap w:val="0"/>
                  <w:vAlign w:val="center"/>
                </w:tcPr>
                <w:p w14:paraId="63BD20B2">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15A8BBB8">
                  <w:pPr>
                    <w:widowControl/>
                    <w:jc w:val="center"/>
                    <w:textAlignment w:val="center"/>
                    <w:rPr>
                      <w:rFonts w:hint="eastAsia" w:eastAsia="宋体"/>
                      <w:bCs/>
                      <w:sz w:val="21"/>
                      <w:u w:val="none"/>
                    </w:rPr>
                  </w:pPr>
                  <w:r>
                    <w:rPr>
                      <w:rFonts w:eastAsia="宋体"/>
                      <w:kern w:val="0"/>
                      <w:sz w:val="21"/>
                      <w:szCs w:val="21"/>
                      <w:u w:val="none"/>
                      <w:lang w:bidi="ar"/>
                    </w:rPr>
                    <w:t>/</w:t>
                  </w:r>
                </w:p>
              </w:tc>
              <w:tc>
                <w:tcPr>
                  <w:tcW w:w="633" w:type="pct"/>
                  <w:shd w:val="clear" w:color="auto" w:fill="auto"/>
                  <w:noWrap w:val="0"/>
                  <w:vAlign w:val="center"/>
                </w:tcPr>
                <w:p w14:paraId="7493033B">
                  <w:pPr>
                    <w:kinsoku w:val="0"/>
                    <w:overflowPunct w:val="0"/>
                    <w:jc w:val="center"/>
                    <w:rPr>
                      <w:rFonts w:hint="eastAsia" w:eastAsia="宋体"/>
                      <w:bCs/>
                      <w:sz w:val="21"/>
                      <w:u w:val="none"/>
                    </w:rPr>
                  </w:pPr>
                  <w:r>
                    <w:rPr>
                      <w:rFonts w:eastAsia="宋体"/>
                      <w:bCs/>
                      <w:sz w:val="21"/>
                      <w:u w:val="none"/>
                    </w:rPr>
                    <w:t>13176</w:t>
                  </w:r>
                </w:p>
              </w:tc>
              <w:tc>
                <w:tcPr>
                  <w:tcW w:w="702" w:type="pct"/>
                  <w:shd w:val="clear" w:color="auto" w:fill="auto"/>
                  <w:noWrap w:val="0"/>
                  <w:vAlign w:val="center"/>
                </w:tcPr>
                <w:p w14:paraId="3AF33A47">
                  <w:pPr>
                    <w:kinsoku w:val="0"/>
                    <w:overflowPunct w:val="0"/>
                    <w:jc w:val="center"/>
                    <w:rPr>
                      <w:rFonts w:hint="eastAsia" w:eastAsia="宋体"/>
                      <w:bCs/>
                      <w:sz w:val="21"/>
                      <w:u w:val="none"/>
                    </w:rPr>
                  </w:pPr>
                  <w:r>
                    <w:rPr>
                      <w:rFonts w:hint="eastAsia" w:eastAsia="宋体"/>
                      <w:bCs/>
                      <w:sz w:val="21"/>
                      <w:u w:val="none"/>
                    </w:rPr>
                    <w:t>备用</w:t>
                  </w:r>
                </w:p>
              </w:tc>
              <w:tc>
                <w:tcPr>
                  <w:tcW w:w="701" w:type="pct"/>
                  <w:shd w:val="clear" w:color="auto" w:fill="auto"/>
                  <w:noWrap w:val="0"/>
                  <w:vAlign w:val="center"/>
                </w:tcPr>
                <w:p w14:paraId="72C8645C">
                  <w:pPr>
                    <w:kinsoku w:val="0"/>
                    <w:overflowPunct w:val="0"/>
                    <w:jc w:val="center"/>
                    <w:rPr>
                      <w:rFonts w:hint="eastAsia" w:eastAsia="宋体"/>
                      <w:bCs/>
                      <w:sz w:val="21"/>
                      <w:u w:val="none"/>
                    </w:rPr>
                  </w:pPr>
                  <w:r>
                    <w:rPr>
                      <w:rFonts w:eastAsia="宋体"/>
                      <w:kern w:val="0"/>
                      <w:sz w:val="21"/>
                      <w:szCs w:val="21"/>
                      <w:u w:val="none"/>
                      <w:lang w:bidi="ar"/>
                    </w:rPr>
                    <w:t>/</w:t>
                  </w:r>
                </w:p>
              </w:tc>
            </w:tr>
            <w:tr w14:paraId="41972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51374ED">
                  <w:pPr>
                    <w:kinsoku w:val="0"/>
                    <w:overflowPunct w:val="0"/>
                    <w:jc w:val="center"/>
                    <w:rPr>
                      <w:rFonts w:eastAsia="宋体"/>
                      <w:bCs/>
                      <w:sz w:val="21"/>
                      <w:u w:val="none"/>
                    </w:rPr>
                  </w:pPr>
                </w:p>
              </w:tc>
              <w:tc>
                <w:tcPr>
                  <w:tcW w:w="1034" w:type="pct"/>
                  <w:vMerge w:val="restart"/>
                  <w:shd w:val="clear" w:color="auto" w:fill="auto"/>
                  <w:noWrap w:val="0"/>
                  <w:vAlign w:val="center"/>
                </w:tcPr>
                <w:p w14:paraId="78E41EF5">
                  <w:pPr>
                    <w:kinsoku w:val="0"/>
                    <w:overflowPunct w:val="0"/>
                    <w:jc w:val="center"/>
                    <w:rPr>
                      <w:rFonts w:eastAsia="宋体"/>
                      <w:bCs/>
                      <w:sz w:val="21"/>
                      <w:szCs w:val="21"/>
                      <w:u w:val="none"/>
                    </w:rPr>
                  </w:pPr>
                  <w:r>
                    <w:rPr>
                      <w:rFonts w:eastAsia="宋体"/>
                      <w:bCs/>
                      <w:sz w:val="21"/>
                      <w:szCs w:val="21"/>
                      <w:u w:val="none"/>
                    </w:rPr>
                    <w:t>DA004</w:t>
                  </w:r>
                </w:p>
              </w:tc>
              <w:tc>
                <w:tcPr>
                  <w:tcW w:w="698" w:type="pct"/>
                  <w:shd w:val="clear" w:color="auto" w:fill="auto"/>
                  <w:noWrap w:val="0"/>
                  <w:vAlign w:val="center"/>
                </w:tcPr>
                <w:p w14:paraId="2BF8E92A">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170C451C">
                  <w:pPr>
                    <w:widowControl/>
                    <w:jc w:val="center"/>
                    <w:textAlignment w:val="center"/>
                    <w:rPr>
                      <w:rFonts w:eastAsia="宋体"/>
                      <w:bCs/>
                      <w:sz w:val="21"/>
                      <w:u w:val="none"/>
                    </w:rPr>
                  </w:pPr>
                  <w:r>
                    <w:rPr>
                      <w:rFonts w:eastAsia="宋体"/>
                      <w:kern w:val="0"/>
                      <w:sz w:val="21"/>
                      <w:szCs w:val="21"/>
                      <w:u w:val="none"/>
                      <w:lang w:bidi="ar"/>
                    </w:rPr>
                    <w:t>46.6</w:t>
                  </w:r>
                </w:p>
              </w:tc>
              <w:tc>
                <w:tcPr>
                  <w:tcW w:w="633" w:type="pct"/>
                  <w:shd w:val="clear" w:color="auto" w:fill="auto"/>
                  <w:noWrap w:val="0"/>
                  <w:vAlign w:val="center"/>
                </w:tcPr>
                <w:p w14:paraId="1496A21D">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0E1A8F08">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9784225">
                  <w:pPr>
                    <w:kinsoku w:val="0"/>
                    <w:overflowPunct w:val="0"/>
                    <w:jc w:val="center"/>
                    <w:rPr>
                      <w:rFonts w:hint="eastAsia" w:eastAsia="宋体"/>
                      <w:bCs/>
                      <w:sz w:val="21"/>
                      <w:u w:val="none"/>
                    </w:rPr>
                  </w:pPr>
                  <w:r>
                    <w:rPr>
                      <w:rFonts w:hint="eastAsia" w:eastAsia="宋体"/>
                      <w:bCs/>
                      <w:sz w:val="21"/>
                      <w:u w:val="none"/>
                    </w:rPr>
                    <w:t xml:space="preserve">24.817 </w:t>
                  </w:r>
                </w:p>
              </w:tc>
            </w:tr>
            <w:tr w14:paraId="2CACF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0B300148">
                  <w:pPr>
                    <w:kinsoku w:val="0"/>
                    <w:overflowPunct w:val="0"/>
                    <w:jc w:val="center"/>
                    <w:rPr>
                      <w:rFonts w:eastAsia="宋体"/>
                      <w:bCs/>
                      <w:sz w:val="21"/>
                      <w:u w:val="none"/>
                    </w:rPr>
                  </w:pPr>
                </w:p>
              </w:tc>
              <w:tc>
                <w:tcPr>
                  <w:tcW w:w="1034" w:type="pct"/>
                  <w:vMerge w:val="continue"/>
                  <w:shd w:val="clear" w:color="auto" w:fill="auto"/>
                  <w:noWrap w:val="0"/>
                  <w:vAlign w:val="center"/>
                </w:tcPr>
                <w:p w14:paraId="2E1FD7EC">
                  <w:pPr>
                    <w:kinsoku w:val="0"/>
                    <w:overflowPunct w:val="0"/>
                    <w:jc w:val="center"/>
                    <w:rPr>
                      <w:rFonts w:eastAsia="宋体"/>
                      <w:bCs/>
                      <w:sz w:val="21"/>
                      <w:szCs w:val="21"/>
                      <w:u w:val="none"/>
                    </w:rPr>
                  </w:pPr>
                </w:p>
              </w:tc>
              <w:tc>
                <w:tcPr>
                  <w:tcW w:w="698" w:type="pct"/>
                  <w:shd w:val="clear" w:color="auto" w:fill="auto"/>
                  <w:noWrap w:val="0"/>
                  <w:vAlign w:val="center"/>
                </w:tcPr>
                <w:p w14:paraId="4C231D69">
                  <w:pPr>
                    <w:kinsoku w:val="0"/>
                    <w:overflowPunct w:val="0"/>
                    <w:jc w:val="center"/>
                    <w:rPr>
                      <w:rFonts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51459A7B">
                  <w:pPr>
                    <w:widowControl/>
                    <w:jc w:val="center"/>
                    <w:textAlignment w:val="center"/>
                    <w:rPr>
                      <w:rFonts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4E06876A">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25A9B26E">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40A59307">
                  <w:pPr>
                    <w:kinsoku w:val="0"/>
                    <w:overflowPunct w:val="0"/>
                    <w:jc w:val="center"/>
                    <w:rPr>
                      <w:rFonts w:hint="eastAsia" w:eastAsia="宋体"/>
                      <w:bCs/>
                      <w:sz w:val="21"/>
                      <w:u w:val="none"/>
                    </w:rPr>
                  </w:pPr>
                  <w:r>
                    <w:rPr>
                      <w:rFonts w:hint="eastAsia" w:eastAsia="宋体"/>
                      <w:bCs/>
                      <w:sz w:val="21"/>
                      <w:u w:val="none"/>
                    </w:rPr>
                    <w:t xml:space="preserve">83.078 </w:t>
                  </w:r>
                </w:p>
              </w:tc>
            </w:tr>
            <w:tr w14:paraId="37265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53DFC0B">
                  <w:pPr>
                    <w:kinsoku w:val="0"/>
                    <w:overflowPunct w:val="0"/>
                    <w:jc w:val="center"/>
                    <w:rPr>
                      <w:rFonts w:eastAsia="宋体"/>
                      <w:bCs/>
                      <w:sz w:val="21"/>
                      <w:u w:val="none"/>
                    </w:rPr>
                  </w:pPr>
                </w:p>
              </w:tc>
              <w:tc>
                <w:tcPr>
                  <w:tcW w:w="1034" w:type="pct"/>
                  <w:vMerge w:val="restart"/>
                  <w:shd w:val="clear" w:color="auto" w:fill="auto"/>
                  <w:noWrap w:val="0"/>
                  <w:vAlign w:val="center"/>
                </w:tcPr>
                <w:p w14:paraId="4623C548">
                  <w:pPr>
                    <w:kinsoku w:val="0"/>
                    <w:overflowPunct w:val="0"/>
                    <w:jc w:val="center"/>
                    <w:rPr>
                      <w:rFonts w:eastAsia="宋体"/>
                      <w:bCs/>
                      <w:sz w:val="21"/>
                      <w:szCs w:val="21"/>
                      <w:u w:val="none"/>
                    </w:rPr>
                  </w:pPr>
                  <w:r>
                    <w:rPr>
                      <w:rFonts w:eastAsia="宋体"/>
                      <w:bCs/>
                      <w:sz w:val="21"/>
                      <w:szCs w:val="21"/>
                      <w:u w:val="none"/>
                    </w:rPr>
                    <w:t>DA005</w:t>
                  </w:r>
                </w:p>
              </w:tc>
              <w:tc>
                <w:tcPr>
                  <w:tcW w:w="698" w:type="pct"/>
                  <w:shd w:val="clear" w:color="auto" w:fill="auto"/>
                  <w:noWrap w:val="0"/>
                  <w:vAlign w:val="center"/>
                </w:tcPr>
                <w:p w14:paraId="4A3DE75A">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61110A2C">
                  <w:pPr>
                    <w:widowControl/>
                    <w:jc w:val="center"/>
                    <w:textAlignment w:val="center"/>
                    <w:rPr>
                      <w:rFonts w:hint="eastAsia" w:eastAsia="宋体"/>
                      <w:bCs/>
                      <w:sz w:val="21"/>
                      <w:u w:val="none"/>
                    </w:rPr>
                  </w:pPr>
                  <w:r>
                    <w:rPr>
                      <w:rFonts w:eastAsia="宋体"/>
                      <w:kern w:val="0"/>
                      <w:sz w:val="21"/>
                      <w:szCs w:val="21"/>
                      <w:u w:val="none"/>
                      <w:lang w:bidi="ar"/>
                    </w:rPr>
                    <w:t>15.9</w:t>
                  </w:r>
                </w:p>
              </w:tc>
              <w:tc>
                <w:tcPr>
                  <w:tcW w:w="633" w:type="pct"/>
                  <w:shd w:val="clear" w:color="auto" w:fill="auto"/>
                  <w:noWrap w:val="0"/>
                  <w:vAlign w:val="center"/>
                </w:tcPr>
                <w:p w14:paraId="0042FBFF">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5496C62B">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7E570EE">
                  <w:pPr>
                    <w:kinsoku w:val="0"/>
                    <w:overflowPunct w:val="0"/>
                    <w:jc w:val="center"/>
                    <w:rPr>
                      <w:rFonts w:hint="eastAsia" w:eastAsia="宋体"/>
                      <w:bCs/>
                      <w:sz w:val="21"/>
                      <w:u w:val="none"/>
                    </w:rPr>
                  </w:pPr>
                  <w:r>
                    <w:rPr>
                      <w:rFonts w:hint="eastAsia" w:eastAsia="宋体"/>
                      <w:bCs/>
                      <w:sz w:val="21"/>
                      <w:u w:val="none"/>
                    </w:rPr>
                    <w:t xml:space="preserve">8.468 </w:t>
                  </w:r>
                </w:p>
              </w:tc>
            </w:tr>
            <w:tr w14:paraId="7DFCF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2054C45">
                  <w:pPr>
                    <w:kinsoku w:val="0"/>
                    <w:overflowPunct w:val="0"/>
                    <w:jc w:val="center"/>
                    <w:rPr>
                      <w:rFonts w:eastAsia="宋体"/>
                      <w:bCs/>
                      <w:sz w:val="21"/>
                      <w:u w:val="none"/>
                    </w:rPr>
                  </w:pPr>
                </w:p>
              </w:tc>
              <w:tc>
                <w:tcPr>
                  <w:tcW w:w="1034" w:type="pct"/>
                  <w:vMerge w:val="continue"/>
                  <w:shd w:val="clear" w:color="auto" w:fill="auto"/>
                  <w:noWrap w:val="0"/>
                  <w:vAlign w:val="center"/>
                </w:tcPr>
                <w:p w14:paraId="0FC6B801">
                  <w:pPr>
                    <w:kinsoku w:val="0"/>
                    <w:overflowPunct w:val="0"/>
                    <w:jc w:val="center"/>
                    <w:rPr>
                      <w:rFonts w:eastAsia="宋体"/>
                      <w:bCs/>
                      <w:sz w:val="21"/>
                      <w:szCs w:val="21"/>
                      <w:u w:val="none"/>
                    </w:rPr>
                  </w:pPr>
                </w:p>
              </w:tc>
              <w:tc>
                <w:tcPr>
                  <w:tcW w:w="698" w:type="pct"/>
                  <w:shd w:val="clear" w:color="auto" w:fill="auto"/>
                  <w:noWrap w:val="0"/>
                  <w:vAlign w:val="center"/>
                </w:tcPr>
                <w:p w14:paraId="1C2903AC">
                  <w:pPr>
                    <w:kinsoku w:val="0"/>
                    <w:overflowPunct w:val="0"/>
                    <w:jc w:val="center"/>
                    <w:rPr>
                      <w:rFonts w:hint="eastAsia"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62E2D5FC">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3B224096">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5F8B8B4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231E88C">
                  <w:pPr>
                    <w:kinsoku w:val="0"/>
                    <w:overflowPunct w:val="0"/>
                    <w:jc w:val="center"/>
                    <w:rPr>
                      <w:rFonts w:hint="eastAsia" w:eastAsia="宋体"/>
                      <w:bCs/>
                      <w:sz w:val="21"/>
                      <w:u w:val="none"/>
                    </w:rPr>
                  </w:pPr>
                  <w:r>
                    <w:rPr>
                      <w:rFonts w:hint="eastAsia" w:eastAsia="宋体"/>
                      <w:bCs/>
                      <w:sz w:val="21"/>
                      <w:u w:val="none"/>
                    </w:rPr>
                    <w:t xml:space="preserve">83.078 </w:t>
                  </w:r>
                </w:p>
              </w:tc>
            </w:tr>
            <w:tr w14:paraId="150FE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D60745D">
                  <w:pPr>
                    <w:kinsoku w:val="0"/>
                    <w:overflowPunct w:val="0"/>
                    <w:jc w:val="center"/>
                    <w:rPr>
                      <w:rFonts w:eastAsia="宋体"/>
                      <w:bCs/>
                      <w:sz w:val="21"/>
                      <w:u w:val="none"/>
                    </w:rPr>
                  </w:pPr>
                </w:p>
              </w:tc>
              <w:tc>
                <w:tcPr>
                  <w:tcW w:w="1034" w:type="pct"/>
                  <w:vMerge w:val="restart"/>
                  <w:shd w:val="clear" w:color="auto" w:fill="auto"/>
                  <w:noWrap w:val="0"/>
                  <w:vAlign w:val="center"/>
                </w:tcPr>
                <w:p w14:paraId="318D8B25">
                  <w:pPr>
                    <w:kinsoku w:val="0"/>
                    <w:overflowPunct w:val="0"/>
                    <w:jc w:val="center"/>
                    <w:rPr>
                      <w:rFonts w:eastAsia="宋体"/>
                      <w:bCs/>
                      <w:sz w:val="21"/>
                      <w:szCs w:val="21"/>
                      <w:u w:val="none"/>
                    </w:rPr>
                  </w:pPr>
                  <w:r>
                    <w:rPr>
                      <w:rFonts w:eastAsia="宋体"/>
                      <w:bCs/>
                      <w:sz w:val="21"/>
                      <w:szCs w:val="21"/>
                      <w:u w:val="none"/>
                    </w:rPr>
                    <w:t>DA006</w:t>
                  </w:r>
                </w:p>
              </w:tc>
              <w:tc>
                <w:tcPr>
                  <w:tcW w:w="698" w:type="pct"/>
                  <w:shd w:val="clear" w:color="auto" w:fill="auto"/>
                  <w:noWrap w:val="0"/>
                  <w:vAlign w:val="center"/>
                </w:tcPr>
                <w:p w14:paraId="45F238EE">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383603C3">
                  <w:pPr>
                    <w:widowControl/>
                    <w:jc w:val="center"/>
                    <w:textAlignment w:val="center"/>
                    <w:rPr>
                      <w:rFonts w:hint="eastAsia" w:eastAsia="宋体"/>
                      <w:bCs/>
                      <w:sz w:val="21"/>
                      <w:u w:val="none"/>
                    </w:rPr>
                  </w:pPr>
                  <w:r>
                    <w:rPr>
                      <w:rFonts w:eastAsia="宋体"/>
                      <w:kern w:val="0"/>
                      <w:sz w:val="21"/>
                      <w:szCs w:val="21"/>
                      <w:u w:val="none"/>
                      <w:lang w:bidi="ar"/>
                    </w:rPr>
                    <w:t>46.6</w:t>
                  </w:r>
                </w:p>
              </w:tc>
              <w:tc>
                <w:tcPr>
                  <w:tcW w:w="633" w:type="pct"/>
                  <w:shd w:val="clear" w:color="auto" w:fill="auto"/>
                  <w:noWrap w:val="0"/>
                  <w:vAlign w:val="center"/>
                </w:tcPr>
                <w:p w14:paraId="03565827">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44C24E7B">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AD07E32">
                  <w:pPr>
                    <w:kinsoku w:val="0"/>
                    <w:overflowPunct w:val="0"/>
                    <w:jc w:val="center"/>
                    <w:rPr>
                      <w:rFonts w:hint="eastAsia" w:eastAsia="宋体"/>
                      <w:bCs/>
                      <w:sz w:val="21"/>
                      <w:u w:val="none"/>
                    </w:rPr>
                  </w:pPr>
                  <w:r>
                    <w:rPr>
                      <w:rFonts w:hint="eastAsia" w:eastAsia="宋体"/>
                      <w:bCs/>
                      <w:sz w:val="21"/>
                      <w:u w:val="none"/>
                    </w:rPr>
                    <w:t xml:space="preserve">24.817 </w:t>
                  </w:r>
                </w:p>
              </w:tc>
            </w:tr>
            <w:tr w14:paraId="00AD9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E4B2319">
                  <w:pPr>
                    <w:kinsoku w:val="0"/>
                    <w:overflowPunct w:val="0"/>
                    <w:jc w:val="center"/>
                    <w:rPr>
                      <w:rFonts w:eastAsia="宋体"/>
                      <w:bCs/>
                      <w:sz w:val="21"/>
                      <w:u w:val="none"/>
                    </w:rPr>
                  </w:pPr>
                </w:p>
              </w:tc>
              <w:tc>
                <w:tcPr>
                  <w:tcW w:w="1034" w:type="pct"/>
                  <w:vMerge w:val="continue"/>
                  <w:shd w:val="clear" w:color="auto" w:fill="auto"/>
                  <w:noWrap w:val="0"/>
                  <w:vAlign w:val="center"/>
                </w:tcPr>
                <w:p w14:paraId="70ED9D89">
                  <w:pPr>
                    <w:kinsoku w:val="0"/>
                    <w:overflowPunct w:val="0"/>
                    <w:jc w:val="center"/>
                    <w:rPr>
                      <w:rFonts w:eastAsia="宋体"/>
                      <w:bCs/>
                      <w:sz w:val="21"/>
                      <w:szCs w:val="21"/>
                      <w:u w:val="none"/>
                    </w:rPr>
                  </w:pPr>
                </w:p>
              </w:tc>
              <w:tc>
                <w:tcPr>
                  <w:tcW w:w="698" w:type="pct"/>
                  <w:shd w:val="clear" w:color="auto" w:fill="auto"/>
                  <w:noWrap w:val="0"/>
                  <w:vAlign w:val="center"/>
                </w:tcPr>
                <w:p w14:paraId="1A7FD46B">
                  <w:pPr>
                    <w:kinsoku w:val="0"/>
                    <w:overflowPunct w:val="0"/>
                    <w:jc w:val="center"/>
                    <w:rPr>
                      <w:rFonts w:hint="eastAsia"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6DA11D42">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570FB3B2">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74AC11F2">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59B968DD">
                  <w:pPr>
                    <w:kinsoku w:val="0"/>
                    <w:overflowPunct w:val="0"/>
                    <w:jc w:val="center"/>
                    <w:rPr>
                      <w:rFonts w:hint="eastAsia" w:eastAsia="宋体"/>
                      <w:bCs/>
                      <w:sz w:val="21"/>
                      <w:u w:val="none"/>
                    </w:rPr>
                  </w:pPr>
                  <w:r>
                    <w:rPr>
                      <w:rFonts w:hint="eastAsia" w:eastAsia="宋体"/>
                      <w:bCs/>
                      <w:sz w:val="21"/>
                      <w:u w:val="none"/>
                    </w:rPr>
                    <w:t xml:space="preserve">83.078 </w:t>
                  </w:r>
                </w:p>
              </w:tc>
            </w:tr>
            <w:tr w14:paraId="22AD0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4140D0A">
                  <w:pPr>
                    <w:kinsoku w:val="0"/>
                    <w:overflowPunct w:val="0"/>
                    <w:jc w:val="center"/>
                    <w:rPr>
                      <w:rFonts w:eastAsia="宋体"/>
                      <w:bCs/>
                      <w:sz w:val="21"/>
                      <w:u w:val="none"/>
                    </w:rPr>
                  </w:pPr>
                </w:p>
              </w:tc>
              <w:tc>
                <w:tcPr>
                  <w:tcW w:w="1034" w:type="pct"/>
                  <w:vMerge w:val="restart"/>
                  <w:shd w:val="clear" w:color="auto" w:fill="auto"/>
                  <w:noWrap w:val="0"/>
                  <w:vAlign w:val="center"/>
                </w:tcPr>
                <w:p w14:paraId="61304E5F">
                  <w:pPr>
                    <w:kinsoku w:val="0"/>
                    <w:overflowPunct w:val="0"/>
                    <w:jc w:val="center"/>
                    <w:rPr>
                      <w:rFonts w:eastAsia="宋体"/>
                      <w:bCs/>
                      <w:sz w:val="21"/>
                      <w:szCs w:val="21"/>
                      <w:u w:val="none"/>
                    </w:rPr>
                  </w:pPr>
                  <w:r>
                    <w:rPr>
                      <w:rFonts w:eastAsia="宋体"/>
                      <w:bCs/>
                      <w:sz w:val="21"/>
                      <w:szCs w:val="21"/>
                      <w:u w:val="none"/>
                    </w:rPr>
                    <w:t>DA007</w:t>
                  </w:r>
                </w:p>
              </w:tc>
              <w:tc>
                <w:tcPr>
                  <w:tcW w:w="698" w:type="pct"/>
                  <w:shd w:val="clear" w:color="auto" w:fill="auto"/>
                  <w:noWrap w:val="0"/>
                  <w:vAlign w:val="center"/>
                </w:tcPr>
                <w:p w14:paraId="5F54FF8F">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15BC3416">
                  <w:pPr>
                    <w:widowControl/>
                    <w:jc w:val="center"/>
                    <w:textAlignment w:val="center"/>
                    <w:rPr>
                      <w:rFonts w:hint="eastAsia" w:eastAsia="宋体"/>
                      <w:bCs/>
                      <w:sz w:val="21"/>
                      <w:u w:val="none"/>
                    </w:rPr>
                  </w:pPr>
                  <w:r>
                    <w:rPr>
                      <w:rFonts w:eastAsia="宋体"/>
                      <w:kern w:val="0"/>
                      <w:sz w:val="21"/>
                      <w:szCs w:val="21"/>
                      <w:u w:val="none"/>
                      <w:lang w:bidi="ar"/>
                    </w:rPr>
                    <w:t>4.3</w:t>
                  </w:r>
                </w:p>
              </w:tc>
              <w:tc>
                <w:tcPr>
                  <w:tcW w:w="633" w:type="pct"/>
                  <w:shd w:val="clear" w:color="auto" w:fill="auto"/>
                  <w:noWrap w:val="0"/>
                  <w:vAlign w:val="center"/>
                </w:tcPr>
                <w:p w14:paraId="2FCA00E1">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1720F87D">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3F7426E">
                  <w:pPr>
                    <w:kinsoku w:val="0"/>
                    <w:overflowPunct w:val="0"/>
                    <w:jc w:val="center"/>
                    <w:rPr>
                      <w:rFonts w:hint="eastAsia" w:eastAsia="宋体"/>
                      <w:bCs/>
                      <w:sz w:val="21"/>
                      <w:u w:val="none"/>
                    </w:rPr>
                  </w:pPr>
                  <w:r>
                    <w:rPr>
                      <w:rFonts w:hint="eastAsia" w:eastAsia="宋体"/>
                      <w:bCs/>
                      <w:sz w:val="21"/>
                      <w:u w:val="none"/>
                    </w:rPr>
                    <w:t xml:space="preserve">2.290 </w:t>
                  </w:r>
                </w:p>
              </w:tc>
            </w:tr>
            <w:tr w14:paraId="49BFB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F73F31F">
                  <w:pPr>
                    <w:kinsoku w:val="0"/>
                    <w:overflowPunct w:val="0"/>
                    <w:jc w:val="center"/>
                    <w:rPr>
                      <w:rFonts w:eastAsia="宋体"/>
                      <w:bCs/>
                      <w:sz w:val="21"/>
                      <w:u w:val="none"/>
                    </w:rPr>
                  </w:pPr>
                </w:p>
              </w:tc>
              <w:tc>
                <w:tcPr>
                  <w:tcW w:w="1034" w:type="pct"/>
                  <w:vMerge w:val="continue"/>
                  <w:shd w:val="clear" w:color="auto" w:fill="auto"/>
                  <w:noWrap w:val="0"/>
                  <w:vAlign w:val="center"/>
                </w:tcPr>
                <w:p w14:paraId="11719C98">
                  <w:pPr>
                    <w:kinsoku w:val="0"/>
                    <w:overflowPunct w:val="0"/>
                    <w:jc w:val="center"/>
                    <w:rPr>
                      <w:rFonts w:eastAsia="宋体"/>
                      <w:bCs/>
                      <w:sz w:val="21"/>
                      <w:szCs w:val="21"/>
                      <w:u w:val="none"/>
                    </w:rPr>
                  </w:pPr>
                </w:p>
              </w:tc>
              <w:tc>
                <w:tcPr>
                  <w:tcW w:w="698" w:type="pct"/>
                  <w:shd w:val="clear" w:color="auto" w:fill="auto"/>
                  <w:noWrap w:val="0"/>
                  <w:vAlign w:val="center"/>
                </w:tcPr>
                <w:p w14:paraId="68822EC2">
                  <w:pPr>
                    <w:kinsoku w:val="0"/>
                    <w:overflowPunct w:val="0"/>
                    <w:jc w:val="center"/>
                    <w:rPr>
                      <w:rFonts w:hint="eastAsia"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1254E790">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40F18EF5">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4CB68D1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BB872B7">
                  <w:pPr>
                    <w:kinsoku w:val="0"/>
                    <w:overflowPunct w:val="0"/>
                    <w:jc w:val="center"/>
                    <w:rPr>
                      <w:rFonts w:hint="eastAsia" w:eastAsia="宋体"/>
                      <w:bCs/>
                      <w:sz w:val="21"/>
                      <w:u w:val="none"/>
                    </w:rPr>
                  </w:pPr>
                  <w:r>
                    <w:rPr>
                      <w:rFonts w:hint="eastAsia" w:eastAsia="宋体"/>
                      <w:bCs/>
                      <w:sz w:val="21"/>
                      <w:u w:val="none"/>
                    </w:rPr>
                    <w:t xml:space="preserve">83.078 </w:t>
                  </w:r>
                </w:p>
              </w:tc>
            </w:tr>
            <w:tr w14:paraId="46683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8F47E57">
                  <w:pPr>
                    <w:kinsoku w:val="0"/>
                    <w:overflowPunct w:val="0"/>
                    <w:jc w:val="center"/>
                    <w:rPr>
                      <w:rFonts w:eastAsia="宋体"/>
                      <w:bCs/>
                      <w:sz w:val="21"/>
                      <w:u w:val="none"/>
                    </w:rPr>
                  </w:pPr>
                </w:p>
              </w:tc>
              <w:tc>
                <w:tcPr>
                  <w:tcW w:w="1034" w:type="pct"/>
                  <w:vMerge w:val="restart"/>
                  <w:shd w:val="clear" w:color="auto" w:fill="auto"/>
                  <w:noWrap w:val="0"/>
                  <w:vAlign w:val="center"/>
                </w:tcPr>
                <w:p w14:paraId="7EB3767D">
                  <w:pPr>
                    <w:kinsoku w:val="0"/>
                    <w:overflowPunct w:val="0"/>
                    <w:jc w:val="center"/>
                    <w:rPr>
                      <w:rFonts w:eastAsia="宋体"/>
                      <w:bCs/>
                      <w:sz w:val="21"/>
                      <w:szCs w:val="21"/>
                      <w:u w:val="none"/>
                    </w:rPr>
                  </w:pPr>
                  <w:r>
                    <w:rPr>
                      <w:rFonts w:eastAsia="宋体"/>
                      <w:bCs/>
                      <w:sz w:val="21"/>
                      <w:szCs w:val="21"/>
                      <w:u w:val="none"/>
                    </w:rPr>
                    <w:t>DA008</w:t>
                  </w:r>
                </w:p>
              </w:tc>
              <w:tc>
                <w:tcPr>
                  <w:tcW w:w="698" w:type="pct"/>
                  <w:shd w:val="clear" w:color="auto" w:fill="auto"/>
                  <w:noWrap w:val="0"/>
                  <w:vAlign w:val="center"/>
                </w:tcPr>
                <w:p w14:paraId="2480B2C1">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2D99696F">
                  <w:pPr>
                    <w:widowControl/>
                    <w:jc w:val="center"/>
                    <w:textAlignment w:val="center"/>
                    <w:rPr>
                      <w:rFonts w:eastAsia="宋体"/>
                      <w:bCs/>
                      <w:sz w:val="21"/>
                      <w:u w:val="none"/>
                    </w:rPr>
                  </w:pPr>
                  <w:r>
                    <w:rPr>
                      <w:rFonts w:hint="eastAsia" w:eastAsia="宋体"/>
                      <w:kern w:val="0"/>
                      <w:sz w:val="21"/>
                      <w:szCs w:val="21"/>
                      <w:u w:val="none"/>
                      <w:lang w:bidi="ar"/>
                    </w:rPr>
                    <w:t>ND</w:t>
                  </w:r>
                </w:p>
              </w:tc>
              <w:tc>
                <w:tcPr>
                  <w:tcW w:w="633" w:type="pct"/>
                  <w:shd w:val="clear" w:color="auto" w:fill="auto"/>
                  <w:noWrap w:val="0"/>
                  <w:vAlign w:val="center"/>
                </w:tcPr>
                <w:p w14:paraId="382F7A46">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75B6F02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AA8065C">
                  <w:pPr>
                    <w:kinsoku w:val="0"/>
                    <w:overflowPunct w:val="0"/>
                    <w:jc w:val="center"/>
                    <w:rPr>
                      <w:rFonts w:hint="eastAsia" w:eastAsia="宋体"/>
                      <w:bCs/>
                      <w:sz w:val="21"/>
                      <w:u w:val="none"/>
                    </w:rPr>
                  </w:pPr>
                  <w:r>
                    <w:rPr>
                      <w:rFonts w:hint="eastAsia" w:eastAsia="宋体"/>
                      <w:bCs/>
                      <w:sz w:val="21"/>
                      <w:u w:val="none"/>
                    </w:rPr>
                    <w:t xml:space="preserve">0.266 </w:t>
                  </w:r>
                </w:p>
              </w:tc>
            </w:tr>
            <w:tr w14:paraId="4F534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DBA296F">
                  <w:pPr>
                    <w:kinsoku w:val="0"/>
                    <w:overflowPunct w:val="0"/>
                    <w:jc w:val="center"/>
                    <w:rPr>
                      <w:rFonts w:eastAsia="宋体"/>
                      <w:bCs/>
                      <w:sz w:val="21"/>
                      <w:u w:val="none"/>
                    </w:rPr>
                  </w:pPr>
                </w:p>
              </w:tc>
              <w:tc>
                <w:tcPr>
                  <w:tcW w:w="1034" w:type="pct"/>
                  <w:vMerge w:val="continue"/>
                  <w:shd w:val="clear" w:color="auto" w:fill="auto"/>
                  <w:noWrap w:val="0"/>
                  <w:vAlign w:val="center"/>
                </w:tcPr>
                <w:p w14:paraId="3B2EDB59">
                  <w:pPr>
                    <w:kinsoku w:val="0"/>
                    <w:overflowPunct w:val="0"/>
                    <w:jc w:val="center"/>
                    <w:rPr>
                      <w:rFonts w:eastAsia="宋体"/>
                      <w:bCs/>
                      <w:sz w:val="21"/>
                      <w:szCs w:val="21"/>
                      <w:u w:val="none"/>
                    </w:rPr>
                  </w:pPr>
                </w:p>
              </w:tc>
              <w:tc>
                <w:tcPr>
                  <w:tcW w:w="698" w:type="pct"/>
                  <w:shd w:val="clear" w:color="auto" w:fill="auto"/>
                  <w:noWrap w:val="0"/>
                  <w:vAlign w:val="center"/>
                </w:tcPr>
                <w:p w14:paraId="2E1814F8">
                  <w:pPr>
                    <w:kinsoku w:val="0"/>
                    <w:overflowPunct w:val="0"/>
                    <w:jc w:val="center"/>
                    <w:rPr>
                      <w:rFonts w:hint="eastAsia"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0C47095E">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0EE49867">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47F5B93E">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21C097C">
                  <w:pPr>
                    <w:kinsoku w:val="0"/>
                    <w:overflowPunct w:val="0"/>
                    <w:jc w:val="center"/>
                    <w:rPr>
                      <w:rFonts w:hint="eastAsia" w:eastAsia="宋体"/>
                      <w:bCs/>
                      <w:sz w:val="21"/>
                      <w:u w:val="none"/>
                    </w:rPr>
                  </w:pPr>
                  <w:r>
                    <w:rPr>
                      <w:rFonts w:hint="eastAsia" w:eastAsia="宋体"/>
                      <w:bCs/>
                      <w:sz w:val="21"/>
                      <w:u w:val="none"/>
                    </w:rPr>
                    <w:t xml:space="preserve">83.078 </w:t>
                  </w:r>
                </w:p>
              </w:tc>
            </w:tr>
            <w:tr w14:paraId="3DECA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11B7F968">
                  <w:pPr>
                    <w:kinsoku w:val="0"/>
                    <w:overflowPunct w:val="0"/>
                    <w:jc w:val="center"/>
                    <w:rPr>
                      <w:rFonts w:eastAsia="宋体"/>
                      <w:bCs/>
                      <w:sz w:val="21"/>
                      <w:u w:val="none"/>
                    </w:rPr>
                  </w:pPr>
                </w:p>
              </w:tc>
              <w:tc>
                <w:tcPr>
                  <w:tcW w:w="1034" w:type="pct"/>
                  <w:vMerge w:val="restart"/>
                  <w:shd w:val="clear" w:color="auto" w:fill="auto"/>
                  <w:noWrap w:val="0"/>
                  <w:vAlign w:val="center"/>
                </w:tcPr>
                <w:p w14:paraId="7D9ADA92">
                  <w:pPr>
                    <w:kinsoku w:val="0"/>
                    <w:overflowPunct w:val="0"/>
                    <w:jc w:val="center"/>
                    <w:rPr>
                      <w:rFonts w:eastAsia="宋体"/>
                      <w:bCs/>
                      <w:sz w:val="21"/>
                      <w:szCs w:val="21"/>
                      <w:u w:val="none"/>
                    </w:rPr>
                  </w:pPr>
                  <w:r>
                    <w:rPr>
                      <w:rFonts w:eastAsia="宋体"/>
                      <w:bCs/>
                      <w:sz w:val="21"/>
                      <w:szCs w:val="21"/>
                      <w:u w:val="none"/>
                    </w:rPr>
                    <w:t>DA009</w:t>
                  </w:r>
                </w:p>
              </w:tc>
              <w:tc>
                <w:tcPr>
                  <w:tcW w:w="698" w:type="pct"/>
                  <w:shd w:val="clear" w:color="auto" w:fill="auto"/>
                  <w:noWrap w:val="0"/>
                  <w:vAlign w:val="center"/>
                </w:tcPr>
                <w:p w14:paraId="3A101DA2">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C9422A3">
                  <w:pPr>
                    <w:widowControl/>
                    <w:jc w:val="center"/>
                    <w:textAlignment w:val="center"/>
                    <w:rPr>
                      <w:rFonts w:hint="eastAsia" w:eastAsia="宋体"/>
                      <w:bCs/>
                      <w:sz w:val="21"/>
                      <w:u w:val="none"/>
                    </w:rPr>
                  </w:pPr>
                  <w:r>
                    <w:rPr>
                      <w:rFonts w:eastAsia="宋体"/>
                      <w:kern w:val="0"/>
                      <w:sz w:val="21"/>
                      <w:szCs w:val="21"/>
                      <w:u w:val="none"/>
                      <w:lang w:bidi="ar"/>
                    </w:rPr>
                    <w:t>29.3</w:t>
                  </w:r>
                </w:p>
              </w:tc>
              <w:tc>
                <w:tcPr>
                  <w:tcW w:w="633" w:type="pct"/>
                  <w:shd w:val="clear" w:color="auto" w:fill="auto"/>
                  <w:noWrap w:val="0"/>
                  <w:vAlign w:val="center"/>
                </w:tcPr>
                <w:p w14:paraId="7FEE1E67">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0C87415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CE47CB4">
                  <w:pPr>
                    <w:kinsoku w:val="0"/>
                    <w:overflowPunct w:val="0"/>
                    <w:jc w:val="center"/>
                    <w:rPr>
                      <w:rFonts w:hint="eastAsia" w:eastAsia="宋体"/>
                      <w:bCs/>
                      <w:sz w:val="21"/>
                      <w:u w:val="none"/>
                    </w:rPr>
                  </w:pPr>
                  <w:r>
                    <w:rPr>
                      <w:rFonts w:hint="eastAsia" w:eastAsia="宋体"/>
                      <w:bCs/>
                      <w:sz w:val="21"/>
                      <w:u w:val="none"/>
                    </w:rPr>
                    <w:t xml:space="preserve">15.604 </w:t>
                  </w:r>
                </w:p>
              </w:tc>
            </w:tr>
            <w:tr w14:paraId="4C60A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5ADD59D">
                  <w:pPr>
                    <w:kinsoku w:val="0"/>
                    <w:overflowPunct w:val="0"/>
                    <w:jc w:val="center"/>
                    <w:rPr>
                      <w:rFonts w:eastAsia="宋体"/>
                      <w:bCs/>
                      <w:sz w:val="21"/>
                      <w:u w:val="none"/>
                    </w:rPr>
                  </w:pPr>
                </w:p>
              </w:tc>
              <w:tc>
                <w:tcPr>
                  <w:tcW w:w="1034" w:type="pct"/>
                  <w:vMerge w:val="continue"/>
                  <w:shd w:val="clear" w:color="auto" w:fill="auto"/>
                  <w:noWrap w:val="0"/>
                  <w:vAlign w:val="center"/>
                </w:tcPr>
                <w:p w14:paraId="151C820E">
                  <w:pPr>
                    <w:kinsoku w:val="0"/>
                    <w:overflowPunct w:val="0"/>
                    <w:jc w:val="center"/>
                    <w:rPr>
                      <w:rFonts w:eastAsia="宋体"/>
                      <w:bCs/>
                      <w:sz w:val="21"/>
                      <w:szCs w:val="21"/>
                      <w:u w:val="none"/>
                    </w:rPr>
                  </w:pPr>
                </w:p>
              </w:tc>
              <w:tc>
                <w:tcPr>
                  <w:tcW w:w="698" w:type="pct"/>
                  <w:shd w:val="clear" w:color="auto" w:fill="auto"/>
                  <w:noWrap w:val="0"/>
                  <w:vAlign w:val="center"/>
                </w:tcPr>
                <w:p w14:paraId="26E35946">
                  <w:pPr>
                    <w:kinsoku w:val="0"/>
                    <w:overflowPunct w:val="0"/>
                    <w:jc w:val="center"/>
                    <w:rPr>
                      <w:rFonts w:hint="eastAsia" w:eastAsia="宋体"/>
                      <w:bCs/>
                      <w:sz w:val="21"/>
                      <w:szCs w:val="21"/>
                      <w:u w:val="none"/>
                    </w:rPr>
                  </w:pPr>
                  <w:r>
                    <w:rPr>
                      <w:rFonts w:hint="eastAsia" w:eastAsia="宋体"/>
                      <w:bCs/>
                      <w:sz w:val="21"/>
                      <w:szCs w:val="21"/>
                      <w:u w:val="none"/>
                    </w:rPr>
                    <w:t>氮氧化物</w:t>
                  </w:r>
                </w:p>
              </w:tc>
              <w:tc>
                <w:tcPr>
                  <w:tcW w:w="573" w:type="pct"/>
                  <w:shd w:val="clear" w:color="auto" w:fill="auto"/>
                  <w:noWrap w:val="0"/>
                  <w:vAlign w:val="center"/>
                </w:tcPr>
                <w:p w14:paraId="01DF381E">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0C3C2695">
                  <w:pPr>
                    <w:kinsoku w:val="0"/>
                    <w:overflowPunct w:val="0"/>
                    <w:jc w:val="center"/>
                    <w:rPr>
                      <w:rFonts w:hint="eastAsia" w:eastAsia="宋体"/>
                      <w:bCs/>
                      <w:sz w:val="21"/>
                      <w:u w:val="none"/>
                    </w:rPr>
                  </w:pPr>
                  <w:r>
                    <w:rPr>
                      <w:rFonts w:eastAsia="宋体"/>
                      <w:bCs/>
                      <w:sz w:val="21"/>
                      <w:u w:val="none"/>
                    </w:rPr>
                    <w:t>66569</w:t>
                  </w:r>
                </w:p>
              </w:tc>
              <w:tc>
                <w:tcPr>
                  <w:tcW w:w="702" w:type="pct"/>
                  <w:shd w:val="clear" w:color="auto" w:fill="auto"/>
                  <w:noWrap w:val="0"/>
                  <w:vAlign w:val="center"/>
                </w:tcPr>
                <w:p w14:paraId="5AACFD4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2FCBB72">
                  <w:pPr>
                    <w:kinsoku w:val="0"/>
                    <w:overflowPunct w:val="0"/>
                    <w:jc w:val="center"/>
                    <w:rPr>
                      <w:rFonts w:hint="eastAsia" w:eastAsia="宋体"/>
                      <w:bCs/>
                      <w:sz w:val="21"/>
                      <w:u w:val="none"/>
                    </w:rPr>
                  </w:pPr>
                  <w:r>
                    <w:rPr>
                      <w:rFonts w:hint="eastAsia" w:eastAsia="宋体"/>
                      <w:bCs/>
                      <w:sz w:val="21"/>
                      <w:u w:val="none"/>
                    </w:rPr>
                    <w:t xml:space="preserve">83.078 </w:t>
                  </w:r>
                </w:p>
              </w:tc>
            </w:tr>
            <w:tr w14:paraId="33CF2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64CB3FB0">
                  <w:pPr>
                    <w:kinsoku w:val="0"/>
                    <w:overflowPunct w:val="0"/>
                    <w:jc w:val="center"/>
                    <w:rPr>
                      <w:rFonts w:eastAsia="宋体"/>
                      <w:bCs/>
                      <w:sz w:val="21"/>
                      <w:u w:val="none"/>
                    </w:rPr>
                  </w:pPr>
                  <w:r>
                    <w:rPr>
                      <w:rFonts w:eastAsia="宋体"/>
                      <w:bCs/>
                      <w:sz w:val="21"/>
                      <w:szCs w:val="21"/>
                      <w:u w:val="none"/>
                    </w:rPr>
                    <w:t>煤加压</w:t>
                  </w:r>
                </w:p>
              </w:tc>
              <w:tc>
                <w:tcPr>
                  <w:tcW w:w="1034" w:type="pct"/>
                  <w:vMerge w:val="restart"/>
                  <w:shd w:val="clear" w:color="auto" w:fill="auto"/>
                  <w:noWrap w:val="0"/>
                  <w:vAlign w:val="center"/>
                </w:tcPr>
                <w:p w14:paraId="487CFBD6">
                  <w:pPr>
                    <w:kinsoku w:val="0"/>
                    <w:overflowPunct w:val="0"/>
                    <w:jc w:val="center"/>
                    <w:rPr>
                      <w:rFonts w:eastAsia="宋体"/>
                      <w:bCs/>
                      <w:sz w:val="21"/>
                      <w:szCs w:val="21"/>
                      <w:u w:val="none"/>
                    </w:rPr>
                  </w:pPr>
                  <w:r>
                    <w:rPr>
                      <w:rFonts w:eastAsia="宋体"/>
                      <w:bCs/>
                      <w:sz w:val="21"/>
                      <w:szCs w:val="21"/>
                      <w:u w:val="none"/>
                    </w:rPr>
                    <w:t>DA011</w:t>
                  </w:r>
                </w:p>
              </w:tc>
              <w:tc>
                <w:tcPr>
                  <w:tcW w:w="698" w:type="pct"/>
                  <w:shd w:val="clear" w:color="auto" w:fill="auto"/>
                  <w:noWrap w:val="0"/>
                  <w:vAlign w:val="center"/>
                </w:tcPr>
                <w:p w14:paraId="0CE6D0F1">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51D5E43E">
                  <w:pPr>
                    <w:widowControl/>
                    <w:jc w:val="center"/>
                    <w:textAlignment w:val="center"/>
                    <w:rPr>
                      <w:rFonts w:eastAsia="宋体"/>
                      <w:bCs/>
                      <w:sz w:val="21"/>
                      <w:u w:val="none"/>
                    </w:rPr>
                  </w:pPr>
                  <w:r>
                    <w:rPr>
                      <w:rFonts w:eastAsia="宋体"/>
                      <w:kern w:val="0"/>
                      <w:sz w:val="21"/>
                      <w:szCs w:val="21"/>
                      <w:u w:val="none"/>
                      <w:lang w:bidi="ar"/>
                    </w:rPr>
                    <w:t>15.2</w:t>
                  </w:r>
                </w:p>
              </w:tc>
              <w:tc>
                <w:tcPr>
                  <w:tcW w:w="633" w:type="pct"/>
                  <w:shd w:val="clear" w:color="auto" w:fill="auto"/>
                  <w:noWrap w:val="0"/>
                  <w:vAlign w:val="center"/>
                </w:tcPr>
                <w:p w14:paraId="0631830C">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4E71D40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083E976">
                  <w:pPr>
                    <w:kinsoku w:val="0"/>
                    <w:overflowPunct w:val="0"/>
                    <w:jc w:val="center"/>
                    <w:rPr>
                      <w:rFonts w:hint="eastAsia" w:eastAsia="宋体"/>
                      <w:bCs/>
                      <w:sz w:val="21"/>
                      <w:u w:val="none"/>
                    </w:rPr>
                  </w:pPr>
                  <w:r>
                    <w:rPr>
                      <w:rFonts w:hint="eastAsia" w:eastAsia="宋体"/>
                      <w:bCs/>
                      <w:sz w:val="21"/>
                      <w:u w:val="none"/>
                    </w:rPr>
                    <w:t xml:space="preserve">1.079 </w:t>
                  </w:r>
                </w:p>
              </w:tc>
            </w:tr>
            <w:tr w14:paraId="7D972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D2C9839">
                  <w:pPr>
                    <w:kinsoku w:val="0"/>
                    <w:overflowPunct w:val="0"/>
                    <w:jc w:val="center"/>
                    <w:rPr>
                      <w:rFonts w:eastAsia="宋体"/>
                      <w:bCs/>
                      <w:sz w:val="21"/>
                      <w:szCs w:val="21"/>
                      <w:u w:val="none"/>
                    </w:rPr>
                  </w:pPr>
                </w:p>
              </w:tc>
              <w:tc>
                <w:tcPr>
                  <w:tcW w:w="1034" w:type="pct"/>
                  <w:vMerge w:val="continue"/>
                  <w:shd w:val="clear" w:color="auto" w:fill="auto"/>
                  <w:noWrap w:val="0"/>
                  <w:vAlign w:val="center"/>
                </w:tcPr>
                <w:p w14:paraId="388D258D">
                  <w:pPr>
                    <w:kinsoku w:val="0"/>
                    <w:overflowPunct w:val="0"/>
                    <w:jc w:val="center"/>
                    <w:rPr>
                      <w:rFonts w:eastAsia="宋体"/>
                      <w:bCs/>
                      <w:sz w:val="21"/>
                      <w:szCs w:val="21"/>
                      <w:u w:val="none"/>
                    </w:rPr>
                  </w:pPr>
                </w:p>
              </w:tc>
              <w:tc>
                <w:tcPr>
                  <w:tcW w:w="698" w:type="pct"/>
                  <w:shd w:val="clear" w:color="auto" w:fill="auto"/>
                  <w:noWrap w:val="0"/>
                  <w:vAlign w:val="center"/>
                </w:tcPr>
                <w:p w14:paraId="0A393563">
                  <w:pPr>
                    <w:kinsoku w:val="0"/>
                    <w:overflowPunct w:val="0"/>
                    <w:jc w:val="center"/>
                    <w:rPr>
                      <w:rFonts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1F8BFCF6">
                  <w:pPr>
                    <w:widowControl/>
                    <w:jc w:val="center"/>
                    <w:textAlignment w:val="center"/>
                    <w:rPr>
                      <w:rFonts w:eastAsia="宋体"/>
                      <w:bCs/>
                      <w:sz w:val="21"/>
                      <w:u w:val="none"/>
                    </w:rPr>
                  </w:pPr>
                  <w:r>
                    <w:rPr>
                      <w:rFonts w:eastAsia="宋体"/>
                      <w:kern w:val="0"/>
                      <w:sz w:val="21"/>
                      <w:szCs w:val="21"/>
                      <w:u w:val="none"/>
                      <w:lang w:bidi="ar"/>
                    </w:rPr>
                    <w:t>28</w:t>
                  </w:r>
                </w:p>
              </w:tc>
              <w:tc>
                <w:tcPr>
                  <w:tcW w:w="633" w:type="pct"/>
                  <w:shd w:val="clear" w:color="auto" w:fill="auto"/>
                  <w:noWrap w:val="0"/>
                  <w:vAlign w:val="center"/>
                </w:tcPr>
                <w:p w14:paraId="1970C370">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0C7466A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ACA1DBD">
                  <w:pPr>
                    <w:kinsoku w:val="0"/>
                    <w:overflowPunct w:val="0"/>
                    <w:jc w:val="center"/>
                    <w:rPr>
                      <w:rFonts w:hint="eastAsia" w:eastAsia="宋体"/>
                      <w:bCs/>
                      <w:sz w:val="21"/>
                      <w:u w:val="none"/>
                    </w:rPr>
                  </w:pPr>
                  <w:r>
                    <w:rPr>
                      <w:rFonts w:hint="eastAsia" w:eastAsia="宋体"/>
                      <w:bCs/>
                      <w:sz w:val="21"/>
                      <w:u w:val="none"/>
                    </w:rPr>
                    <w:t xml:space="preserve">1.987 </w:t>
                  </w:r>
                </w:p>
              </w:tc>
            </w:tr>
            <w:tr w14:paraId="4A35D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C5782EE">
                  <w:pPr>
                    <w:kinsoku w:val="0"/>
                    <w:overflowPunct w:val="0"/>
                    <w:jc w:val="center"/>
                    <w:rPr>
                      <w:rFonts w:eastAsia="宋体"/>
                      <w:bCs/>
                      <w:sz w:val="21"/>
                      <w:szCs w:val="21"/>
                      <w:u w:val="none"/>
                    </w:rPr>
                  </w:pPr>
                </w:p>
              </w:tc>
              <w:tc>
                <w:tcPr>
                  <w:tcW w:w="1034" w:type="pct"/>
                  <w:vMerge w:val="continue"/>
                  <w:shd w:val="clear" w:color="auto" w:fill="auto"/>
                  <w:noWrap w:val="0"/>
                  <w:vAlign w:val="center"/>
                </w:tcPr>
                <w:p w14:paraId="5BE94A8E">
                  <w:pPr>
                    <w:kinsoku w:val="0"/>
                    <w:overflowPunct w:val="0"/>
                    <w:jc w:val="center"/>
                    <w:rPr>
                      <w:rFonts w:eastAsia="宋体"/>
                      <w:bCs/>
                      <w:sz w:val="21"/>
                      <w:szCs w:val="21"/>
                      <w:u w:val="none"/>
                    </w:rPr>
                  </w:pPr>
                </w:p>
              </w:tc>
              <w:tc>
                <w:tcPr>
                  <w:tcW w:w="698" w:type="pct"/>
                  <w:shd w:val="clear" w:color="auto" w:fill="auto"/>
                  <w:noWrap w:val="0"/>
                  <w:vAlign w:val="center"/>
                </w:tcPr>
                <w:p w14:paraId="172769E7">
                  <w:pPr>
                    <w:kinsoku w:val="0"/>
                    <w:overflowPunct w:val="0"/>
                    <w:jc w:val="center"/>
                    <w:rPr>
                      <w:rFonts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0266302C">
                  <w:pPr>
                    <w:widowControl/>
                    <w:jc w:val="center"/>
                    <w:textAlignment w:val="center"/>
                    <w:rPr>
                      <w:rFonts w:eastAsia="宋体"/>
                      <w:bCs/>
                      <w:sz w:val="21"/>
                      <w:u w:val="none"/>
                    </w:rPr>
                  </w:pPr>
                  <w:r>
                    <w:rPr>
                      <w:rFonts w:eastAsia="宋体"/>
                      <w:kern w:val="0"/>
                      <w:sz w:val="21"/>
                      <w:szCs w:val="21"/>
                      <w:u w:val="none"/>
                      <w:lang w:bidi="ar"/>
                    </w:rPr>
                    <w:t>0.06</w:t>
                  </w:r>
                </w:p>
              </w:tc>
              <w:tc>
                <w:tcPr>
                  <w:tcW w:w="633" w:type="pct"/>
                  <w:shd w:val="clear" w:color="auto" w:fill="auto"/>
                  <w:noWrap w:val="0"/>
                  <w:vAlign w:val="center"/>
                </w:tcPr>
                <w:p w14:paraId="55107306">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2A586328">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1091C6D">
                  <w:pPr>
                    <w:kinsoku w:val="0"/>
                    <w:overflowPunct w:val="0"/>
                    <w:jc w:val="center"/>
                    <w:rPr>
                      <w:rFonts w:hint="eastAsia" w:eastAsia="宋体"/>
                      <w:bCs/>
                      <w:sz w:val="21"/>
                      <w:u w:val="none"/>
                    </w:rPr>
                  </w:pPr>
                  <w:r>
                    <w:rPr>
                      <w:rFonts w:hint="eastAsia" w:eastAsia="宋体"/>
                      <w:bCs/>
                      <w:sz w:val="21"/>
                      <w:u w:val="none"/>
                    </w:rPr>
                    <w:t xml:space="preserve">0.004 </w:t>
                  </w:r>
                </w:p>
              </w:tc>
            </w:tr>
            <w:tr w14:paraId="3850E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DB28B01">
                  <w:pPr>
                    <w:kinsoku w:val="0"/>
                    <w:overflowPunct w:val="0"/>
                    <w:jc w:val="center"/>
                    <w:rPr>
                      <w:rFonts w:eastAsia="宋体"/>
                      <w:bCs/>
                      <w:sz w:val="21"/>
                      <w:u w:val="none"/>
                    </w:rPr>
                  </w:pPr>
                </w:p>
              </w:tc>
              <w:tc>
                <w:tcPr>
                  <w:tcW w:w="1034" w:type="pct"/>
                  <w:vMerge w:val="restart"/>
                  <w:shd w:val="clear" w:color="auto" w:fill="auto"/>
                  <w:noWrap w:val="0"/>
                  <w:vAlign w:val="center"/>
                </w:tcPr>
                <w:p w14:paraId="7993C6CB">
                  <w:pPr>
                    <w:kinsoku w:val="0"/>
                    <w:overflowPunct w:val="0"/>
                    <w:jc w:val="center"/>
                    <w:rPr>
                      <w:rFonts w:eastAsia="宋体"/>
                      <w:bCs/>
                      <w:sz w:val="21"/>
                      <w:szCs w:val="21"/>
                      <w:u w:val="none"/>
                    </w:rPr>
                  </w:pPr>
                  <w:r>
                    <w:rPr>
                      <w:rFonts w:eastAsia="宋体"/>
                      <w:bCs/>
                      <w:sz w:val="21"/>
                      <w:szCs w:val="21"/>
                      <w:u w:val="none"/>
                    </w:rPr>
                    <w:t>DA013</w:t>
                  </w:r>
                </w:p>
              </w:tc>
              <w:tc>
                <w:tcPr>
                  <w:tcW w:w="698" w:type="pct"/>
                  <w:shd w:val="clear" w:color="auto" w:fill="auto"/>
                  <w:noWrap w:val="0"/>
                  <w:vAlign w:val="center"/>
                </w:tcPr>
                <w:p w14:paraId="7EE4E0BC">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76509FB9">
                  <w:pPr>
                    <w:widowControl/>
                    <w:jc w:val="center"/>
                    <w:textAlignment w:val="center"/>
                    <w:rPr>
                      <w:rFonts w:eastAsia="宋体"/>
                      <w:bCs/>
                      <w:sz w:val="21"/>
                      <w:u w:val="none"/>
                    </w:rPr>
                  </w:pPr>
                  <w:r>
                    <w:rPr>
                      <w:rFonts w:eastAsia="宋体"/>
                      <w:kern w:val="0"/>
                      <w:sz w:val="21"/>
                      <w:szCs w:val="21"/>
                      <w:u w:val="none"/>
                      <w:lang w:bidi="ar"/>
                    </w:rPr>
                    <w:t>14.5</w:t>
                  </w:r>
                </w:p>
              </w:tc>
              <w:tc>
                <w:tcPr>
                  <w:tcW w:w="633" w:type="pct"/>
                  <w:shd w:val="clear" w:color="auto" w:fill="auto"/>
                  <w:noWrap w:val="0"/>
                  <w:vAlign w:val="center"/>
                </w:tcPr>
                <w:p w14:paraId="1F54B9D4">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38BD4EF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B0068F2">
                  <w:pPr>
                    <w:kinsoku w:val="0"/>
                    <w:overflowPunct w:val="0"/>
                    <w:jc w:val="center"/>
                    <w:rPr>
                      <w:rFonts w:hint="eastAsia" w:eastAsia="宋体"/>
                      <w:bCs/>
                      <w:sz w:val="21"/>
                      <w:u w:val="none"/>
                    </w:rPr>
                  </w:pPr>
                  <w:r>
                    <w:rPr>
                      <w:rFonts w:hint="eastAsia" w:eastAsia="宋体"/>
                      <w:bCs/>
                      <w:sz w:val="21"/>
                      <w:u w:val="none"/>
                    </w:rPr>
                    <w:t xml:space="preserve">1.029 </w:t>
                  </w:r>
                </w:p>
              </w:tc>
            </w:tr>
            <w:tr w14:paraId="6008B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AD1780E">
                  <w:pPr>
                    <w:kinsoku w:val="0"/>
                    <w:overflowPunct w:val="0"/>
                    <w:jc w:val="center"/>
                    <w:rPr>
                      <w:rFonts w:eastAsia="宋体"/>
                      <w:bCs/>
                      <w:sz w:val="21"/>
                      <w:u w:val="none"/>
                    </w:rPr>
                  </w:pPr>
                </w:p>
              </w:tc>
              <w:tc>
                <w:tcPr>
                  <w:tcW w:w="1034" w:type="pct"/>
                  <w:vMerge w:val="continue"/>
                  <w:shd w:val="clear" w:color="auto" w:fill="auto"/>
                  <w:noWrap w:val="0"/>
                  <w:vAlign w:val="center"/>
                </w:tcPr>
                <w:p w14:paraId="22F48BB2">
                  <w:pPr>
                    <w:kinsoku w:val="0"/>
                    <w:overflowPunct w:val="0"/>
                    <w:jc w:val="center"/>
                    <w:rPr>
                      <w:rFonts w:eastAsia="宋体"/>
                      <w:bCs/>
                      <w:sz w:val="21"/>
                      <w:szCs w:val="21"/>
                      <w:u w:val="none"/>
                    </w:rPr>
                  </w:pPr>
                </w:p>
              </w:tc>
              <w:tc>
                <w:tcPr>
                  <w:tcW w:w="698" w:type="pct"/>
                  <w:shd w:val="clear" w:color="auto" w:fill="auto"/>
                  <w:noWrap w:val="0"/>
                  <w:vAlign w:val="center"/>
                </w:tcPr>
                <w:p w14:paraId="0177FCC8">
                  <w:pPr>
                    <w:kinsoku w:val="0"/>
                    <w:overflowPunct w:val="0"/>
                    <w:jc w:val="center"/>
                    <w:rPr>
                      <w:rFonts w:hint="eastAsia"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089006F3">
                  <w:pPr>
                    <w:widowControl/>
                    <w:jc w:val="center"/>
                    <w:textAlignment w:val="center"/>
                    <w:rPr>
                      <w:rFonts w:eastAsia="宋体"/>
                      <w:bCs/>
                      <w:sz w:val="21"/>
                      <w:u w:val="none"/>
                    </w:rPr>
                  </w:pPr>
                  <w:r>
                    <w:rPr>
                      <w:rFonts w:hint="eastAsia" w:eastAsia="宋体"/>
                      <w:kern w:val="0"/>
                      <w:sz w:val="21"/>
                      <w:szCs w:val="21"/>
                      <w:u w:val="none"/>
                      <w:lang w:bidi="ar"/>
                    </w:rPr>
                    <w:t>19</w:t>
                  </w:r>
                </w:p>
              </w:tc>
              <w:tc>
                <w:tcPr>
                  <w:tcW w:w="633" w:type="pct"/>
                  <w:shd w:val="clear" w:color="auto" w:fill="auto"/>
                  <w:noWrap w:val="0"/>
                  <w:vAlign w:val="center"/>
                </w:tcPr>
                <w:p w14:paraId="6A3ADDDC">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7E8F96EA">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49A53DC7">
                  <w:pPr>
                    <w:kinsoku w:val="0"/>
                    <w:overflowPunct w:val="0"/>
                    <w:jc w:val="center"/>
                    <w:rPr>
                      <w:rFonts w:hint="eastAsia" w:eastAsia="宋体"/>
                      <w:bCs/>
                      <w:sz w:val="21"/>
                      <w:u w:val="none"/>
                    </w:rPr>
                  </w:pPr>
                  <w:r>
                    <w:rPr>
                      <w:rFonts w:hint="eastAsia" w:eastAsia="宋体"/>
                      <w:bCs/>
                      <w:sz w:val="21"/>
                      <w:u w:val="none"/>
                    </w:rPr>
                    <w:t xml:space="preserve">1.349 </w:t>
                  </w:r>
                </w:p>
              </w:tc>
            </w:tr>
            <w:tr w14:paraId="4BCB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2ABD17E">
                  <w:pPr>
                    <w:kinsoku w:val="0"/>
                    <w:overflowPunct w:val="0"/>
                    <w:jc w:val="center"/>
                    <w:rPr>
                      <w:rFonts w:eastAsia="宋体"/>
                      <w:bCs/>
                      <w:sz w:val="21"/>
                      <w:u w:val="none"/>
                    </w:rPr>
                  </w:pPr>
                </w:p>
              </w:tc>
              <w:tc>
                <w:tcPr>
                  <w:tcW w:w="1034" w:type="pct"/>
                  <w:vMerge w:val="continue"/>
                  <w:shd w:val="clear" w:color="auto" w:fill="auto"/>
                  <w:noWrap w:val="0"/>
                  <w:vAlign w:val="center"/>
                </w:tcPr>
                <w:p w14:paraId="1A1E2329">
                  <w:pPr>
                    <w:kinsoku w:val="0"/>
                    <w:overflowPunct w:val="0"/>
                    <w:jc w:val="center"/>
                    <w:rPr>
                      <w:rFonts w:eastAsia="宋体"/>
                      <w:bCs/>
                      <w:sz w:val="21"/>
                      <w:szCs w:val="21"/>
                      <w:u w:val="none"/>
                    </w:rPr>
                  </w:pPr>
                </w:p>
              </w:tc>
              <w:tc>
                <w:tcPr>
                  <w:tcW w:w="698" w:type="pct"/>
                  <w:shd w:val="clear" w:color="auto" w:fill="auto"/>
                  <w:noWrap w:val="0"/>
                  <w:vAlign w:val="center"/>
                </w:tcPr>
                <w:p w14:paraId="0863B41A">
                  <w:pPr>
                    <w:kinsoku w:val="0"/>
                    <w:overflowPunct w:val="0"/>
                    <w:jc w:val="center"/>
                    <w:rPr>
                      <w:rFonts w:hint="eastAsia"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3A1376DD">
                  <w:pPr>
                    <w:widowControl/>
                    <w:jc w:val="center"/>
                    <w:textAlignment w:val="center"/>
                    <w:rPr>
                      <w:rFonts w:hint="eastAsia" w:eastAsia="宋体"/>
                      <w:bCs/>
                      <w:sz w:val="21"/>
                      <w:u w:val="none"/>
                    </w:rPr>
                  </w:pPr>
                  <w:r>
                    <w:rPr>
                      <w:rFonts w:eastAsia="宋体"/>
                      <w:kern w:val="0"/>
                      <w:sz w:val="21"/>
                      <w:szCs w:val="21"/>
                      <w:u w:val="none"/>
                      <w:lang w:bidi="ar"/>
                    </w:rPr>
                    <w:t>0.0</w:t>
                  </w:r>
                  <w:r>
                    <w:rPr>
                      <w:rFonts w:hint="eastAsia" w:eastAsia="宋体"/>
                      <w:kern w:val="0"/>
                      <w:sz w:val="21"/>
                      <w:szCs w:val="21"/>
                      <w:u w:val="none"/>
                      <w:lang w:bidi="ar"/>
                    </w:rPr>
                    <w:t>4</w:t>
                  </w:r>
                </w:p>
              </w:tc>
              <w:tc>
                <w:tcPr>
                  <w:tcW w:w="633" w:type="pct"/>
                  <w:shd w:val="clear" w:color="auto" w:fill="auto"/>
                  <w:noWrap w:val="0"/>
                  <w:vAlign w:val="center"/>
                </w:tcPr>
                <w:p w14:paraId="401E91D6">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409A318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3906F50">
                  <w:pPr>
                    <w:kinsoku w:val="0"/>
                    <w:overflowPunct w:val="0"/>
                    <w:jc w:val="center"/>
                    <w:rPr>
                      <w:rFonts w:hint="eastAsia" w:eastAsia="宋体"/>
                      <w:bCs/>
                      <w:sz w:val="21"/>
                      <w:u w:val="none"/>
                    </w:rPr>
                  </w:pPr>
                  <w:r>
                    <w:rPr>
                      <w:rFonts w:hint="eastAsia" w:eastAsia="宋体"/>
                      <w:bCs/>
                      <w:sz w:val="21"/>
                      <w:u w:val="none"/>
                    </w:rPr>
                    <w:t xml:space="preserve">0.003 </w:t>
                  </w:r>
                </w:p>
              </w:tc>
            </w:tr>
            <w:tr w14:paraId="3AFC8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48F18E8">
                  <w:pPr>
                    <w:kinsoku w:val="0"/>
                    <w:overflowPunct w:val="0"/>
                    <w:jc w:val="center"/>
                    <w:rPr>
                      <w:rFonts w:eastAsia="宋体"/>
                      <w:bCs/>
                      <w:sz w:val="21"/>
                      <w:u w:val="none"/>
                    </w:rPr>
                  </w:pPr>
                </w:p>
              </w:tc>
              <w:tc>
                <w:tcPr>
                  <w:tcW w:w="1034" w:type="pct"/>
                  <w:vMerge w:val="restart"/>
                  <w:shd w:val="clear" w:color="auto" w:fill="auto"/>
                  <w:noWrap w:val="0"/>
                  <w:vAlign w:val="center"/>
                </w:tcPr>
                <w:p w14:paraId="71B30F73">
                  <w:pPr>
                    <w:kinsoku w:val="0"/>
                    <w:overflowPunct w:val="0"/>
                    <w:jc w:val="center"/>
                    <w:rPr>
                      <w:rFonts w:eastAsia="宋体"/>
                      <w:bCs/>
                      <w:sz w:val="21"/>
                      <w:szCs w:val="21"/>
                      <w:u w:val="none"/>
                    </w:rPr>
                  </w:pPr>
                  <w:r>
                    <w:rPr>
                      <w:rFonts w:eastAsia="宋体"/>
                      <w:bCs/>
                      <w:sz w:val="21"/>
                      <w:szCs w:val="21"/>
                      <w:u w:val="none"/>
                    </w:rPr>
                    <w:t>DA015</w:t>
                  </w:r>
                </w:p>
              </w:tc>
              <w:tc>
                <w:tcPr>
                  <w:tcW w:w="698" w:type="pct"/>
                  <w:shd w:val="clear" w:color="auto" w:fill="auto"/>
                  <w:noWrap w:val="0"/>
                  <w:vAlign w:val="center"/>
                </w:tcPr>
                <w:p w14:paraId="7E9782EB">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3B960612">
                  <w:pPr>
                    <w:widowControl/>
                    <w:jc w:val="center"/>
                    <w:textAlignment w:val="center"/>
                    <w:rPr>
                      <w:rFonts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2A61EEB9">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0D44056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87C24FE">
                  <w:pPr>
                    <w:kinsoku w:val="0"/>
                    <w:overflowPunct w:val="0"/>
                    <w:jc w:val="center"/>
                    <w:rPr>
                      <w:rFonts w:hint="eastAsia" w:eastAsia="宋体"/>
                      <w:bCs/>
                      <w:sz w:val="21"/>
                      <w:u w:val="none"/>
                    </w:rPr>
                  </w:pPr>
                  <w:r>
                    <w:rPr>
                      <w:rFonts w:hint="eastAsia" w:eastAsia="宋体"/>
                      <w:bCs/>
                      <w:sz w:val="21"/>
                      <w:u w:val="none"/>
                    </w:rPr>
                    <w:t xml:space="preserve">1.107 </w:t>
                  </w:r>
                </w:p>
              </w:tc>
            </w:tr>
            <w:tr w14:paraId="6545F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662D5A4">
                  <w:pPr>
                    <w:kinsoku w:val="0"/>
                    <w:overflowPunct w:val="0"/>
                    <w:jc w:val="center"/>
                    <w:rPr>
                      <w:rFonts w:eastAsia="宋体"/>
                      <w:bCs/>
                      <w:sz w:val="21"/>
                      <w:u w:val="none"/>
                    </w:rPr>
                  </w:pPr>
                </w:p>
              </w:tc>
              <w:tc>
                <w:tcPr>
                  <w:tcW w:w="1034" w:type="pct"/>
                  <w:vMerge w:val="continue"/>
                  <w:shd w:val="clear" w:color="auto" w:fill="auto"/>
                  <w:noWrap w:val="0"/>
                  <w:vAlign w:val="center"/>
                </w:tcPr>
                <w:p w14:paraId="1A034454">
                  <w:pPr>
                    <w:kinsoku w:val="0"/>
                    <w:overflowPunct w:val="0"/>
                    <w:jc w:val="center"/>
                    <w:rPr>
                      <w:rFonts w:eastAsia="宋体"/>
                      <w:bCs/>
                      <w:sz w:val="21"/>
                      <w:szCs w:val="21"/>
                      <w:u w:val="none"/>
                    </w:rPr>
                  </w:pPr>
                </w:p>
              </w:tc>
              <w:tc>
                <w:tcPr>
                  <w:tcW w:w="698" w:type="pct"/>
                  <w:shd w:val="clear" w:color="auto" w:fill="auto"/>
                  <w:noWrap w:val="0"/>
                  <w:vAlign w:val="center"/>
                </w:tcPr>
                <w:p w14:paraId="127A45AB">
                  <w:pPr>
                    <w:kinsoku w:val="0"/>
                    <w:overflowPunct w:val="0"/>
                    <w:jc w:val="center"/>
                    <w:rPr>
                      <w:rFonts w:hint="eastAsia"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6F785E63">
                  <w:pPr>
                    <w:widowControl/>
                    <w:jc w:val="center"/>
                    <w:textAlignment w:val="center"/>
                    <w:rPr>
                      <w:rFonts w:eastAsia="宋体"/>
                      <w:bCs/>
                      <w:sz w:val="21"/>
                      <w:u w:val="none"/>
                    </w:rPr>
                  </w:pPr>
                  <w:r>
                    <w:rPr>
                      <w:rFonts w:hint="eastAsia" w:eastAsia="宋体"/>
                      <w:kern w:val="0"/>
                      <w:sz w:val="21"/>
                      <w:szCs w:val="21"/>
                      <w:u w:val="none"/>
                      <w:lang w:bidi="ar"/>
                    </w:rPr>
                    <w:t>ND</w:t>
                  </w:r>
                </w:p>
              </w:tc>
              <w:tc>
                <w:tcPr>
                  <w:tcW w:w="633" w:type="pct"/>
                  <w:shd w:val="clear" w:color="auto" w:fill="auto"/>
                  <w:noWrap w:val="0"/>
                  <w:vAlign w:val="center"/>
                </w:tcPr>
                <w:p w14:paraId="203FA368">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627A2D8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00E4DBD">
                  <w:pPr>
                    <w:kinsoku w:val="0"/>
                    <w:overflowPunct w:val="0"/>
                    <w:jc w:val="center"/>
                    <w:rPr>
                      <w:rFonts w:hint="eastAsia" w:eastAsia="宋体"/>
                      <w:bCs/>
                      <w:sz w:val="21"/>
                      <w:u w:val="none"/>
                    </w:rPr>
                  </w:pPr>
                  <w:r>
                    <w:rPr>
                      <w:rFonts w:hint="eastAsia" w:eastAsia="宋体"/>
                      <w:bCs/>
                      <w:sz w:val="21"/>
                      <w:u w:val="none"/>
                    </w:rPr>
                    <w:t>/</w:t>
                  </w:r>
                </w:p>
              </w:tc>
            </w:tr>
            <w:tr w14:paraId="2BE53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6535507">
                  <w:pPr>
                    <w:kinsoku w:val="0"/>
                    <w:overflowPunct w:val="0"/>
                    <w:jc w:val="center"/>
                    <w:rPr>
                      <w:rFonts w:eastAsia="宋体"/>
                      <w:bCs/>
                      <w:sz w:val="21"/>
                      <w:u w:val="none"/>
                    </w:rPr>
                  </w:pPr>
                </w:p>
              </w:tc>
              <w:tc>
                <w:tcPr>
                  <w:tcW w:w="1034" w:type="pct"/>
                  <w:vMerge w:val="continue"/>
                  <w:shd w:val="clear" w:color="auto" w:fill="auto"/>
                  <w:noWrap w:val="0"/>
                  <w:vAlign w:val="center"/>
                </w:tcPr>
                <w:p w14:paraId="3C6D41D1">
                  <w:pPr>
                    <w:kinsoku w:val="0"/>
                    <w:overflowPunct w:val="0"/>
                    <w:jc w:val="center"/>
                    <w:rPr>
                      <w:rFonts w:eastAsia="宋体"/>
                      <w:bCs/>
                      <w:sz w:val="21"/>
                      <w:szCs w:val="21"/>
                      <w:u w:val="none"/>
                    </w:rPr>
                  </w:pPr>
                </w:p>
              </w:tc>
              <w:tc>
                <w:tcPr>
                  <w:tcW w:w="698" w:type="pct"/>
                  <w:shd w:val="clear" w:color="auto" w:fill="auto"/>
                  <w:noWrap w:val="0"/>
                  <w:vAlign w:val="center"/>
                </w:tcPr>
                <w:p w14:paraId="57A13DED">
                  <w:pPr>
                    <w:kinsoku w:val="0"/>
                    <w:overflowPunct w:val="0"/>
                    <w:jc w:val="center"/>
                    <w:rPr>
                      <w:rFonts w:hint="eastAsia"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33F19F1C">
                  <w:pPr>
                    <w:widowControl/>
                    <w:jc w:val="center"/>
                    <w:textAlignment w:val="center"/>
                    <w:rPr>
                      <w:rFonts w:hint="eastAsia" w:eastAsia="宋体"/>
                      <w:bCs/>
                      <w:sz w:val="21"/>
                      <w:u w:val="none"/>
                    </w:rPr>
                  </w:pPr>
                  <w:r>
                    <w:rPr>
                      <w:rFonts w:eastAsia="宋体"/>
                      <w:kern w:val="0"/>
                      <w:sz w:val="21"/>
                      <w:szCs w:val="21"/>
                      <w:u w:val="none"/>
                      <w:lang w:bidi="ar"/>
                    </w:rPr>
                    <w:t>0.0</w:t>
                  </w:r>
                  <w:r>
                    <w:rPr>
                      <w:rFonts w:hint="eastAsia" w:eastAsia="宋体"/>
                      <w:kern w:val="0"/>
                      <w:sz w:val="21"/>
                      <w:szCs w:val="21"/>
                      <w:u w:val="none"/>
                      <w:lang w:bidi="ar"/>
                    </w:rPr>
                    <w:t>4</w:t>
                  </w:r>
                </w:p>
              </w:tc>
              <w:tc>
                <w:tcPr>
                  <w:tcW w:w="633" w:type="pct"/>
                  <w:shd w:val="clear" w:color="auto" w:fill="auto"/>
                  <w:noWrap w:val="0"/>
                  <w:vAlign w:val="center"/>
                </w:tcPr>
                <w:p w14:paraId="35E70EDE">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066836A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33BC66B">
                  <w:pPr>
                    <w:kinsoku w:val="0"/>
                    <w:overflowPunct w:val="0"/>
                    <w:jc w:val="center"/>
                    <w:rPr>
                      <w:rFonts w:hint="eastAsia" w:eastAsia="宋体"/>
                      <w:bCs/>
                      <w:sz w:val="21"/>
                      <w:u w:val="none"/>
                    </w:rPr>
                  </w:pPr>
                  <w:r>
                    <w:rPr>
                      <w:rFonts w:hint="eastAsia" w:eastAsia="宋体"/>
                      <w:bCs/>
                      <w:sz w:val="21"/>
                      <w:u w:val="none"/>
                    </w:rPr>
                    <w:t xml:space="preserve">0.003 </w:t>
                  </w:r>
                </w:p>
              </w:tc>
            </w:tr>
            <w:tr w14:paraId="3BC74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43C3ABC">
                  <w:pPr>
                    <w:kinsoku w:val="0"/>
                    <w:overflowPunct w:val="0"/>
                    <w:jc w:val="center"/>
                    <w:rPr>
                      <w:rFonts w:eastAsia="宋体"/>
                      <w:bCs/>
                      <w:sz w:val="21"/>
                      <w:u w:val="none"/>
                    </w:rPr>
                  </w:pPr>
                </w:p>
              </w:tc>
              <w:tc>
                <w:tcPr>
                  <w:tcW w:w="1034" w:type="pct"/>
                  <w:vMerge w:val="restart"/>
                  <w:shd w:val="clear" w:color="auto" w:fill="auto"/>
                  <w:noWrap w:val="0"/>
                  <w:vAlign w:val="center"/>
                </w:tcPr>
                <w:p w14:paraId="5A7E66A9">
                  <w:pPr>
                    <w:kinsoku w:val="0"/>
                    <w:overflowPunct w:val="0"/>
                    <w:jc w:val="center"/>
                    <w:rPr>
                      <w:rFonts w:eastAsia="宋体"/>
                      <w:bCs/>
                      <w:sz w:val="21"/>
                      <w:szCs w:val="21"/>
                      <w:u w:val="none"/>
                    </w:rPr>
                  </w:pPr>
                  <w:r>
                    <w:rPr>
                      <w:rFonts w:eastAsia="宋体"/>
                      <w:bCs/>
                      <w:sz w:val="21"/>
                      <w:szCs w:val="21"/>
                      <w:u w:val="none"/>
                    </w:rPr>
                    <w:t>DA016</w:t>
                  </w:r>
                </w:p>
              </w:tc>
              <w:tc>
                <w:tcPr>
                  <w:tcW w:w="698" w:type="pct"/>
                  <w:shd w:val="clear" w:color="auto" w:fill="auto"/>
                  <w:noWrap w:val="0"/>
                  <w:vAlign w:val="center"/>
                </w:tcPr>
                <w:p w14:paraId="0A5E7478">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6FF7EA48">
                  <w:pPr>
                    <w:widowControl/>
                    <w:jc w:val="center"/>
                    <w:textAlignment w:val="center"/>
                    <w:rPr>
                      <w:rFonts w:hint="eastAsia" w:eastAsia="宋体"/>
                      <w:bCs/>
                      <w:sz w:val="21"/>
                      <w:u w:val="none"/>
                    </w:rPr>
                  </w:pPr>
                  <w:r>
                    <w:rPr>
                      <w:rFonts w:eastAsia="宋体"/>
                      <w:kern w:val="0"/>
                      <w:sz w:val="21"/>
                      <w:szCs w:val="21"/>
                      <w:u w:val="none"/>
                      <w:lang w:bidi="ar"/>
                    </w:rPr>
                    <w:t>15.6</w:t>
                  </w:r>
                </w:p>
              </w:tc>
              <w:tc>
                <w:tcPr>
                  <w:tcW w:w="633" w:type="pct"/>
                  <w:shd w:val="clear" w:color="auto" w:fill="auto"/>
                  <w:noWrap w:val="0"/>
                  <w:vAlign w:val="center"/>
                </w:tcPr>
                <w:p w14:paraId="68C14ECB">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38DCE84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8BB0355">
                  <w:pPr>
                    <w:kinsoku w:val="0"/>
                    <w:overflowPunct w:val="0"/>
                    <w:jc w:val="center"/>
                    <w:rPr>
                      <w:rFonts w:hint="eastAsia" w:eastAsia="宋体"/>
                      <w:bCs/>
                      <w:sz w:val="21"/>
                      <w:u w:val="none"/>
                    </w:rPr>
                  </w:pPr>
                  <w:r>
                    <w:rPr>
                      <w:rFonts w:hint="eastAsia" w:eastAsia="宋体"/>
                      <w:bCs/>
                      <w:sz w:val="21"/>
                      <w:u w:val="none"/>
                    </w:rPr>
                    <w:t xml:space="preserve">1.107 </w:t>
                  </w:r>
                </w:p>
              </w:tc>
            </w:tr>
            <w:tr w14:paraId="103E3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2882993">
                  <w:pPr>
                    <w:kinsoku w:val="0"/>
                    <w:overflowPunct w:val="0"/>
                    <w:jc w:val="center"/>
                    <w:rPr>
                      <w:rFonts w:eastAsia="宋体"/>
                      <w:bCs/>
                      <w:sz w:val="21"/>
                      <w:u w:val="none"/>
                    </w:rPr>
                  </w:pPr>
                </w:p>
              </w:tc>
              <w:tc>
                <w:tcPr>
                  <w:tcW w:w="1034" w:type="pct"/>
                  <w:vMerge w:val="continue"/>
                  <w:shd w:val="clear" w:color="auto" w:fill="auto"/>
                  <w:noWrap w:val="0"/>
                  <w:vAlign w:val="center"/>
                </w:tcPr>
                <w:p w14:paraId="1F8236DF">
                  <w:pPr>
                    <w:kinsoku w:val="0"/>
                    <w:overflowPunct w:val="0"/>
                    <w:jc w:val="center"/>
                    <w:rPr>
                      <w:rFonts w:eastAsia="宋体"/>
                      <w:bCs/>
                      <w:sz w:val="21"/>
                      <w:szCs w:val="21"/>
                      <w:u w:val="none"/>
                    </w:rPr>
                  </w:pPr>
                </w:p>
              </w:tc>
              <w:tc>
                <w:tcPr>
                  <w:tcW w:w="698" w:type="pct"/>
                  <w:shd w:val="clear" w:color="auto" w:fill="auto"/>
                  <w:noWrap w:val="0"/>
                  <w:vAlign w:val="center"/>
                </w:tcPr>
                <w:p w14:paraId="2BD273F5">
                  <w:pPr>
                    <w:kinsoku w:val="0"/>
                    <w:overflowPunct w:val="0"/>
                    <w:jc w:val="center"/>
                    <w:rPr>
                      <w:rFonts w:hint="eastAsia"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7C25A36A">
                  <w:pPr>
                    <w:widowControl/>
                    <w:jc w:val="center"/>
                    <w:textAlignment w:val="center"/>
                    <w:rPr>
                      <w:rFonts w:hint="eastAsia" w:eastAsia="宋体"/>
                      <w:bCs/>
                      <w:sz w:val="21"/>
                      <w:u w:val="none"/>
                    </w:rPr>
                  </w:pPr>
                  <w:r>
                    <w:rPr>
                      <w:rFonts w:eastAsia="宋体"/>
                      <w:kern w:val="0"/>
                      <w:sz w:val="21"/>
                      <w:szCs w:val="21"/>
                      <w:u w:val="none"/>
                      <w:lang w:bidi="ar"/>
                    </w:rPr>
                    <w:t>28</w:t>
                  </w:r>
                </w:p>
              </w:tc>
              <w:tc>
                <w:tcPr>
                  <w:tcW w:w="633" w:type="pct"/>
                  <w:shd w:val="clear" w:color="auto" w:fill="auto"/>
                  <w:noWrap w:val="0"/>
                  <w:vAlign w:val="center"/>
                </w:tcPr>
                <w:p w14:paraId="5D4FAC10">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100C6A6A">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73256B3">
                  <w:pPr>
                    <w:kinsoku w:val="0"/>
                    <w:overflowPunct w:val="0"/>
                    <w:jc w:val="center"/>
                    <w:rPr>
                      <w:rFonts w:hint="eastAsia" w:eastAsia="宋体"/>
                      <w:bCs/>
                      <w:sz w:val="21"/>
                      <w:u w:val="none"/>
                    </w:rPr>
                  </w:pPr>
                  <w:r>
                    <w:rPr>
                      <w:rFonts w:hint="eastAsia" w:eastAsia="宋体"/>
                      <w:bCs/>
                      <w:sz w:val="21"/>
                      <w:u w:val="none"/>
                    </w:rPr>
                    <w:t xml:space="preserve">1.987 </w:t>
                  </w:r>
                </w:p>
              </w:tc>
            </w:tr>
            <w:tr w14:paraId="3175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532A6F24">
                  <w:pPr>
                    <w:kinsoku w:val="0"/>
                    <w:overflowPunct w:val="0"/>
                    <w:jc w:val="center"/>
                    <w:rPr>
                      <w:rFonts w:eastAsia="宋体"/>
                      <w:bCs/>
                      <w:sz w:val="21"/>
                      <w:u w:val="none"/>
                    </w:rPr>
                  </w:pPr>
                </w:p>
              </w:tc>
              <w:tc>
                <w:tcPr>
                  <w:tcW w:w="1034" w:type="pct"/>
                  <w:vMerge w:val="continue"/>
                  <w:shd w:val="clear" w:color="auto" w:fill="auto"/>
                  <w:noWrap w:val="0"/>
                  <w:vAlign w:val="center"/>
                </w:tcPr>
                <w:p w14:paraId="695E098D">
                  <w:pPr>
                    <w:kinsoku w:val="0"/>
                    <w:overflowPunct w:val="0"/>
                    <w:jc w:val="center"/>
                    <w:rPr>
                      <w:rFonts w:eastAsia="宋体"/>
                      <w:bCs/>
                      <w:sz w:val="21"/>
                      <w:szCs w:val="21"/>
                      <w:u w:val="none"/>
                    </w:rPr>
                  </w:pPr>
                </w:p>
              </w:tc>
              <w:tc>
                <w:tcPr>
                  <w:tcW w:w="698" w:type="pct"/>
                  <w:shd w:val="clear" w:color="auto" w:fill="auto"/>
                  <w:noWrap w:val="0"/>
                  <w:vAlign w:val="center"/>
                </w:tcPr>
                <w:p w14:paraId="010D4CAA">
                  <w:pPr>
                    <w:kinsoku w:val="0"/>
                    <w:overflowPunct w:val="0"/>
                    <w:jc w:val="center"/>
                    <w:rPr>
                      <w:rFonts w:hint="eastAsia"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75F43611">
                  <w:pPr>
                    <w:widowControl/>
                    <w:jc w:val="center"/>
                    <w:textAlignment w:val="center"/>
                    <w:rPr>
                      <w:rFonts w:hint="eastAsia" w:eastAsia="宋体"/>
                      <w:bCs/>
                      <w:sz w:val="21"/>
                      <w:u w:val="none"/>
                    </w:rPr>
                  </w:pPr>
                  <w:r>
                    <w:rPr>
                      <w:rFonts w:eastAsia="宋体"/>
                      <w:kern w:val="0"/>
                      <w:sz w:val="21"/>
                      <w:szCs w:val="21"/>
                      <w:u w:val="none"/>
                      <w:lang w:bidi="ar"/>
                    </w:rPr>
                    <w:t>0.06</w:t>
                  </w:r>
                </w:p>
              </w:tc>
              <w:tc>
                <w:tcPr>
                  <w:tcW w:w="633" w:type="pct"/>
                  <w:shd w:val="clear" w:color="auto" w:fill="auto"/>
                  <w:noWrap w:val="0"/>
                  <w:vAlign w:val="center"/>
                </w:tcPr>
                <w:p w14:paraId="57F5AF80">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70F1FDD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385C083">
                  <w:pPr>
                    <w:kinsoku w:val="0"/>
                    <w:overflowPunct w:val="0"/>
                    <w:jc w:val="center"/>
                    <w:rPr>
                      <w:rFonts w:hint="eastAsia" w:eastAsia="宋体"/>
                      <w:bCs/>
                      <w:sz w:val="21"/>
                      <w:u w:val="none"/>
                    </w:rPr>
                  </w:pPr>
                  <w:r>
                    <w:rPr>
                      <w:rFonts w:hint="eastAsia" w:eastAsia="宋体"/>
                      <w:bCs/>
                      <w:sz w:val="21"/>
                      <w:u w:val="none"/>
                    </w:rPr>
                    <w:t xml:space="preserve">0.004 </w:t>
                  </w:r>
                </w:p>
              </w:tc>
            </w:tr>
            <w:tr w14:paraId="69470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21CD3A6A">
                  <w:pPr>
                    <w:kinsoku w:val="0"/>
                    <w:overflowPunct w:val="0"/>
                    <w:jc w:val="center"/>
                    <w:rPr>
                      <w:rFonts w:eastAsia="宋体"/>
                      <w:bCs/>
                      <w:sz w:val="21"/>
                      <w:u w:val="none"/>
                    </w:rPr>
                  </w:pPr>
                </w:p>
              </w:tc>
              <w:tc>
                <w:tcPr>
                  <w:tcW w:w="1034" w:type="pct"/>
                  <w:vMerge w:val="restart"/>
                  <w:shd w:val="clear" w:color="auto" w:fill="auto"/>
                  <w:noWrap w:val="0"/>
                  <w:vAlign w:val="center"/>
                </w:tcPr>
                <w:p w14:paraId="7368CD32">
                  <w:pPr>
                    <w:kinsoku w:val="0"/>
                    <w:overflowPunct w:val="0"/>
                    <w:jc w:val="center"/>
                    <w:rPr>
                      <w:rFonts w:eastAsia="宋体"/>
                      <w:bCs/>
                      <w:sz w:val="21"/>
                      <w:szCs w:val="21"/>
                      <w:u w:val="none"/>
                    </w:rPr>
                  </w:pPr>
                  <w:r>
                    <w:rPr>
                      <w:rFonts w:eastAsia="宋体"/>
                      <w:bCs/>
                      <w:sz w:val="21"/>
                      <w:szCs w:val="21"/>
                      <w:u w:val="none"/>
                    </w:rPr>
                    <w:t>DA017</w:t>
                  </w:r>
                </w:p>
              </w:tc>
              <w:tc>
                <w:tcPr>
                  <w:tcW w:w="698" w:type="pct"/>
                  <w:shd w:val="clear" w:color="auto" w:fill="auto"/>
                  <w:noWrap w:val="0"/>
                  <w:vAlign w:val="center"/>
                </w:tcPr>
                <w:p w14:paraId="2CA53804">
                  <w:pPr>
                    <w:kinsoku w:val="0"/>
                    <w:overflowPunct w:val="0"/>
                    <w:jc w:val="center"/>
                    <w:rPr>
                      <w:rFonts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431DECED">
                  <w:pPr>
                    <w:widowControl/>
                    <w:jc w:val="center"/>
                    <w:textAlignment w:val="center"/>
                    <w:rPr>
                      <w:rFonts w:eastAsia="宋体"/>
                      <w:bCs/>
                      <w:sz w:val="21"/>
                      <w:u w:val="none"/>
                    </w:rPr>
                  </w:pPr>
                  <w:r>
                    <w:rPr>
                      <w:rFonts w:hint="eastAsia" w:eastAsia="宋体"/>
                      <w:kern w:val="0"/>
                      <w:sz w:val="21"/>
                      <w:szCs w:val="21"/>
                      <w:u w:val="none"/>
                      <w:lang w:bidi="ar"/>
                    </w:rPr>
                    <w:t>ND</w:t>
                  </w:r>
                </w:p>
              </w:tc>
              <w:tc>
                <w:tcPr>
                  <w:tcW w:w="633" w:type="pct"/>
                  <w:shd w:val="clear" w:color="auto" w:fill="auto"/>
                  <w:noWrap w:val="0"/>
                  <w:vAlign w:val="center"/>
                </w:tcPr>
                <w:p w14:paraId="4C5B1F53">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1D892AF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35C07AD">
                  <w:pPr>
                    <w:kinsoku w:val="0"/>
                    <w:overflowPunct w:val="0"/>
                    <w:jc w:val="center"/>
                    <w:rPr>
                      <w:rFonts w:hint="eastAsia" w:eastAsia="宋体"/>
                      <w:bCs/>
                      <w:sz w:val="21"/>
                      <w:u w:val="none"/>
                    </w:rPr>
                  </w:pPr>
                  <w:r>
                    <w:rPr>
                      <w:rFonts w:hint="eastAsia" w:eastAsia="宋体"/>
                      <w:bCs/>
                      <w:sz w:val="21"/>
                      <w:u w:val="none"/>
                    </w:rPr>
                    <w:t xml:space="preserve">0.035 </w:t>
                  </w:r>
                </w:p>
              </w:tc>
            </w:tr>
            <w:tr w14:paraId="70D89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AF2590C">
                  <w:pPr>
                    <w:kinsoku w:val="0"/>
                    <w:overflowPunct w:val="0"/>
                    <w:jc w:val="center"/>
                    <w:rPr>
                      <w:rFonts w:eastAsia="宋体"/>
                      <w:bCs/>
                      <w:sz w:val="21"/>
                      <w:u w:val="none"/>
                    </w:rPr>
                  </w:pPr>
                </w:p>
              </w:tc>
              <w:tc>
                <w:tcPr>
                  <w:tcW w:w="1034" w:type="pct"/>
                  <w:vMerge w:val="continue"/>
                  <w:shd w:val="clear" w:color="auto" w:fill="auto"/>
                  <w:noWrap w:val="0"/>
                  <w:vAlign w:val="center"/>
                </w:tcPr>
                <w:p w14:paraId="500AFF63">
                  <w:pPr>
                    <w:kinsoku w:val="0"/>
                    <w:overflowPunct w:val="0"/>
                    <w:jc w:val="center"/>
                    <w:rPr>
                      <w:rFonts w:eastAsia="宋体"/>
                      <w:bCs/>
                      <w:sz w:val="21"/>
                      <w:szCs w:val="21"/>
                      <w:u w:val="none"/>
                    </w:rPr>
                  </w:pPr>
                </w:p>
              </w:tc>
              <w:tc>
                <w:tcPr>
                  <w:tcW w:w="698" w:type="pct"/>
                  <w:shd w:val="clear" w:color="auto" w:fill="auto"/>
                  <w:noWrap w:val="0"/>
                  <w:vAlign w:val="center"/>
                </w:tcPr>
                <w:p w14:paraId="4342DA97">
                  <w:pPr>
                    <w:kinsoku w:val="0"/>
                    <w:overflowPunct w:val="0"/>
                    <w:jc w:val="center"/>
                    <w:rPr>
                      <w:rFonts w:hint="eastAsia"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2DE39680">
                  <w:pPr>
                    <w:widowControl/>
                    <w:jc w:val="center"/>
                    <w:textAlignment w:val="center"/>
                    <w:rPr>
                      <w:rFonts w:eastAsia="宋体"/>
                      <w:bCs/>
                      <w:sz w:val="21"/>
                      <w:u w:val="none"/>
                    </w:rPr>
                  </w:pPr>
                  <w:r>
                    <w:rPr>
                      <w:rFonts w:hint="eastAsia" w:eastAsia="宋体"/>
                      <w:kern w:val="0"/>
                      <w:sz w:val="21"/>
                      <w:szCs w:val="21"/>
                      <w:u w:val="none"/>
                      <w:lang w:bidi="ar"/>
                    </w:rPr>
                    <w:t>17</w:t>
                  </w:r>
                </w:p>
              </w:tc>
              <w:tc>
                <w:tcPr>
                  <w:tcW w:w="633" w:type="pct"/>
                  <w:shd w:val="clear" w:color="auto" w:fill="auto"/>
                  <w:noWrap w:val="0"/>
                  <w:vAlign w:val="center"/>
                </w:tcPr>
                <w:p w14:paraId="08FD57C9">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269426E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515F898">
                  <w:pPr>
                    <w:kinsoku w:val="0"/>
                    <w:overflowPunct w:val="0"/>
                    <w:jc w:val="center"/>
                    <w:rPr>
                      <w:rFonts w:hint="eastAsia" w:eastAsia="宋体"/>
                      <w:bCs/>
                      <w:sz w:val="21"/>
                      <w:u w:val="none"/>
                    </w:rPr>
                  </w:pPr>
                  <w:r>
                    <w:rPr>
                      <w:rFonts w:hint="eastAsia" w:eastAsia="宋体"/>
                      <w:bCs/>
                      <w:sz w:val="21"/>
                      <w:u w:val="none"/>
                    </w:rPr>
                    <w:t xml:space="preserve">1.207 </w:t>
                  </w:r>
                </w:p>
              </w:tc>
            </w:tr>
            <w:tr w14:paraId="68E46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46080BC">
                  <w:pPr>
                    <w:kinsoku w:val="0"/>
                    <w:overflowPunct w:val="0"/>
                    <w:jc w:val="center"/>
                    <w:rPr>
                      <w:rFonts w:eastAsia="宋体"/>
                      <w:bCs/>
                      <w:sz w:val="21"/>
                      <w:u w:val="none"/>
                    </w:rPr>
                  </w:pPr>
                </w:p>
              </w:tc>
              <w:tc>
                <w:tcPr>
                  <w:tcW w:w="1034" w:type="pct"/>
                  <w:vMerge w:val="continue"/>
                  <w:shd w:val="clear" w:color="auto" w:fill="auto"/>
                  <w:noWrap w:val="0"/>
                  <w:vAlign w:val="center"/>
                </w:tcPr>
                <w:p w14:paraId="700B0943">
                  <w:pPr>
                    <w:kinsoku w:val="0"/>
                    <w:overflowPunct w:val="0"/>
                    <w:jc w:val="center"/>
                    <w:rPr>
                      <w:rFonts w:eastAsia="宋体"/>
                      <w:bCs/>
                      <w:sz w:val="21"/>
                      <w:szCs w:val="21"/>
                      <w:u w:val="none"/>
                    </w:rPr>
                  </w:pPr>
                </w:p>
              </w:tc>
              <w:tc>
                <w:tcPr>
                  <w:tcW w:w="698" w:type="pct"/>
                  <w:shd w:val="clear" w:color="auto" w:fill="auto"/>
                  <w:noWrap w:val="0"/>
                  <w:vAlign w:val="center"/>
                </w:tcPr>
                <w:p w14:paraId="304F9696">
                  <w:pPr>
                    <w:kinsoku w:val="0"/>
                    <w:overflowPunct w:val="0"/>
                    <w:jc w:val="center"/>
                    <w:rPr>
                      <w:rFonts w:hint="eastAsia"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0B48618A">
                  <w:pPr>
                    <w:widowControl/>
                    <w:jc w:val="center"/>
                    <w:textAlignment w:val="center"/>
                    <w:rPr>
                      <w:rFonts w:eastAsia="宋体"/>
                      <w:bCs/>
                      <w:sz w:val="21"/>
                      <w:u w:val="none"/>
                    </w:rPr>
                  </w:pPr>
                  <w:r>
                    <w:rPr>
                      <w:rFonts w:eastAsia="宋体"/>
                      <w:kern w:val="0"/>
                      <w:sz w:val="21"/>
                      <w:szCs w:val="21"/>
                      <w:u w:val="none"/>
                      <w:lang w:bidi="ar"/>
                    </w:rPr>
                    <w:t>0.0</w:t>
                  </w:r>
                  <w:r>
                    <w:rPr>
                      <w:rFonts w:hint="eastAsia" w:eastAsia="宋体"/>
                      <w:kern w:val="0"/>
                      <w:sz w:val="21"/>
                      <w:szCs w:val="21"/>
                      <w:u w:val="none"/>
                      <w:lang w:bidi="ar"/>
                    </w:rPr>
                    <w:t>09</w:t>
                  </w:r>
                </w:p>
              </w:tc>
              <w:tc>
                <w:tcPr>
                  <w:tcW w:w="633" w:type="pct"/>
                  <w:shd w:val="clear" w:color="auto" w:fill="auto"/>
                  <w:noWrap w:val="0"/>
                  <w:vAlign w:val="center"/>
                </w:tcPr>
                <w:p w14:paraId="1ECDD89F">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7EB8157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B2A8AC6">
                  <w:pPr>
                    <w:kinsoku w:val="0"/>
                    <w:overflowPunct w:val="0"/>
                    <w:jc w:val="center"/>
                    <w:rPr>
                      <w:rFonts w:hint="eastAsia" w:eastAsia="宋体"/>
                      <w:bCs/>
                      <w:sz w:val="21"/>
                      <w:u w:val="none"/>
                    </w:rPr>
                  </w:pPr>
                  <w:r>
                    <w:rPr>
                      <w:rFonts w:hint="eastAsia" w:eastAsia="宋体"/>
                      <w:bCs/>
                      <w:sz w:val="21"/>
                      <w:u w:val="none"/>
                    </w:rPr>
                    <w:t xml:space="preserve">0.001 </w:t>
                  </w:r>
                </w:p>
              </w:tc>
            </w:tr>
            <w:tr w14:paraId="2505B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25DF5D5">
                  <w:pPr>
                    <w:kinsoku w:val="0"/>
                    <w:overflowPunct w:val="0"/>
                    <w:jc w:val="center"/>
                    <w:rPr>
                      <w:rFonts w:eastAsia="宋体"/>
                      <w:bCs/>
                      <w:sz w:val="21"/>
                      <w:u w:val="none"/>
                    </w:rPr>
                  </w:pPr>
                </w:p>
              </w:tc>
              <w:tc>
                <w:tcPr>
                  <w:tcW w:w="1034" w:type="pct"/>
                  <w:vMerge w:val="restart"/>
                  <w:shd w:val="clear" w:color="auto" w:fill="auto"/>
                  <w:noWrap w:val="0"/>
                  <w:vAlign w:val="center"/>
                </w:tcPr>
                <w:p w14:paraId="776C61C4">
                  <w:pPr>
                    <w:kinsoku w:val="0"/>
                    <w:overflowPunct w:val="0"/>
                    <w:jc w:val="center"/>
                    <w:rPr>
                      <w:rFonts w:eastAsia="宋体"/>
                      <w:bCs/>
                      <w:sz w:val="21"/>
                      <w:szCs w:val="21"/>
                      <w:u w:val="none"/>
                    </w:rPr>
                  </w:pPr>
                  <w:r>
                    <w:rPr>
                      <w:rFonts w:eastAsia="宋体"/>
                      <w:bCs/>
                      <w:sz w:val="21"/>
                      <w:szCs w:val="21"/>
                      <w:u w:val="none"/>
                    </w:rPr>
                    <w:t>DA019</w:t>
                  </w:r>
                </w:p>
              </w:tc>
              <w:tc>
                <w:tcPr>
                  <w:tcW w:w="698" w:type="pct"/>
                  <w:shd w:val="clear" w:color="auto" w:fill="auto"/>
                  <w:noWrap w:val="0"/>
                  <w:vAlign w:val="center"/>
                </w:tcPr>
                <w:p w14:paraId="0CC54628">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7060E552">
                  <w:pPr>
                    <w:widowControl/>
                    <w:jc w:val="center"/>
                    <w:textAlignment w:val="center"/>
                    <w:rPr>
                      <w:rFonts w:hint="eastAsia" w:eastAsia="宋体"/>
                      <w:bCs/>
                      <w:sz w:val="21"/>
                      <w:u w:val="none"/>
                    </w:rPr>
                  </w:pPr>
                  <w:r>
                    <w:rPr>
                      <w:rFonts w:eastAsia="宋体"/>
                      <w:kern w:val="0"/>
                      <w:sz w:val="21"/>
                      <w:szCs w:val="21"/>
                      <w:u w:val="none"/>
                      <w:lang w:bidi="ar"/>
                    </w:rPr>
                    <w:t>12.6</w:t>
                  </w:r>
                </w:p>
              </w:tc>
              <w:tc>
                <w:tcPr>
                  <w:tcW w:w="633" w:type="pct"/>
                  <w:shd w:val="clear" w:color="auto" w:fill="auto"/>
                  <w:noWrap w:val="0"/>
                  <w:vAlign w:val="center"/>
                </w:tcPr>
                <w:p w14:paraId="24A7610F">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0F5068F7">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A3A3831">
                  <w:pPr>
                    <w:kinsoku w:val="0"/>
                    <w:overflowPunct w:val="0"/>
                    <w:jc w:val="center"/>
                    <w:rPr>
                      <w:rFonts w:hint="eastAsia" w:eastAsia="宋体"/>
                      <w:bCs/>
                      <w:sz w:val="21"/>
                      <w:u w:val="none"/>
                    </w:rPr>
                  </w:pPr>
                  <w:r>
                    <w:rPr>
                      <w:rFonts w:hint="eastAsia" w:eastAsia="宋体"/>
                      <w:bCs/>
                      <w:sz w:val="21"/>
                      <w:u w:val="none"/>
                    </w:rPr>
                    <w:t xml:space="preserve">0.894 </w:t>
                  </w:r>
                </w:p>
              </w:tc>
            </w:tr>
            <w:tr w14:paraId="5E9FA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A8B7A6F">
                  <w:pPr>
                    <w:kinsoku w:val="0"/>
                    <w:overflowPunct w:val="0"/>
                    <w:jc w:val="center"/>
                    <w:rPr>
                      <w:rFonts w:eastAsia="宋体"/>
                      <w:bCs/>
                      <w:sz w:val="21"/>
                      <w:u w:val="none"/>
                    </w:rPr>
                  </w:pPr>
                </w:p>
              </w:tc>
              <w:tc>
                <w:tcPr>
                  <w:tcW w:w="1034" w:type="pct"/>
                  <w:vMerge w:val="continue"/>
                  <w:shd w:val="clear" w:color="auto" w:fill="auto"/>
                  <w:noWrap w:val="0"/>
                  <w:vAlign w:val="center"/>
                </w:tcPr>
                <w:p w14:paraId="0EB386EA">
                  <w:pPr>
                    <w:kinsoku w:val="0"/>
                    <w:overflowPunct w:val="0"/>
                    <w:jc w:val="center"/>
                    <w:rPr>
                      <w:rFonts w:eastAsia="宋体"/>
                      <w:bCs/>
                      <w:sz w:val="21"/>
                      <w:szCs w:val="21"/>
                      <w:u w:val="none"/>
                    </w:rPr>
                  </w:pPr>
                </w:p>
              </w:tc>
              <w:tc>
                <w:tcPr>
                  <w:tcW w:w="698" w:type="pct"/>
                  <w:shd w:val="clear" w:color="auto" w:fill="auto"/>
                  <w:noWrap w:val="0"/>
                  <w:vAlign w:val="center"/>
                </w:tcPr>
                <w:p w14:paraId="78F1C30E">
                  <w:pPr>
                    <w:kinsoku w:val="0"/>
                    <w:overflowPunct w:val="0"/>
                    <w:jc w:val="center"/>
                    <w:rPr>
                      <w:rFonts w:hint="eastAsia" w:eastAsia="宋体"/>
                      <w:bCs/>
                      <w:sz w:val="21"/>
                      <w:szCs w:val="21"/>
                      <w:u w:val="none"/>
                    </w:rPr>
                  </w:pPr>
                  <w:r>
                    <w:rPr>
                      <w:rFonts w:hint="eastAsia" w:eastAsia="宋体"/>
                      <w:bCs/>
                      <w:sz w:val="21"/>
                      <w:szCs w:val="21"/>
                      <w:u w:val="none"/>
                    </w:rPr>
                    <w:t>甲醇</w:t>
                  </w:r>
                </w:p>
              </w:tc>
              <w:tc>
                <w:tcPr>
                  <w:tcW w:w="573" w:type="pct"/>
                  <w:shd w:val="clear" w:color="auto" w:fill="auto"/>
                  <w:noWrap w:val="0"/>
                  <w:vAlign w:val="center"/>
                </w:tcPr>
                <w:p w14:paraId="72D011D4">
                  <w:pPr>
                    <w:widowControl/>
                    <w:jc w:val="center"/>
                    <w:textAlignment w:val="center"/>
                    <w:rPr>
                      <w:rFonts w:eastAsia="宋体"/>
                      <w:bCs/>
                      <w:sz w:val="21"/>
                      <w:u w:val="none"/>
                    </w:rPr>
                  </w:pPr>
                  <w:r>
                    <w:rPr>
                      <w:rFonts w:hint="eastAsia" w:eastAsia="宋体"/>
                      <w:kern w:val="0"/>
                      <w:sz w:val="21"/>
                      <w:szCs w:val="21"/>
                      <w:u w:val="none"/>
                      <w:lang w:bidi="ar"/>
                    </w:rPr>
                    <w:t>16</w:t>
                  </w:r>
                </w:p>
              </w:tc>
              <w:tc>
                <w:tcPr>
                  <w:tcW w:w="633" w:type="pct"/>
                  <w:shd w:val="clear" w:color="auto" w:fill="auto"/>
                  <w:noWrap w:val="0"/>
                  <w:vAlign w:val="center"/>
                </w:tcPr>
                <w:p w14:paraId="35799B52">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2CD189F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84F6FD5">
                  <w:pPr>
                    <w:kinsoku w:val="0"/>
                    <w:overflowPunct w:val="0"/>
                    <w:jc w:val="center"/>
                    <w:rPr>
                      <w:rFonts w:hint="eastAsia" w:eastAsia="宋体"/>
                      <w:bCs/>
                      <w:sz w:val="21"/>
                      <w:u w:val="none"/>
                    </w:rPr>
                  </w:pPr>
                  <w:r>
                    <w:rPr>
                      <w:rFonts w:hint="eastAsia" w:eastAsia="宋体"/>
                      <w:bCs/>
                      <w:sz w:val="21"/>
                      <w:u w:val="none"/>
                    </w:rPr>
                    <w:t xml:space="preserve">1.136 </w:t>
                  </w:r>
                </w:p>
              </w:tc>
            </w:tr>
            <w:tr w14:paraId="09963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A987311">
                  <w:pPr>
                    <w:kinsoku w:val="0"/>
                    <w:overflowPunct w:val="0"/>
                    <w:jc w:val="center"/>
                    <w:rPr>
                      <w:rFonts w:eastAsia="宋体"/>
                      <w:bCs/>
                      <w:sz w:val="21"/>
                      <w:u w:val="none"/>
                    </w:rPr>
                  </w:pPr>
                </w:p>
                <w:p w14:paraId="2AE99048">
                  <w:pPr>
                    <w:kinsoku w:val="0"/>
                    <w:overflowPunct w:val="0"/>
                    <w:jc w:val="center"/>
                    <w:rPr>
                      <w:rFonts w:eastAsia="宋体"/>
                      <w:bCs/>
                      <w:sz w:val="21"/>
                      <w:u w:val="none"/>
                    </w:rPr>
                  </w:pPr>
                </w:p>
              </w:tc>
              <w:tc>
                <w:tcPr>
                  <w:tcW w:w="1034" w:type="pct"/>
                  <w:vMerge w:val="continue"/>
                  <w:shd w:val="clear" w:color="auto" w:fill="auto"/>
                  <w:noWrap w:val="0"/>
                  <w:vAlign w:val="center"/>
                </w:tcPr>
                <w:p w14:paraId="64611161">
                  <w:pPr>
                    <w:kinsoku w:val="0"/>
                    <w:overflowPunct w:val="0"/>
                    <w:jc w:val="center"/>
                    <w:rPr>
                      <w:rFonts w:eastAsia="宋体"/>
                      <w:bCs/>
                      <w:sz w:val="21"/>
                      <w:szCs w:val="21"/>
                      <w:u w:val="none"/>
                    </w:rPr>
                  </w:pPr>
                </w:p>
              </w:tc>
              <w:tc>
                <w:tcPr>
                  <w:tcW w:w="698" w:type="pct"/>
                  <w:shd w:val="clear" w:color="auto" w:fill="auto"/>
                  <w:noWrap w:val="0"/>
                  <w:vAlign w:val="center"/>
                </w:tcPr>
                <w:p w14:paraId="46547EC8">
                  <w:pPr>
                    <w:kinsoku w:val="0"/>
                    <w:overflowPunct w:val="0"/>
                    <w:jc w:val="center"/>
                    <w:rPr>
                      <w:rFonts w:hint="eastAsia" w:eastAsia="宋体"/>
                      <w:bCs/>
                      <w:sz w:val="21"/>
                      <w:szCs w:val="21"/>
                      <w:u w:val="none"/>
                    </w:rPr>
                  </w:pPr>
                  <w:r>
                    <w:rPr>
                      <w:rFonts w:hint="eastAsia" w:eastAsia="宋体"/>
                      <w:bCs/>
                      <w:sz w:val="21"/>
                      <w:szCs w:val="21"/>
                      <w:u w:val="none"/>
                    </w:rPr>
                    <w:t>硫化氢</w:t>
                  </w:r>
                </w:p>
              </w:tc>
              <w:tc>
                <w:tcPr>
                  <w:tcW w:w="573" w:type="pct"/>
                  <w:shd w:val="clear" w:color="auto" w:fill="auto"/>
                  <w:noWrap w:val="0"/>
                  <w:vAlign w:val="center"/>
                </w:tcPr>
                <w:p w14:paraId="49EA0638">
                  <w:pPr>
                    <w:widowControl/>
                    <w:jc w:val="center"/>
                    <w:textAlignment w:val="center"/>
                    <w:rPr>
                      <w:rFonts w:eastAsia="宋体"/>
                      <w:bCs/>
                      <w:sz w:val="21"/>
                      <w:u w:val="none"/>
                    </w:rPr>
                  </w:pPr>
                  <w:r>
                    <w:rPr>
                      <w:rFonts w:eastAsia="宋体"/>
                      <w:kern w:val="0"/>
                      <w:sz w:val="21"/>
                      <w:szCs w:val="21"/>
                      <w:u w:val="none"/>
                      <w:lang w:bidi="ar"/>
                    </w:rPr>
                    <w:t>0.0</w:t>
                  </w:r>
                  <w:r>
                    <w:rPr>
                      <w:rFonts w:hint="eastAsia" w:eastAsia="宋体"/>
                      <w:kern w:val="0"/>
                      <w:sz w:val="21"/>
                      <w:szCs w:val="21"/>
                      <w:u w:val="none"/>
                      <w:lang w:bidi="ar"/>
                    </w:rPr>
                    <w:t>07</w:t>
                  </w:r>
                </w:p>
              </w:tc>
              <w:tc>
                <w:tcPr>
                  <w:tcW w:w="633" w:type="pct"/>
                  <w:shd w:val="clear" w:color="auto" w:fill="auto"/>
                  <w:noWrap w:val="0"/>
                  <w:vAlign w:val="center"/>
                </w:tcPr>
                <w:p w14:paraId="7009E8B3">
                  <w:pPr>
                    <w:kinsoku w:val="0"/>
                    <w:overflowPunct w:val="0"/>
                    <w:jc w:val="center"/>
                    <w:rPr>
                      <w:rFonts w:hint="eastAsia" w:eastAsia="宋体"/>
                      <w:bCs/>
                      <w:sz w:val="21"/>
                      <w:u w:val="none"/>
                    </w:rPr>
                  </w:pPr>
                  <w:r>
                    <w:rPr>
                      <w:rFonts w:eastAsia="宋体"/>
                      <w:bCs/>
                      <w:sz w:val="21"/>
                      <w:u w:val="none"/>
                    </w:rPr>
                    <w:t>8872</w:t>
                  </w:r>
                </w:p>
              </w:tc>
              <w:tc>
                <w:tcPr>
                  <w:tcW w:w="702" w:type="pct"/>
                  <w:shd w:val="clear" w:color="auto" w:fill="auto"/>
                  <w:noWrap w:val="0"/>
                  <w:vAlign w:val="center"/>
                </w:tcPr>
                <w:p w14:paraId="1C8BE538">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06E90A6">
                  <w:pPr>
                    <w:kinsoku w:val="0"/>
                    <w:overflowPunct w:val="0"/>
                    <w:jc w:val="center"/>
                    <w:rPr>
                      <w:rFonts w:hint="eastAsia" w:eastAsia="宋体"/>
                      <w:bCs/>
                      <w:sz w:val="21"/>
                      <w:u w:val="none"/>
                    </w:rPr>
                  </w:pPr>
                  <w:r>
                    <w:rPr>
                      <w:rFonts w:hint="eastAsia" w:eastAsia="宋体"/>
                      <w:bCs/>
                      <w:sz w:val="21"/>
                      <w:u w:val="none"/>
                    </w:rPr>
                    <w:t xml:space="preserve">0.005 </w:t>
                  </w:r>
                </w:p>
              </w:tc>
            </w:tr>
            <w:tr w14:paraId="5D3B4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379F83E">
                  <w:pPr>
                    <w:kinsoku w:val="0"/>
                    <w:overflowPunct w:val="0"/>
                    <w:jc w:val="center"/>
                    <w:rPr>
                      <w:rFonts w:eastAsia="宋体"/>
                      <w:bCs/>
                      <w:sz w:val="21"/>
                      <w:u w:val="none"/>
                    </w:rPr>
                  </w:pPr>
                </w:p>
              </w:tc>
              <w:tc>
                <w:tcPr>
                  <w:tcW w:w="1034" w:type="pct"/>
                  <w:shd w:val="clear" w:color="auto" w:fill="auto"/>
                  <w:noWrap w:val="0"/>
                  <w:vAlign w:val="center"/>
                </w:tcPr>
                <w:p w14:paraId="1881A737">
                  <w:pPr>
                    <w:kinsoku w:val="0"/>
                    <w:overflowPunct w:val="0"/>
                    <w:jc w:val="center"/>
                    <w:rPr>
                      <w:rFonts w:eastAsia="宋体"/>
                      <w:bCs/>
                      <w:sz w:val="21"/>
                      <w:szCs w:val="21"/>
                      <w:u w:val="none"/>
                    </w:rPr>
                  </w:pPr>
                  <w:r>
                    <w:rPr>
                      <w:rFonts w:eastAsia="宋体"/>
                      <w:bCs/>
                      <w:sz w:val="21"/>
                      <w:szCs w:val="21"/>
                      <w:u w:val="none"/>
                    </w:rPr>
                    <w:t>DA002</w:t>
                  </w:r>
                </w:p>
              </w:tc>
              <w:tc>
                <w:tcPr>
                  <w:tcW w:w="698" w:type="pct"/>
                  <w:shd w:val="clear" w:color="auto" w:fill="auto"/>
                  <w:noWrap w:val="0"/>
                  <w:vAlign w:val="center"/>
                </w:tcPr>
                <w:p w14:paraId="0E7DEBB1">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4F3A6394">
                  <w:pPr>
                    <w:widowControl/>
                    <w:jc w:val="center"/>
                    <w:textAlignment w:val="center"/>
                    <w:rPr>
                      <w:rFonts w:eastAsia="宋体"/>
                      <w:bCs/>
                      <w:sz w:val="21"/>
                      <w:u w:val="none"/>
                    </w:rPr>
                  </w:pPr>
                  <w:r>
                    <w:rPr>
                      <w:rFonts w:eastAsia="宋体"/>
                      <w:kern w:val="0"/>
                      <w:sz w:val="21"/>
                      <w:szCs w:val="21"/>
                      <w:u w:val="none"/>
                      <w:lang w:bidi="ar"/>
                    </w:rPr>
                    <w:t>/</w:t>
                  </w:r>
                </w:p>
              </w:tc>
              <w:tc>
                <w:tcPr>
                  <w:tcW w:w="633" w:type="pct"/>
                  <w:shd w:val="clear" w:color="auto" w:fill="auto"/>
                  <w:noWrap w:val="0"/>
                  <w:vAlign w:val="center"/>
                </w:tcPr>
                <w:p w14:paraId="350AF5E1">
                  <w:pPr>
                    <w:kinsoku w:val="0"/>
                    <w:overflowPunct w:val="0"/>
                    <w:jc w:val="center"/>
                    <w:rPr>
                      <w:rFonts w:hint="eastAsia" w:eastAsia="宋体"/>
                      <w:bCs/>
                      <w:sz w:val="21"/>
                      <w:u w:val="none"/>
                    </w:rPr>
                  </w:pPr>
                  <w:r>
                    <w:rPr>
                      <w:rFonts w:eastAsia="宋体"/>
                      <w:bCs/>
                      <w:sz w:val="21"/>
                      <w:u w:val="none"/>
                    </w:rPr>
                    <w:t>8228</w:t>
                  </w:r>
                </w:p>
              </w:tc>
              <w:tc>
                <w:tcPr>
                  <w:tcW w:w="702" w:type="pct"/>
                  <w:shd w:val="clear" w:color="auto" w:fill="auto"/>
                  <w:noWrap w:val="0"/>
                  <w:vAlign w:val="center"/>
                </w:tcPr>
                <w:p w14:paraId="11EA41F6">
                  <w:pPr>
                    <w:kinsoku w:val="0"/>
                    <w:overflowPunct w:val="0"/>
                    <w:jc w:val="center"/>
                    <w:rPr>
                      <w:rFonts w:hint="eastAsia" w:eastAsia="宋体"/>
                      <w:bCs/>
                      <w:sz w:val="21"/>
                      <w:u w:val="none"/>
                    </w:rPr>
                  </w:pPr>
                  <w:r>
                    <w:rPr>
                      <w:rFonts w:hint="eastAsia" w:eastAsia="宋体"/>
                      <w:bCs/>
                      <w:sz w:val="21"/>
                      <w:u w:val="none"/>
                    </w:rPr>
                    <w:t>备用</w:t>
                  </w:r>
                </w:p>
              </w:tc>
              <w:tc>
                <w:tcPr>
                  <w:tcW w:w="701" w:type="pct"/>
                  <w:shd w:val="clear" w:color="auto" w:fill="auto"/>
                  <w:noWrap w:val="0"/>
                  <w:vAlign w:val="center"/>
                </w:tcPr>
                <w:p w14:paraId="69216AA9">
                  <w:pPr>
                    <w:widowControl/>
                    <w:jc w:val="center"/>
                    <w:textAlignment w:val="center"/>
                    <w:rPr>
                      <w:rFonts w:hint="eastAsia" w:eastAsia="宋体"/>
                      <w:bCs/>
                      <w:sz w:val="21"/>
                      <w:u w:val="none"/>
                    </w:rPr>
                  </w:pPr>
                  <w:r>
                    <w:rPr>
                      <w:rFonts w:eastAsia="宋体"/>
                      <w:kern w:val="0"/>
                      <w:sz w:val="21"/>
                      <w:szCs w:val="21"/>
                      <w:u w:val="none"/>
                      <w:lang w:bidi="ar"/>
                    </w:rPr>
                    <w:t>/</w:t>
                  </w:r>
                </w:p>
              </w:tc>
            </w:tr>
            <w:tr w14:paraId="7F716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101990EE">
                  <w:pPr>
                    <w:kinsoku w:val="0"/>
                    <w:overflowPunct w:val="0"/>
                    <w:jc w:val="center"/>
                    <w:rPr>
                      <w:rFonts w:eastAsia="宋体"/>
                      <w:bCs/>
                      <w:sz w:val="21"/>
                      <w:u w:val="none"/>
                    </w:rPr>
                  </w:pPr>
                </w:p>
              </w:tc>
              <w:tc>
                <w:tcPr>
                  <w:tcW w:w="1034" w:type="pct"/>
                  <w:shd w:val="clear" w:color="auto" w:fill="auto"/>
                  <w:noWrap w:val="0"/>
                  <w:vAlign w:val="center"/>
                </w:tcPr>
                <w:p w14:paraId="6A999D67">
                  <w:pPr>
                    <w:kinsoku w:val="0"/>
                    <w:overflowPunct w:val="0"/>
                    <w:jc w:val="center"/>
                    <w:rPr>
                      <w:rFonts w:eastAsia="宋体"/>
                      <w:bCs/>
                      <w:sz w:val="21"/>
                      <w:szCs w:val="21"/>
                      <w:u w:val="none"/>
                    </w:rPr>
                  </w:pPr>
                  <w:r>
                    <w:rPr>
                      <w:rFonts w:eastAsia="宋体"/>
                      <w:bCs/>
                      <w:sz w:val="21"/>
                      <w:szCs w:val="21"/>
                      <w:u w:val="none"/>
                    </w:rPr>
                    <w:t>DA003</w:t>
                  </w:r>
                </w:p>
              </w:tc>
              <w:tc>
                <w:tcPr>
                  <w:tcW w:w="698" w:type="pct"/>
                  <w:shd w:val="clear" w:color="auto" w:fill="auto"/>
                  <w:noWrap w:val="0"/>
                  <w:vAlign w:val="center"/>
                </w:tcPr>
                <w:p w14:paraId="272FC779">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0471B0E">
                  <w:pPr>
                    <w:widowControl/>
                    <w:jc w:val="center"/>
                    <w:textAlignment w:val="center"/>
                    <w:rPr>
                      <w:rFonts w:hint="eastAsia" w:eastAsia="宋体"/>
                      <w:bCs/>
                      <w:sz w:val="21"/>
                      <w:u w:val="none"/>
                    </w:rPr>
                  </w:pPr>
                  <w:r>
                    <w:rPr>
                      <w:rFonts w:eastAsia="宋体"/>
                      <w:kern w:val="0"/>
                      <w:sz w:val="21"/>
                      <w:szCs w:val="21"/>
                      <w:u w:val="none"/>
                      <w:lang w:bidi="ar"/>
                    </w:rPr>
                    <w:t>/</w:t>
                  </w:r>
                </w:p>
              </w:tc>
              <w:tc>
                <w:tcPr>
                  <w:tcW w:w="633" w:type="pct"/>
                  <w:shd w:val="clear" w:color="auto" w:fill="auto"/>
                  <w:noWrap w:val="0"/>
                  <w:vAlign w:val="center"/>
                </w:tcPr>
                <w:p w14:paraId="441601CD">
                  <w:pPr>
                    <w:kinsoku w:val="0"/>
                    <w:overflowPunct w:val="0"/>
                    <w:jc w:val="center"/>
                    <w:rPr>
                      <w:rFonts w:hint="eastAsia" w:eastAsia="宋体"/>
                      <w:bCs/>
                      <w:sz w:val="21"/>
                      <w:u w:val="none"/>
                    </w:rPr>
                  </w:pPr>
                  <w:r>
                    <w:rPr>
                      <w:rFonts w:eastAsia="宋体"/>
                      <w:bCs/>
                      <w:sz w:val="21"/>
                      <w:u w:val="none"/>
                    </w:rPr>
                    <w:t>8228</w:t>
                  </w:r>
                </w:p>
              </w:tc>
              <w:tc>
                <w:tcPr>
                  <w:tcW w:w="702" w:type="pct"/>
                  <w:shd w:val="clear" w:color="auto" w:fill="auto"/>
                  <w:noWrap w:val="0"/>
                  <w:vAlign w:val="center"/>
                </w:tcPr>
                <w:p w14:paraId="7AD774A4">
                  <w:pPr>
                    <w:kinsoku w:val="0"/>
                    <w:overflowPunct w:val="0"/>
                    <w:jc w:val="center"/>
                    <w:rPr>
                      <w:rFonts w:hint="eastAsia" w:eastAsia="宋体"/>
                      <w:bCs/>
                      <w:sz w:val="21"/>
                      <w:u w:val="none"/>
                    </w:rPr>
                  </w:pPr>
                  <w:r>
                    <w:rPr>
                      <w:rFonts w:hint="eastAsia" w:eastAsia="宋体"/>
                      <w:bCs/>
                      <w:sz w:val="21"/>
                      <w:u w:val="none"/>
                    </w:rPr>
                    <w:t>备用</w:t>
                  </w:r>
                </w:p>
              </w:tc>
              <w:tc>
                <w:tcPr>
                  <w:tcW w:w="701" w:type="pct"/>
                  <w:shd w:val="clear" w:color="auto" w:fill="auto"/>
                  <w:noWrap w:val="0"/>
                  <w:vAlign w:val="center"/>
                </w:tcPr>
                <w:p w14:paraId="66C23774">
                  <w:pPr>
                    <w:widowControl/>
                    <w:jc w:val="center"/>
                    <w:textAlignment w:val="center"/>
                    <w:rPr>
                      <w:rFonts w:hint="eastAsia" w:eastAsia="宋体"/>
                      <w:bCs/>
                      <w:sz w:val="21"/>
                      <w:u w:val="none"/>
                    </w:rPr>
                  </w:pPr>
                  <w:r>
                    <w:rPr>
                      <w:rFonts w:eastAsia="宋体"/>
                      <w:kern w:val="0"/>
                      <w:sz w:val="21"/>
                      <w:szCs w:val="21"/>
                      <w:u w:val="none"/>
                      <w:lang w:bidi="ar"/>
                    </w:rPr>
                    <w:t>/</w:t>
                  </w:r>
                </w:p>
              </w:tc>
            </w:tr>
            <w:tr w14:paraId="3D502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shd w:val="clear" w:color="auto" w:fill="auto"/>
                  <w:noWrap w:val="0"/>
                  <w:vAlign w:val="center"/>
                </w:tcPr>
                <w:p w14:paraId="01589CFC">
                  <w:pPr>
                    <w:kinsoku w:val="0"/>
                    <w:overflowPunct w:val="0"/>
                    <w:jc w:val="center"/>
                    <w:rPr>
                      <w:rFonts w:eastAsia="宋体"/>
                      <w:bCs/>
                      <w:sz w:val="21"/>
                      <w:u w:val="none"/>
                    </w:rPr>
                  </w:pPr>
                  <w:r>
                    <w:rPr>
                      <w:rFonts w:hint="eastAsia" w:eastAsia="宋体"/>
                      <w:bCs/>
                      <w:sz w:val="21"/>
                      <w:szCs w:val="21"/>
                      <w:u w:val="none"/>
                    </w:rPr>
                    <w:t>灰渣干燥</w:t>
                  </w:r>
                </w:p>
              </w:tc>
              <w:tc>
                <w:tcPr>
                  <w:tcW w:w="1034" w:type="pct"/>
                  <w:shd w:val="clear" w:color="auto" w:fill="auto"/>
                  <w:noWrap w:val="0"/>
                  <w:vAlign w:val="center"/>
                </w:tcPr>
                <w:p w14:paraId="0F550FF0">
                  <w:pPr>
                    <w:kinsoku w:val="0"/>
                    <w:overflowPunct w:val="0"/>
                    <w:jc w:val="center"/>
                    <w:rPr>
                      <w:rFonts w:eastAsia="宋体"/>
                      <w:bCs/>
                      <w:sz w:val="21"/>
                      <w:szCs w:val="21"/>
                      <w:u w:val="none"/>
                    </w:rPr>
                  </w:pPr>
                  <w:r>
                    <w:rPr>
                      <w:rFonts w:eastAsia="宋体"/>
                      <w:bCs/>
                      <w:sz w:val="21"/>
                      <w:szCs w:val="21"/>
                      <w:u w:val="none"/>
                    </w:rPr>
                    <w:t>DA025</w:t>
                  </w:r>
                </w:p>
              </w:tc>
              <w:tc>
                <w:tcPr>
                  <w:tcW w:w="698" w:type="pct"/>
                  <w:shd w:val="clear" w:color="auto" w:fill="auto"/>
                  <w:noWrap w:val="0"/>
                  <w:vAlign w:val="center"/>
                </w:tcPr>
                <w:p w14:paraId="3BD06E51">
                  <w:pPr>
                    <w:kinsoku w:val="0"/>
                    <w:overflowPunct w:val="0"/>
                    <w:jc w:val="center"/>
                    <w:rPr>
                      <w:rFonts w:hint="eastAsia" w:eastAsia="宋体"/>
                      <w:bCs/>
                      <w:sz w:val="21"/>
                      <w:szCs w:val="21"/>
                      <w:u w:val="none"/>
                    </w:rPr>
                  </w:pPr>
                  <w:r>
                    <w:rPr>
                      <w:rFonts w:hint="eastAsia" w:eastAsia="宋体"/>
                      <w:bCs/>
                      <w:sz w:val="21"/>
                      <w:szCs w:val="21"/>
                      <w:u w:val="none"/>
                    </w:rPr>
                    <w:t>颗粒物</w:t>
                  </w:r>
                </w:p>
              </w:tc>
              <w:tc>
                <w:tcPr>
                  <w:tcW w:w="573" w:type="pct"/>
                  <w:shd w:val="clear" w:color="auto" w:fill="auto"/>
                  <w:noWrap w:val="0"/>
                  <w:vAlign w:val="center"/>
                </w:tcPr>
                <w:p w14:paraId="0D71137D">
                  <w:pPr>
                    <w:widowControl/>
                    <w:jc w:val="center"/>
                    <w:textAlignment w:val="center"/>
                    <w:rPr>
                      <w:rFonts w:eastAsia="宋体"/>
                      <w:bCs/>
                      <w:sz w:val="21"/>
                      <w:u w:val="none"/>
                    </w:rPr>
                  </w:pPr>
                  <w:r>
                    <w:rPr>
                      <w:rFonts w:eastAsia="宋体"/>
                      <w:kern w:val="0"/>
                      <w:sz w:val="21"/>
                      <w:szCs w:val="21"/>
                      <w:u w:val="none"/>
                      <w:lang w:bidi="ar"/>
                    </w:rPr>
                    <w:t>16.2</w:t>
                  </w:r>
                </w:p>
              </w:tc>
              <w:tc>
                <w:tcPr>
                  <w:tcW w:w="633" w:type="pct"/>
                  <w:shd w:val="clear" w:color="auto" w:fill="auto"/>
                  <w:noWrap w:val="0"/>
                  <w:vAlign w:val="center"/>
                </w:tcPr>
                <w:p w14:paraId="3027E8A6">
                  <w:pPr>
                    <w:kinsoku w:val="0"/>
                    <w:overflowPunct w:val="0"/>
                    <w:jc w:val="center"/>
                    <w:rPr>
                      <w:rFonts w:hint="eastAsia" w:eastAsia="宋体"/>
                      <w:bCs/>
                      <w:sz w:val="21"/>
                      <w:u w:val="none"/>
                    </w:rPr>
                  </w:pPr>
                  <w:r>
                    <w:rPr>
                      <w:rFonts w:eastAsia="宋体"/>
                      <w:bCs/>
                      <w:sz w:val="21"/>
                      <w:u w:val="none"/>
                    </w:rPr>
                    <w:t>8000</w:t>
                  </w:r>
                </w:p>
              </w:tc>
              <w:tc>
                <w:tcPr>
                  <w:tcW w:w="702" w:type="pct"/>
                  <w:shd w:val="clear" w:color="auto" w:fill="auto"/>
                  <w:noWrap w:val="0"/>
                  <w:vAlign w:val="center"/>
                </w:tcPr>
                <w:p w14:paraId="45E2D2FD">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E2D447E">
                  <w:pPr>
                    <w:kinsoku w:val="0"/>
                    <w:overflowPunct w:val="0"/>
                    <w:jc w:val="center"/>
                    <w:rPr>
                      <w:rFonts w:hint="eastAsia" w:eastAsia="宋体"/>
                      <w:bCs/>
                      <w:sz w:val="21"/>
                      <w:u w:val="none"/>
                    </w:rPr>
                  </w:pPr>
                  <w:r>
                    <w:rPr>
                      <w:rFonts w:hint="eastAsia" w:eastAsia="宋体"/>
                      <w:bCs/>
                      <w:sz w:val="21"/>
                      <w:u w:val="none"/>
                    </w:rPr>
                    <w:t xml:space="preserve">1.037 </w:t>
                  </w:r>
                </w:p>
              </w:tc>
            </w:tr>
            <w:tr w14:paraId="29CA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479C5D00">
                  <w:pPr>
                    <w:kinsoku w:val="0"/>
                    <w:overflowPunct w:val="0"/>
                    <w:jc w:val="center"/>
                    <w:rPr>
                      <w:rFonts w:eastAsia="宋体"/>
                      <w:bCs/>
                      <w:sz w:val="21"/>
                      <w:szCs w:val="21"/>
                      <w:u w:val="none"/>
                    </w:rPr>
                  </w:pPr>
                  <w:r>
                    <w:rPr>
                      <w:rFonts w:hint="eastAsia" w:eastAsia="宋体"/>
                      <w:bCs/>
                      <w:sz w:val="21"/>
                      <w:szCs w:val="21"/>
                      <w:u w:val="none"/>
                    </w:rPr>
                    <w:t>变换加热炉</w:t>
                  </w:r>
                </w:p>
              </w:tc>
              <w:tc>
                <w:tcPr>
                  <w:tcW w:w="1034" w:type="pct"/>
                  <w:vMerge w:val="restart"/>
                  <w:shd w:val="clear" w:color="auto" w:fill="auto"/>
                  <w:noWrap w:val="0"/>
                  <w:vAlign w:val="center"/>
                </w:tcPr>
                <w:p w14:paraId="59A1DBAD">
                  <w:pPr>
                    <w:kinsoku w:val="0"/>
                    <w:overflowPunct w:val="0"/>
                    <w:jc w:val="center"/>
                    <w:rPr>
                      <w:rFonts w:eastAsia="宋体"/>
                      <w:bCs/>
                      <w:sz w:val="21"/>
                      <w:szCs w:val="21"/>
                      <w:u w:val="none"/>
                    </w:rPr>
                  </w:pPr>
                  <w:r>
                    <w:rPr>
                      <w:rFonts w:hint="eastAsia" w:eastAsia="宋体"/>
                      <w:bCs/>
                      <w:sz w:val="21"/>
                      <w:szCs w:val="21"/>
                      <w:u w:val="none"/>
                    </w:rPr>
                    <w:t>DA021</w:t>
                  </w:r>
                </w:p>
              </w:tc>
              <w:tc>
                <w:tcPr>
                  <w:tcW w:w="698" w:type="pct"/>
                  <w:shd w:val="clear" w:color="auto" w:fill="auto"/>
                  <w:noWrap w:val="0"/>
                  <w:vAlign w:val="center"/>
                </w:tcPr>
                <w:p w14:paraId="3A3CAC2E">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颗粒物</w:t>
                  </w:r>
                </w:p>
              </w:tc>
              <w:tc>
                <w:tcPr>
                  <w:tcW w:w="573" w:type="pct"/>
                  <w:shd w:val="clear" w:color="auto" w:fill="auto"/>
                  <w:noWrap w:val="0"/>
                  <w:vAlign w:val="center"/>
                </w:tcPr>
                <w:p w14:paraId="2C6B3F72">
                  <w:pPr>
                    <w:widowControl/>
                    <w:jc w:val="center"/>
                    <w:textAlignment w:val="center"/>
                    <w:rPr>
                      <w:rFonts w:eastAsia="宋体"/>
                      <w:bCs/>
                      <w:sz w:val="21"/>
                      <w:u w:val="none"/>
                    </w:rPr>
                  </w:pPr>
                  <w:r>
                    <w:rPr>
                      <w:rFonts w:eastAsia="宋体"/>
                      <w:kern w:val="0"/>
                      <w:sz w:val="21"/>
                      <w:szCs w:val="21"/>
                      <w:u w:val="none"/>
                      <w:lang w:bidi="ar"/>
                    </w:rPr>
                    <w:t>6.8</w:t>
                  </w:r>
                </w:p>
              </w:tc>
              <w:tc>
                <w:tcPr>
                  <w:tcW w:w="633" w:type="pct"/>
                  <w:shd w:val="clear" w:color="auto" w:fill="auto"/>
                  <w:noWrap w:val="0"/>
                  <w:vAlign w:val="center"/>
                </w:tcPr>
                <w:p w14:paraId="411BD202">
                  <w:pPr>
                    <w:kinsoku w:val="0"/>
                    <w:overflowPunct w:val="0"/>
                    <w:jc w:val="center"/>
                    <w:rPr>
                      <w:rFonts w:hint="eastAsia" w:eastAsia="宋体"/>
                      <w:bCs/>
                      <w:sz w:val="21"/>
                      <w:u w:val="none"/>
                    </w:rPr>
                  </w:pPr>
                  <w:r>
                    <w:rPr>
                      <w:rFonts w:eastAsia="宋体"/>
                      <w:bCs/>
                      <w:sz w:val="21"/>
                      <w:u w:val="none"/>
                    </w:rPr>
                    <w:t>89380</w:t>
                  </w:r>
                </w:p>
              </w:tc>
              <w:tc>
                <w:tcPr>
                  <w:tcW w:w="702" w:type="pct"/>
                  <w:shd w:val="clear" w:color="auto" w:fill="auto"/>
                  <w:noWrap w:val="0"/>
                  <w:vAlign w:val="center"/>
                </w:tcPr>
                <w:p w14:paraId="08C90FC0">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4715B21B">
                  <w:pPr>
                    <w:kinsoku w:val="0"/>
                    <w:overflowPunct w:val="0"/>
                    <w:jc w:val="center"/>
                    <w:rPr>
                      <w:rFonts w:hint="eastAsia" w:eastAsia="宋体"/>
                      <w:bCs/>
                      <w:sz w:val="21"/>
                      <w:u w:val="none"/>
                    </w:rPr>
                  </w:pPr>
                  <w:r>
                    <w:rPr>
                      <w:rFonts w:hint="eastAsia" w:eastAsia="宋体"/>
                      <w:bCs/>
                      <w:sz w:val="21"/>
                      <w:u w:val="none"/>
                    </w:rPr>
                    <w:t xml:space="preserve">4.862 </w:t>
                  </w:r>
                </w:p>
              </w:tc>
            </w:tr>
            <w:tr w14:paraId="12F9E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0007EEAB">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078071AD">
                  <w:pPr>
                    <w:kinsoku w:val="0"/>
                    <w:overflowPunct w:val="0"/>
                    <w:jc w:val="center"/>
                    <w:rPr>
                      <w:rFonts w:eastAsia="宋体"/>
                      <w:bCs/>
                      <w:sz w:val="21"/>
                      <w:szCs w:val="21"/>
                      <w:u w:val="none"/>
                    </w:rPr>
                  </w:pPr>
                </w:p>
              </w:tc>
              <w:tc>
                <w:tcPr>
                  <w:tcW w:w="698" w:type="pct"/>
                  <w:shd w:val="clear" w:color="auto" w:fill="auto"/>
                  <w:noWrap w:val="0"/>
                  <w:vAlign w:val="center"/>
                </w:tcPr>
                <w:p w14:paraId="44628066">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氮氧化物</w:t>
                  </w:r>
                </w:p>
              </w:tc>
              <w:tc>
                <w:tcPr>
                  <w:tcW w:w="573" w:type="pct"/>
                  <w:shd w:val="clear" w:color="auto" w:fill="auto"/>
                  <w:noWrap w:val="0"/>
                  <w:vAlign w:val="center"/>
                </w:tcPr>
                <w:p w14:paraId="1769D139">
                  <w:pPr>
                    <w:widowControl/>
                    <w:jc w:val="center"/>
                    <w:textAlignment w:val="center"/>
                    <w:rPr>
                      <w:rFonts w:eastAsia="宋体"/>
                      <w:bCs/>
                      <w:sz w:val="21"/>
                      <w:u w:val="none"/>
                    </w:rPr>
                  </w:pPr>
                  <w:r>
                    <w:rPr>
                      <w:rFonts w:eastAsia="宋体"/>
                      <w:kern w:val="0"/>
                      <w:sz w:val="21"/>
                      <w:szCs w:val="21"/>
                      <w:u w:val="none"/>
                      <w:lang w:bidi="ar"/>
                    </w:rPr>
                    <w:t>71</w:t>
                  </w:r>
                </w:p>
              </w:tc>
              <w:tc>
                <w:tcPr>
                  <w:tcW w:w="633" w:type="pct"/>
                  <w:shd w:val="clear" w:color="auto" w:fill="auto"/>
                  <w:noWrap w:val="0"/>
                  <w:vAlign w:val="center"/>
                </w:tcPr>
                <w:p w14:paraId="23ACED67">
                  <w:pPr>
                    <w:kinsoku w:val="0"/>
                    <w:overflowPunct w:val="0"/>
                    <w:jc w:val="center"/>
                    <w:rPr>
                      <w:rFonts w:hint="eastAsia" w:eastAsia="宋体"/>
                      <w:bCs/>
                      <w:sz w:val="21"/>
                      <w:u w:val="none"/>
                    </w:rPr>
                  </w:pPr>
                  <w:r>
                    <w:rPr>
                      <w:rFonts w:eastAsia="宋体"/>
                      <w:bCs/>
                      <w:sz w:val="21"/>
                      <w:u w:val="none"/>
                    </w:rPr>
                    <w:t>89380</w:t>
                  </w:r>
                </w:p>
              </w:tc>
              <w:tc>
                <w:tcPr>
                  <w:tcW w:w="702" w:type="pct"/>
                  <w:shd w:val="clear" w:color="auto" w:fill="auto"/>
                  <w:noWrap w:val="0"/>
                  <w:vAlign w:val="center"/>
                </w:tcPr>
                <w:p w14:paraId="250947CE">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847DE85">
                  <w:pPr>
                    <w:kinsoku w:val="0"/>
                    <w:overflowPunct w:val="0"/>
                    <w:jc w:val="center"/>
                    <w:rPr>
                      <w:rFonts w:hint="eastAsia" w:eastAsia="宋体"/>
                      <w:bCs/>
                      <w:sz w:val="21"/>
                      <w:u w:val="none"/>
                    </w:rPr>
                  </w:pPr>
                  <w:r>
                    <w:rPr>
                      <w:rFonts w:hint="eastAsia" w:eastAsia="宋体"/>
                      <w:bCs/>
                      <w:sz w:val="21"/>
                      <w:u w:val="none"/>
                    </w:rPr>
                    <w:t xml:space="preserve">50.768 </w:t>
                  </w:r>
                </w:p>
              </w:tc>
            </w:tr>
            <w:tr w14:paraId="7EB37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tcBorders>
                    <w:bottom w:val="single" w:color="000000" w:sz="4" w:space="0"/>
                  </w:tcBorders>
                  <w:shd w:val="clear" w:color="auto" w:fill="auto"/>
                  <w:noWrap w:val="0"/>
                  <w:vAlign w:val="center"/>
                </w:tcPr>
                <w:p w14:paraId="4DD925A6">
                  <w:pPr>
                    <w:kinsoku w:val="0"/>
                    <w:overflowPunct w:val="0"/>
                    <w:jc w:val="center"/>
                    <w:rPr>
                      <w:rFonts w:hint="eastAsia" w:eastAsia="宋体"/>
                      <w:bCs/>
                      <w:sz w:val="21"/>
                      <w:szCs w:val="21"/>
                      <w:u w:val="none"/>
                    </w:rPr>
                  </w:pPr>
                </w:p>
              </w:tc>
              <w:tc>
                <w:tcPr>
                  <w:tcW w:w="1034" w:type="pct"/>
                  <w:vMerge w:val="continue"/>
                  <w:tcBorders>
                    <w:bottom w:val="single" w:color="000000" w:sz="4" w:space="0"/>
                  </w:tcBorders>
                  <w:shd w:val="clear" w:color="auto" w:fill="auto"/>
                  <w:noWrap w:val="0"/>
                  <w:vAlign w:val="center"/>
                </w:tcPr>
                <w:p w14:paraId="32E97B32">
                  <w:pPr>
                    <w:kinsoku w:val="0"/>
                    <w:overflowPunct w:val="0"/>
                    <w:jc w:val="center"/>
                    <w:rPr>
                      <w:rFonts w:eastAsia="宋体"/>
                      <w:bCs/>
                      <w:sz w:val="21"/>
                      <w:szCs w:val="21"/>
                      <w:u w:val="none"/>
                    </w:rPr>
                  </w:pPr>
                </w:p>
              </w:tc>
              <w:tc>
                <w:tcPr>
                  <w:tcW w:w="698" w:type="pct"/>
                  <w:tcBorders>
                    <w:bottom w:val="single" w:color="000000" w:sz="4" w:space="0"/>
                  </w:tcBorders>
                  <w:shd w:val="clear" w:color="auto" w:fill="auto"/>
                  <w:noWrap w:val="0"/>
                  <w:vAlign w:val="center"/>
                </w:tcPr>
                <w:p w14:paraId="274E3C53">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二氧化硫</w:t>
                  </w:r>
                </w:p>
              </w:tc>
              <w:tc>
                <w:tcPr>
                  <w:tcW w:w="573" w:type="pct"/>
                  <w:tcBorders>
                    <w:bottom w:val="single" w:color="000000" w:sz="4" w:space="0"/>
                  </w:tcBorders>
                  <w:shd w:val="clear" w:color="auto" w:fill="auto"/>
                  <w:noWrap w:val="0"/>
                  <w:vAlign w:val="center"/>
                </w:tcPr>
                <w:p w14:paraId="3F27F635">
                  <w:pPr>
                    <w:widowControl/>
                    <w:jc w:val="center"/>
                    <w:textAlignment w:val="center"/>
                    <w:rPr>
                      <w:rFonts w:eastAsia="宋体"/>
                      <w:bCs/>
                      <w:sz w:val="21"/>
                      <w:u w:val="none"/>
                    </w:rPr>
                  </w:pPr>
                  <w:r>
                    <w:rPr>
                      <w:rFonts w:eastAsia="宋体"/>
                      <w:kern w:val="0"/>
                      <w:sz w:val="21"/>
                      <w:szCs w:val="21"/>
                      <w:u w:val="none"/>
                      <w:lang w:bidi="ar"/>
                    </w:rPr>
                    <w:t>97</w:t>
                  </w:r>
                </w:p>
              </w:tc>
              <w:tc>
                <w:tcPr>
                  <w:tcW w:w="633" w:type="pct"/>
                  <w:tcBorders>
                    <w:bottom w:val="single" w:color="000000" w:sz="4" w:space="0"/>
                  </w:tcBorders>
                  <w:shd w:val="clear" w:color="auto" w:fill="auto"/>
                  <w:noWrap w:val="0"/>
                  <w:vAlign w:val="center"/>
                </w:tcPr>
                <w:p w14:paraId="623934DD">
                  <w:pPr>
                    <w:kinsoku w:val="0"/>
                    <w:overflowPunct w:val="0"/>
                    <w:jc w:val="center"/>
                    <w:rPr>
                      <w:rFonts w:hint="eastAsia" w:eastAsia="宋体"/>
                      <w:bCs/>
                      <w:sz w:val="21"/>
                      <w:u w:val="none"/>
                    </w:rPr>
                  </w:pPr>
                  <w:r>
                    <w:rPr>
                      <w:rFonts w:eastAsia="宋体"/>
                      <w:bCs/>
                      <w:sz w:val="21"/>
                      <w:u w:val="none"/>
                    </w:rPr>
                    <w:t>89380</w:t>
                  </w:r>
                </w:p>
              </w:tc>
              <w:tc>
                <w:tcPr>
                  <w:tcW w:w="702" w:type="pct"/>
                  <w:tcBorders>
                    <w:bottom w:val="single" w:color="000000" w:sz="4" w:space="0"/>
                  </w:tcBorders>
                  <w:shd w:val="clear" w:color="auto" w:fill="auto"/>
                  <w:noWrap w:val="0"/>
                  <w:vAlign w:val="center"/>
                </w:tcPr>
                <w:p w14:paraId="031E9975">
                  <w:pPr>
                    <w:kinsoku w:val="0"/>
                    <w:overflowPunct w:val="0"/>
                    <w:jc w:val="center"/>
                    <w:rPr>
                      <w:rFonts w:hint="eastAsia" w:eastAsia="宋体"/>
                      <w:bCs/>
                      <w:sz w:val="21"/>
                      <w:u w:val="none"/>
                    </w:rPr>
                  </w:pPr>
                  <w:r>
                    <w:rPr>
                      <w:rFonts w:eastAsia="宋体"/>
                      <w:bCs/>
                      <w:sz w:val="21"/>
                      <w:u w:val="none"/>
                    </w:rPr>
                    <w:t>8000</w:t>
                  </w:r>
                </w:p>
              </w:tc>
              <w:tc>
                <w:tcPr>
                  <w:tcW w:w="701" w:type="pct"/>
                  <w:tcBorders>
                    <w:bottom w:val="single" w:color="000000" w:sz="4" w:space="0"/>
                  </w:tcBorders>
                  <w:shd w:val="clear" w:color="auto" w:fill="auto"/>
                  <w:noWrap w:val="0"/>
                  <w:vAlign w:val="center"/>
                </w:tcPr>
                <w:p w14:paraId="583FD879">
                  <w:pPr>
                    <w:kinsoku w:val="0"/>
                    <w:overflowPunct w:val="0"/>
                    <w:jc w:val="center"/>
                    <w:rPr>
                      <w:rFonts w:hint="eastAsia" w:eastAsia="宋体"/>
                      <w:bCs/>
                      <w:sz w:val="21"/>
                      <w:u w:val="none"/>
                    </w:rPr>
                  </w:pPr>
                  <w:r>
                    <w:rPr>
                      <w:rFonts w:hint="eastAsia" w:eastAsia="宋体"/>
                      <w:bCs/>
                      <w:sz w:val="21"/>
                      <w:u w:val="none"/>
                    </w:rPr>
                    <w:t xml:space="preserve">69.359 </w:t>
                  </w:r>
                </w:p>
              </w:tc>
            </w:tr>
            <w:tr w14:paraId="7BF23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6339E768">
                  <w:pPr>
                    <w:kinsoku w:val="0"/>
                    <w:overflowPunct w:val="0"/>
                    <w:jc w:val="center"/>
                    <w:rPr>
                      <w:rFonts w:eastAsia="宋体"/>
                      <w:bCs/>
                      <w:sz w:val="21"/>
                      <w:szCs w:val="21"/>
                      <w:u w:val="none"/>
                    </w:rPr>
                  </w:pPr>
                  <w:r>
                    <w:rPr>
                      <w:rFonts w:hint="eastAsia" w:eastAsia="宋体"/>
                      <w:bCs/>
                      <w:sz w:val="21"/>
                      <w:szCs w:val="21"/>
                      <w:u w:val="none"/>
                    </w:rPr>
                    <w:t>甲醇1#加热炉</w:t>
                  </w:r>
                </w:p>
              </w:tc>
              <w:tc>
                <w:tcPr>
                  <w:tcW w:w="1034" w:type="pct"/>
                  <w:vMerge w:val="restart"/>
                  <w:shd w:val="clear" w:color="auto" w:fill="auto"/>
                  <w:noWrap w:val="0"/>
                  <w:vAlign w:val="center"/>
                </w:tcPr>
                <w:p w14:paraId="6BDD7844">
                  <w:pPr>
                    <w:kinsoku w:val="0"/>
                    <w:overflowPunct w:val="0"/>
                    <w:jc w:val="center"/>
                    <w:rPr>
                      <w:rFonts w:eastAsia="宋体"/>
                      <w:bCs/>
                      <w:sz w:val="21"/>
                      <w:szCs w:val="21"/>
                      <w:u w:val="none"/>
                    </w:rPr>
                  </w:pPr>
                  <w:r>
                    <w:rPr>
                      <w:rFonts w:hint="eastAsia" w:eastAsia="宋体"/>
                      <w:bCs/>
                      <w:sz w:val="21"/>
                      <w:szCs w:val="21"/>
                      <w:u w:val="none"/>
                    </w:rPr>
                    <w:t>DA040</w:t>
                  </w:r>
                </w:p>
              </w:tc>
              <w:tc>
                <w:tcPr>
                  <w:tcW w:w="698" w:type="pct"/>
                  <w:shd w:val="clear" w:color="auto" w:fill="auto"/>
                  <w:noWrap w:val="0"/>
                  <w:vAlign w:val="center"/>
                </w:tcPr>
                <w:p w14:paraId="13335D50">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颗粒物</w:t>
                  </w:r>
                </w:p>
              </w:tc>
              <w:tc>
                <w:tcPr>
                  <w:tcW w:w="573" w:type="pct"/>
                  <w:shd w:val="clear" w:color="auto" w:fill="auto"/>
                  <w:noWrap w:val="0"/>
                  <w:vAlign w:val="center"/>
                </w:tcPr>
                <w:p w14:paraId="439CDB87">
                  <w:pPr>
                    <w:widowControl/>
                    <w:jc w:val="center"/>
                    <w:textAlignment w:val="center"/>
                    <w:rPr>
                      <w:rFonts w:eastAsia="宋体"/>
                      <w:bCs/>
                      <w:sz w:val="21"/>
                      <w:u w:val="none"/>
                    </w:rPr>
                  </w:pPr>
                  <w:r>
                    <w:rPr>
                      <w:rFonts w:eastAsia="宋体"/>
                      <w:kern w:val="0"/>
                      <w:sz w:val="21"/>
                      <w:szCs w:val="21"/>
                      <w:u w:val="none"/>
                      <w:lang w:bidi="ar"/>
                    </w:rPr>
                    <w:t>6.9</w:t>
                  </w:r>
                </w:p>
              </w:tc>
              <w:tc>
                <w:tcPr>
                  <w:tcW w:w="633" w:type="pct"/>
                  <w:shd w:val="clear" w:color="auto" w:fill="auto"/>
                  <w:noWrap w:val="0"/>
                  <w:vAlign w:val="center"/>
                </w:tcPr>
                <w:p w14:paraId="1FB1B1C0">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1E9022F7">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07FF0756">
                  <w:pPr>
                    <w:kinsoku w:val="0"/>
                    <w:overflowPunct w:val="0"/>
                    <w:jc w:val="center"/>
                    <w:rPr>
                      <w:rFonts w:hint="eastAsia" w:eastAsia="宋体"/>
                      <w:bCs/>
                      <w:sz w:val="21"/>
                      <w:u w:val="none"/>
                    </w:rPr>
                  </w:pPr>
                  <w:r>
                    <w:rPr>
                      <w:rFonts w:hint="eastAsia" w:eastAsia="宋体"/>
                      <w:bCs/>
                      <w:sz w:val="21"/>
                      <w:u w:val="none"/>
                    </w:rPr>
                    <w:t xml:space="preserve">1.960 </w:t>
                  </w:r>
                </w:p>
              </w:tc>
            </w:tr>
            <w:tr w14:paraId="14267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C2A5A3F">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44890965">
                  <w:pPr>
                    <w:kinsoku w:val="0"/>
                    <w:overflowPunct w:val="0"/>
                    <w:jc w:val="center"/>
                    <w:rPr>
                      <w:rFonts w:eastAsia="宋体"/>
                      <w:bCs/>
                      <w:sz w:val="21"/>
                      <w:szCs w:val="21"/>
                      <w:u w:val="none"/>
                    </w:rPr>
                  </w:pPr>
                </w:p>
              </w:tc>
              <w:tc>
                <w:tcPr>
                  <w:tcW w:w="698" w:type="pct"/>
                  <w:shd w:val="clear" w:color="auto" w:fill="auto"/>
                  <w:noWrap w:val="0"/>
                  <w:vAlign w:val="center"/>
                </w:tcPr>
                <w:p w14:paraId="310A4F64">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氮氧化物</w:t>
                  </w:r>
                </w:p>
              </w:tc>
              <w:tc>
                <w:tcPr>
                  <w:tcW w:w="573" w:type="pct"/>
                  <w:shd w:val="clear" w:color="auto" w:fill="auto"/>
                  <w:noWrap w:val="0"/>
                  <w:vAlign w:val="center"/>
                </w:tcPr>
                <w:p w14:paraId="3102C425">
                  <w:pPr>
                    <w:widowControl/>
                    <w:jc w:val="center"/>
                    <w:textAlignment w:val="center"/>
                    <w:rPr>
                      <w:rFonts w:eastAsia="宋体"/>
                      <w:bCs/>
                      <w:sz w:val="21"/>
                      <w:u w:val="none"/>
                    </w:rPr>
                  </w:pPr>
                  <w:r>
                    <w:rPr>
                      <w:rFonts w:eastAsia="宋体"/>
                      <w:kern w:val="0"/>
                      <w:sz w:val="21"/>
                      <w:szCs w:val="21"/>
                      <w:u w:val="none"/>
                      <w:lang w:bidi="ar"/>
                    </w:rPr>
                    <w:t>27</w:t>
                  </w:r>
                </w:p>
              </w:tc>
              <w:tc>
                <w:tcPr>
                  <w:tcW w:w="633" w:type="pct"/>
                  <w:shd w:val="clear" w:color="auto" w:fill="auto"/>
                  <w:noWrap w:val="0"/>
                  <w:vAlign w:val="center"/>
                </w:tcPr>
                <w:p w14:paraId="562F98B8">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13C51EE7">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6E3BC4B">
                  <w:pPr>
                    <w:kinsoku w:val="0"/>
                    <w:overflowPunct w:val="0"/>
                    <w:jc w:val="center"/>
                    <w:rPr>
                      <w:rFonts w:hint="eastAsia" w:eastAsia="宋体"/>
                      <w:bCs/>
                      <w:sz w:val="21"/>
                      <w:u w:val="none"/>
                    </w:rPr>
                  </w:pPr>
                  <w:r>
                    <w:rPr>
                      <w:rFonts w:hint="eastAsia" w:eastAsia="宋体"/>
                      <w:bCs/>
                      <w:sz w:val="21"/>
                      <w:u w:val="none"/>
                    </w:rPr>
                    <w:t xml:space="preserve">7.668 </w:t>
                  </w:r>
                </w:p>
              </w:tc>
            </w:tr>
            <w:tr w14:paraId="62514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7C833FC">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6508E66C">
                  <w:pPr>
                    <w:kinsoku w:val="0"/>
                    <w:overflowPunct w:val="0"/>
                    <w:jc w:val="center"/>
                    <w:rPr>
                      <w:rFonts w:eastAsia="宋体"/>
                      <w:bCs/>
                      <w:sz w:val="21"/>
                      <w:szCs w:val="21"/>
                      <w:u w:val="none"/>
                    </w:rPr>
                  </w:pPr>
                </w:p>
              </w:tc>
              <w:tc>
                <w:tcPr>
                  <w:tcW w:w="698" w:type="pct"/>
                  <w:shd w:val="clear" w:color="auto" w:fill="auto"/>
                  <w:noWrap w:val="0"/>
                  <w:vAlign w:val="center"/>
                </w:tcPr>
                <w:p w14:paraId="3CA199A6">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二氧化硫</w:t>
                  </w:r>
                </w:p>
              </w:tc>
              <w:tc>
                <w:tcPr>
                  <w:tcW w:w="573" w:type="pct"/>
                  <w:shd w:val="clear" w:color="auto" w:fill="auto"/>
                  <w:noWrap w:val="0"/>
                  <w:vAlign w:val="center"/>
                </w:tcPr>
                <w:p w14:paraId="5354C7E7">
                  <w:pPr>
                    <w:widowControl/>
                    <w:jc w:val="center"/>
                    <w:textAlignment w:val="center"/>
                    <w:rPr>
                      <w:rFonts w:hint="eastAsia" w:eastAsia="宋体"/>
                      <w:bCs/>
                      <w:sz w:val="21"/>
                      <w:u w:val="none"/>
                    </w:rPr>
                  </w:pPr>
                  <w:r>
                    <w:rPr>
                      <w:rFonts w:eastAsia="宋体"/>
                      <w:kern w:val="0"/>
                      <w:sz w:val="21"/>
                      <w:szCs w:val="21"/>
                      <w:u w:val="none"/>
                      <w:lang w:bidi="ar"/>
                    </w:rPr>
                    <w:t>27</w:t>
                  </w:r>
                </w:p>
              </w:tc>
              <w:tc>
                <w:tcPr>
                  <w:tcW w:w="633" w:type="pct"/>
                  <w:shd w:val="clear" w:color="auto" w:fill="auto"/>
                  <w:noWrap w:val="0"/>
                  <w:vAlign w:val="center"/>
                </w:tcPr>
                <w:p w14:paraId="13C07620">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52F1719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D717F59">
                  <w:pPr>
                    <w:kinsoku w:val="0"/>
                    <w:overflowPunct w:val="0"/>
                    <w:jc w:val="center"/>
                    <w:rPr>
                      <w:rFonts w:hint="eastAsia" w:eastAsia="宋体"/>
                      <w:bCs/>
                      <w:sz w:val="21"/>
                      <w:u w:val="none"/>
                    </w:rPr>
                  </w:pPr>
                  <w:r>
                    <w:rPr>
                      <w:rFonts w:hint="eastAsia" w:eastAsia="宋体"/>
                      <w:bCs/>
                      <w:sz w:val="21"/>
                      <w:u w:val="none"/>
                    </w:rPr>
                    <w:t xml:space="preserve">7.668 </w:t>
                  </w:r>
                </w:p>
              </w:tc>
            </w:tr>
            <w:tr w14:paraId="172EE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55C7CD68">
                  <w:pPr>
                    <w:kinsoku w:val="0"/>
                    <w:overflowPunct w:val="0"/>
                    <w:jc w:val="center"/>
                    <w:rPr>
                      <w:rFonts w:hint="eastAsia" w:eastAsia="宋体"/>
                      <w:bCs/>
                      <w:sz w:val="21"/>
                      <w:szCs w:val="21"/>
                      <w:u w:val="none"/>
                    </w:rPr>
                  </w:pPr>
                  <w:r>
                    <w:rPr>
                      <w:rFonts w:hint="eastAsia" w:eastAsia="宋体"/>
                      <w:bCs/>
                      <w:sz w:val="21"/>
                      <w:szCs w:val="21"/>
                      <w:u w:val="none"/>
                    </w:rPr>
                    <w:t>甲醇2#加热炉</w:t>
                  </w:r>
                </w:p>
              </w:tc>
              <w:tc>
                <w:tcPr>
                  <w:tcW w:w="1034" w:type="pct"/>
                  <w:vMerge w:val="restart"/>
                  <w:shd w:val="clear" w:color="auto" w:fill="auto"/>
                  <w:noWrap w:val="0"/>
                  <w:vAlign w:val="center"/>
                </w:tcPr>
                <w:p w14:paraId="26DAB723">
                  <w:pPr>
                    <w:kinsoku w:val="0"/>
                    <w:overflowPunct w:val="0"/>
                    <w:jc w:val="center"/>
                    <w:rPr>
                      <w:rFonts w:eastAsia="宋体"/>
                      <w:bCs/>
                      <w:sz w:val="21"/>
                      <w:szCs w:val="21"/>
                      <w:u w:val="none"/>
                    </w:rPr>
                  </w:pPr>
                  <w:r>
                    <w:rPr>
                      <w:rFonts w:hint="eastAsia" w:eastAsia="宋体"/>
                      <w:bCs/>
                      <w:sz w:val="21"/>
                      <w:szCs w:val="21"/>
                      <w:u w:val="none"/>
                    </w:rPr>
                    <w:t>DA043</w:t>
                  </w:r>
                </w:p>
              </w:tc>
              <w:tc>
                <w:tcPr>
                  <w:tcW w:w="698" w:type="pct"/>
                  <w:shd w:val="clear" w:color="auto" w:fill="auto"/>
                  <w:noWrap w:val="0"/>
                  <w:vAlign w:val="center"/>
                </w:tcPr>
                <w:p w14:paraId="1143B179">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颗粒物</w:t>
                  </w:r>
                </w:p>
              </w:tc>
              <w:tc>
                <w:tcPr>
                  <w:tcW w:w="573" w:type="pct"/>
                  <w:shd w:val="clear" w:color="auto" w:fill="auto"/>
                  <w:noWrap w:val="0"/>
                  <w:vAlign w:val="center"/>
                </w:tcPr>
                <w:p w14:paraId="0FBEE558">
                  <w:pPr>
                    <w:widowControl/>
                    <w:jc w:val="center"/>
                    <w:textAlignment w:val="center"/>
                    <w:rPr>
                      <w:rFonts w:eastAsia="宋体"/>
                      <w:bCs/>
                      <w:sz w:val="21"/>
                      <w:u w:val="none"/>
                    </w:rPr>
                  </w:pPr>
                  <w:r>
                    <w:rPr>
                      <w:rFonts w:eastAsia="宋体"/>
                      <w:kern w:val="0"/>
                      <w:sz w:val="21"/>
                      <w:szCs w:val="21"/>
                      <w:u w:val="none"/>
                      <w:lang w:bidi="ar"/>
                    </w:rPr>
                    <w:t>8.9</w:t>
                  </w:r>
                </w:p>
              </w:tc>
              <w:tc>
                <w:tcPr>
                  <w:tcW w:w="633" w:type="pct"/>
                  <w:shd w:val="clear" w:color="auto" w:fill="auto"/>
                  <w:noWrap w:val="0"/>
                  <w:vAlign w:val="center"/>
                </w:tcPr>
                <w:p w14:paraId="70945136">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520DC83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599A0173">
                  <w:pPr>
                    <w:kinsoku w:val="0"/>
                    <w:overflowPunct w:val="0"/>
                    <w:jc w:val="center"/>
                    <w:rPr>
                      <w:rFonts w:hint="eastAsia" w:eastAsia="宋体"/>
                      <w:bCs/>
                      <w:sz w:val="21"/>
                      <w:u w:val="none"/>
                    </w:rPr>
                  </w:pPr>
                  <w:r>
                    <w:rPr>
                      <w:rFonts w:hint="eastAsia" w:eastAsia="宋体"/>
                      <w:bCs/>
                      <w:sz w:val="21"/>
                      <w:u w:val="none"/>
                    </w:rPr>
                    <w:t xml:space="preserve">2.528 </w:t>
                  </w:r>
                </w:p>
              </w:tc>
            </w:tr>
            <w:tr w14:paraId="4A261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0E12CB9F">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21794D8E">
                  <w:pPr>
                    <w:kinsoku w:val="0"/>
                    <w:overflowPunct w:val="0"/>
                    <w:jc w:val="center"/>
                    <w:rPr>
                      <w:rFonts w:eastAsia="宋体"/>
                      <w:bCs/>
                      <w:sz w:val="21"/>
                      <w:szCs w:val="21"/>
                      <w:u w:val="none"/>
                    </w:rPr>
                  </w:pPr>
                </w:p>
              </w:tc>
              <w:tc>
                <w:tcPr>
                  <w:tcW w:w="698" w:type="pct"/>
                  <w:shd w:val="clear" w:color="auto" w:fill="auto"/>
                  <w:noWrap w:val="0"/>
                  <w:vAlign w:val="center"/>
                </w:tcPr>
                <w:p w14:paraId="4E8FAF59">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氮氧化物</w:t>
                  </w:r>
                </w:p>
              </w:tc>
              <w:tc>
                <w:tcPr>
                  <w:tcW w:w="573" w:type="pct"/>
                  <w:shd w:val="clear" w:color="auto" w:fill="auto"/>
                  <w:noWrap w:val="0"/>
                  <w:vAlign w:val="center"/>
                </w:tcPr>
                <w:p w14:paraId="16F18DB9">
                  <w:pPr>
                    <w:widowControl/>
                    <w:jc w:val="center"/>
                    <w:textAlignment w:val="center"/>
                    <w:rPr>
                      <w:rFonts w:eastAsia="宋体"/>
                      <w:bCs/>
                      <w:sz w:val="21"/>
                      <w:u w:val="none"/>
                    </w:rPr>
                  </w:pPr>
                  <w:r>
                    <w:rPr>
                      <w:rFonts w:eastAsia="宋体"/>
                      <w:kern w:val="0"/>
                      <w:sz w:val="21"/>
                      <w:szCs w:val="21"/>
                      <w:u w:val="none"/>
                      <w:lang w:bidi="ar"/>
                    </w:rPr>
                    <w:t>28</w:t>
                  </w:r>
                </w:p>
              </w:tc>
              <w:tc>
                <w:tcPr>
                  <w:tcW w:w="633" w:type="pct"/>
                  <w:shd w:val="clear" w:color="auto" w:fill="auto"/>
                  <w:noWrap w:val="0"/>
                  <w:vAlign w:val="center"/>
                </w:tcPr>
                <w:p w14:paraId="5166442C">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638455B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71733C0">
                  <w:pPr>
                    <w:kinsoku w:val="0"/>
                    <w:overflowPunct w:val="0"/>
                    <w:jc w:val="center"/>
                    <w:rPr>
                      <w:rFonts w:hint="eastAsia" w:eastAsia="宋体"/>
                      <w:bCs/>
                      <w:sz w:val="21"/>
                      <w:u w:val="none"/>
                    </w:rPr>
                  </w:pPr>
                  <w:r>
                    <w:rPr>
                      <w:rFonts w:hint="eastAsia" w:eastAsia="宋体"/>
                      <w:bCs/>
                      <w:sz w:val="21"/>
                      <w:u w:val="none"/>
                    </w:rPr>
                    <w:t xml:space="preserve">7.952 </w:t>
                  </w:r>
                </w:p>
              </w:tc>
            </w:tr>
            <w:tr w14:paraId="61652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74FCC2F">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73446901">
                  <w:pPr>
                    <w:kinsoku w:val="0"/>
                    <w:overflowPunct w:val="0"/>
                    <w:jc w:val="center"/>
                    <w:rPr>
                      <w:rFonts w:eastAsia="宋体"/>
                      <w:bCs/>
                      <w:sz w:val="21"/>
                      <w:szCs w:val="21"/>
                      <w:u w:val="none"/>
                    </w:rPr>
                  </w:pPr>
                </w:p>
              </w:tc>
              <w:tc>
                <w:tcPr>
                  <w:tcW w:w="698" w:type="pct"/>
                  <w:shd w:val="clear" w:color="auto" w:fill="auto"/>
                  <w:noWrap w:val="0"/>
                  <w:vAlign w:val="center"/>
                </w:tcPr>
                <w:p w14:paraId="1D73E568">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二氧化硫</w:t>
                  </w:r>
                </w:p>
              </w:tc>
              <w:tc>
                <w:tcPr>
                  <w:tcW w:w="573" w:type="pct"/>
                  <w:shd w:val="clear" w:color="auto" w:fill="auto"/>
                  <w:noWrap w:val="0"/>
                  <w:vAlign w:val="center"/>
                </w:tcPr>
                <w:p w14:paraId="440B41EF">
                  <w:pPr>
                    <w:widowControl/>
                    <w:jc w:val="center"/>
                    <w:textAlignment w:val="center"/>
                    <w:rPr>
                      <w:rFonts w:eastAsia="宋体"/>
                      <w:bCs/>
                      <w:sz w:val="21"/>
                      <w:u w:val="none"/>
                    </w:rPr>
                  </w:pPr>
                  <w:r>
                    <w:rPr>
                      <w:rFonts w:eastAsia="宋体"/>
                      <w:kern w:val="0"/>
                      <w:sz w:val="21"/>
                      <w:szCs w:val="21"/>
                      <w:u w:val="none"/>
                      <w:lang w:bidi="ar"/>
                    </w:rPr>
                    <w:t>28</w:t>
                  </w:r>
                </w:p>
              </w:tc>
              <w:tc>
                <w:tcPr>
                  <w:tcW w:w="633" w:type="pct"/>
                  <w:shd w:val="clear" w:color="auto" w:fill="auto"/>
                  <w:noWrap w:val="0"/>
                  <w:vAlign w:val="center"/>
                </w:tcPr>
                <w:p w14:paraId="0A2DAF5D">
                  <w:pPr>
                    <w:kinsoku w:val="0"/>
                    <w:overflowPunct w:val="0"/>
                    <w:jc w:val="center"/>
                    <w:rPr>
                      <w:rFonts w:hint="eastAsia" w:eastAsia="宋体"/>
                      <w:bCs/>
                      <w:sz w:val="21"/>
                      <w:u w:val="none"/>
                    </w:rPr>
                  </w:pPr>
                  <w:r>
                    <w:rPr>
                      <w:rFonts w:eastAsia="宋体"/>
                      <w:bCs/>
                      <w:sz w:val="21"/>
                      <w:u w:val="none"/>
                    </w:rPr>
                    <w:t>35500</w:t>
                  </w:r>
                </w:p>
              </w:tc>
              <w:tc>
                <w:tcPr>
                  <w:tcW w:w="702" w:type="pct"/>
                  <w:shd w:val="clear" w:color="auto" w:fill="auto"/>
                  <w:noWrap w:val="0"/>
                  <w:vAlign w:val="center"/>
                </w:tcPr>
                <w:p w14:paraId="5533317F">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D3F1473">
                  <w:pPr>
                    <w:kinsoku w:val="0"/>
                    <w:overflowPunct w:val="0"/>
                    <w:jc w:val="center"/>
                    <w:rPr>
                      <w:rFonts w:hint="eastAsia" w:eastAsia="宋体"/>
                      <w:bCs/>
                      <w:sz w:val="21"/>
                      <w:u w:val="none"/>
                    </w:rPr>
                  </w:pPr>
                  <w:r>
                    <w:rPr>
                      <w:rFonts w:hint="eastAsia" w:eastAsia="宋体"/>
                      <w:bCs/>
                      <w:sz w:val="21"/>
                      <w:u w:val="none"/>
                    </w:rPr>
                    <w:t xml:space="preserve">7.952 </w:t>
                  </w:r>
                </w:p>
              </w:tc>
            </w:tr>
            <w:tr w14:paraId="69364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0363D91C">
                  <w:pPr>
                    <w:kinsoku w:val="0"/>
                    <w:overflowPunct w:val="0"/>
                    <w:jc w:val="center"/>
                    <w:rPr>
                      <w:rFonts w:eastAsia="宋体"/>
                      <w:bCs/>
                      <w:sz w:val="21"/>
                      <w:szCs w:val="21"/>
                      <w:u w:val="none"/>
                    </w:rPr>
                  </w:pPr>
                  <w:r>
                    <w:rPr>
                      <w:rFonts w:hint="eastAsia" w:eastAsia="宋体"/>
                      <w:bCs/>
                      <w:sz w:val="21"/>
                      <w:szCs w:val="21"/>
                      <w:u w:val="none"/>
                    </w:rPr>
                    <w:t>甲醇精馏</w:t>
                  </w:r>
                </w:p>
              </w:tc>
              <w:tc>
                <w:tcPr>
                  <w:tcW w:w="1034" w:type="pct"/>
                  <w:shd w:val="clear" w:color="auto" w:fill="auto"/>
                  <w:noWrap w:val="0"/>
                  <w:vAlign w:val="center"/>
                </w:tcPr>
                <w:p w14:paraId="5CC09445">
                  <w:pPr>
                    <w:kinsoku w:val="0"/>
                    <w:overflowPunct w:val="0"/>
                    <w:jc w:val="center"/>
                    <w:rPr>
                      <w:rFonts w:eastAsia="宋体"/>
                      <w:bCs/>
                      <w:sz w:val="21"/>
                      <w:szCs w:val="21"/>
                      <w:u w:val="none"/>
                    </w:rPr>
                  </w:pPr>
                  <w:r>
                    <w:rPr>
                      <w:rFonts w:hint="eastAsia" w:eastAsia="宋体"/>
                      <w:bCs/>
                      <w:sz w:val="21"/>
                      <w:szCs w:val="21"/>
                      <w:u w:val="none"/>
                    </w:rPr>
                    <w:t>DA041</w:t>
                  </w:r>
                </w:p>
              </w:tc>
              <w:tc>
                <w:tcPr>
                  <w:tcW w:w="698" w:type="pct"/>
                  <w:shd w:val="clear" w:color="auto" w:fill="auto"/>
                  <w:noWrap w:val="0"/>
                  <w:vAlign w:val="center"/>
                </w:tcPr>
                <w:p w14:paraId="245ACE7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甲醇</w:t>
                  </w:r>
                </w:p>
              </w:tc>
              <w:tc>
                <w:tcPr>
                  <w:tcW w:w="573" w:type="pct"/>
                  <w:shd w:val="clear" w:color="auto" w:fill="auto"/>
                  <w:noWrap w:val="0"/>
                  <w:vAlign w:val="center"/>
                </w:tcPr>
                <w:p w14:paraId="1DA11652">
                  <w:pPr>
                    <w:widowControl/>
                    <w:jc w:val="center"/>
                    <w:textAlignment w:val="center"/>
                    <w:rPr>
                      <w:rFonts w:eastAsia="宋体"/>
                      <w:bCs/>
                      <w:sz w:val="21"/>
                      <w:u w:val="none"/>
                    </w:rPr>
                  </w:pPr>
                  <w:r>
                    <w:rPr>
                      <w:rFonts w:eastAsia="宋体"/>
                      <w:kern w:val="0"/>
                      <w:sz w:val="21"/>
                      <w:szCs w:val="21"/>
                      <w:u w:val="none"/>
                      <w:lang w:bidi="ar"/>
                    </w:rPr>
                    <w:t>ND</w:t>
                  </w:r>
                </w:p>
              </w:tc>
              <w:tc>
                <w:tcPr>
                  <w:tcW w:w="633" w:type="pct"/>
                  <w:shd w:val="clear" w:color="auto" w:fill="auto"/>
                  <w:noWrap w:val="0"/>
                  <w:vAlign w:val="center"/>
                </w:tcPr>
                <w:p w14:paraId="3D92952F">
                  <w:pPr>
                    <w:kinsoku w:val="0"/>
                    <w:overflowPunct w:val="0"/>
                    <w:jc w:val="center"/>
                    <w:rPr>
                      <w:rFonts w:hint="eastAsia" w:eastAsia="宋体"/>
                      <w:bCs/>
                      <w:sz w:val="21"/>
                      <w:u w:val="none"/>
                    </w:rPr>
                  </w:pPr>
                  <w:r>
                    <w:rPr>
                      <w:rFonts w:eastAsia="宋体"/>
                      <w:bCs/>
                      <w:sz w:val="21"/>
                      <w:u w:val="none"/>
                    </w:rPr>
                    <w:t>50</w:t>
                  </w:r>
                </w:p>
              </w:tc>
              <w:tc>
                <w:tcPr>
                  <w:tcW w:w="702" w:type="pct"/>
                  <w:shd w:val="clear" w:color="auto" w:fill="auto"/>
                  <w:noWrap w:val="0"/>
                  <w:vAlign w:val="center"/>
                </w:tcPr>
                <w:p w14:paraId="28F2137A">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964B40F">
                  <w:pPr>
                    <w:kinsoku w:val="0"/>
                    <w:overflowPunct w:val="0"/>
                    <w:jc w:val="center"/>
                    <w:rPr>
                      <w:rFonts w:hint="eastAsia" w:eastAsia="宋体"/>
                      <w:bCs/>
                      <w:sz w:val="21"/>
                      <w:u w:val="none"/>
                    </w:rPr>
                  </w:pPr>
                  <w:r>
                    <w:rPr>
                      <w:rFonts w:hint="eastAsia" w:eastAsia="宋体"/>
                      <w:bCs/>
                      <w:sz w:val="21"/>
                      <w:u w:val="none"/>
                    </w:rPr>
                    <w:t>/</w:t>
                  </w:r>
                </w:p>
              </w:tc>
            </w:tr>
            <w:tr w14:paraId="53F74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0CB36E3">
                  <w:pPr>
                    <w:kinsoku w:val="0"/>
                    <w:overflowPunct w:val="0"/>
                    <w:jc w:val="center"/>
                    <w:rPr>
                      <w:rFonts w:hint="eastAsia" w:eastAsia="宋体"/>
                      <w:bCs/>
                      <w:sz w:val="21"/>
                      <w:szCs w:val="21"/>
                      <w:u w:val="none"/>
                    </w:rPr>
                  </w:pPr>
                </w:p>
              </w:tc>
              <w:tc>
                <w:tcPr>
                  <w:tcW w:w="1034" w:type="pct"/>
                  <w:shd w:val="clear" w:color="auto" w:fill="auto"/>
                  <w:noWrap w:val="0"/>
                  <w:vAlign w:val="center"/>
                </w:tcPr>
                <w:p w14:paraId="7B8E8B56">
                  <w:pPr>
                    <w:kinsoku w:val="0"/>
                    <w:overflowPunct w:val="0"/>
                    <w:jc w:val="center"/>
                    <w:rPr>
                      <w:rFonts w:eastAsia="宋体"/>
                      <w:bCs/>
                      <w:sz w:val="21"/>
                      <w:szCs w:val="21"/>
                      <w:u w:val="none"/>
                    </w:rPr>
                  </w:pPr>
                  <w:r>
                    <w:rPr>
                      <w:rFonts w:hint="eastAsia" w:eastAsia="宋体"/>
                      <w:bCs/>
                      <w:sz w:val="21"/>
                      <w:szCs w:val="21"/>
                      <w:u w:val="none"/>
                    </w:rPr>
                    <w:t>DA039</w:t>
                  </w:r>
                </w:p>
              </w:tc>
              <w:tc>
                <w:tcPr>
                  <w:tcW w:w="698" w:type="pct"/>
                  <w:shd w:val="clear" w:color="auto" w:fill="auto"/>
                  <w:noWrap w:val="0"/>
                  <w:vAlign w:val="center"/>
                </w:tcPr>
                <w:p w14:paraId="74222361">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甲醇</w:t>
                  </w:r>
                </w:p>
              </w:tc>
              <w:tc>
                <w:tcPr>
                  <w:tcW w:w="573" w:type="pct"/>
                  <w:shd w:val="clear" w:color="auto" w:fill="auto"/>
                  <w:noWrap w:val="0"/>
                  <w:vAlign w:val="center"/>
                </w:tcPr>
                <w:p w14:paraId="1DBEC5D7">
                  <w:pPr>
                    <w:widowControl/>
                    <w:jc w:val="center"/>
                    <w:textAlignment w:val="center"/>
                    <w:rPr>
                      <w:rFonts w:eastAsia="宋体"/>
                      <w:bCs/>
                      <w:sz w:val="21"/>
                      <w:u w:val="none"/>
                    </w:rPr>
                  </w:pPr>
                  <w:r>
                    <w:rPr>
                      <w:rFonts w:eastAsia="宋体"/>
                      <w:kern w:val="0"/>
                      <w:sz w:val="21"/>
                      <w:szCs w:val="21"/>
                      <w:u w:val="none"/>
                      <w:lang w:bidi="ar"/>
                    </w:rPr>
                    <w:t>ND</w:t>
                  </w:r>
                </w:p>
              </w:tc>
              <w:tc>
                <w:tcPr>
                  <w:tcW w:w="633" w:type="pct"/>
                  <w:shd w:val="clear" w:color="auto" w:fill="auto"/>
                  <w:noWrap w:val="0"/>
                  <w:vAlign w:val="center"/>
                </w:tcPr>
                <w:p w14:paraId="777851B9">
                  <w:pPr>
                    <w:kinsoku w:val="0"/>
                    <w:overflowPunct w:val="0"/>
                    <w:jc w:val="center"/>
                    <w:rPr>
                      <w:rFonts w:hint="eastAsia" w:eastAsia="宋体"/>
                      <w:bCs/>
                      <w:sz w:val="21"/>
                      <w:u w:val="none"/>
                    </w:rPr>
                  </w:pPr>
                  <w:r>
                    <w:rPr>
                      <w:rFonts w:eastAsia="宋体"/>
                      <w:bCs/>
                      <w:sz w:val="21"/>
                      <w:u w:val="none"/>
                    </w:rPr>
                    <w:t>50</w:t>
                  </w:r>
                </w:p>
              </w:tc>
              <w:tc>
                <w:tcPr>
                  <w:tcW w:w="702" w:type="pct"/>
                  <w:shd w:val="clear" w:color="auto" w:fill="auto"/>
                  <w:noWrap w:val="0"/>
                  <w:vAlign w:val="center"/>
                </w:tcPr>
                <w:p w14:paraId="5343F0AC">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E171D65">
                  <w:pPr>
                    <w:kinsoku w:val="0"/>
                    <w:overflowPunct w:val="0"/>
                    <w:jc w:val="center"/>
                    <w:rPr>
                      <w:rFonts w:hint="eastAsia" w:eastAsia="宋体"/>
                      <w:bCs/>
                      <w:sz w:val="21"/>
                      <w:u w:val="none"/>
                    </w:rPr>
                  </w:pPr>
                  <w:r>
                    <w:rPr>
                      <w:rFonts w:hint="eastAsia" w:eastAsia="宋体"/>
                      <w:bCs/>
                      <w:sz w:val="21"/>
                      <w:u w:val="none"/>
                    </w:rPr>
                    <w:t>/</w:t>
                  </w:r>
                </w:p>
              </w:tc>
            </w:tr>
            <w:tr w14:paraId="7C0AE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12E2578F">
                  <w:pPr>
                    <w:kinsoku w:val="0"/>
                    <w:overflowPunct w:val="0"/>
                    <w:jc w:val="center"/>
                    <w:rPr>
                      <w:rFonts w:eastAsia="宋体"/>
                      <w:bCs/>
                      <w:sz w:val="21"/>
                      <w:szCs w:val="21"/>
                      <w:u w:val="none"/>
                    </w:rPr>
                  </w:pPr>
                  <w:r>
                    <w:rPr>
                      <w:rFonts w:eastAsia="宋体"/>
                      <w:bCs/>
                      <w:sz w:val="21"/>
                      <w:szCs w:val="21"/>
                      <w:u w:val="none"/>
                    </w:rPr>
                    <w:t>脱硫脱碳</w:t>
                  </w:r>
                </w:p>
              </w:tc>
              <w:tc>
                <w:tcPr>
                  <w:tcW w:w="1034" w:type="pct"/>
                  <w:vMerge w:val="restart"/>
                  <w:shd w:val="clear" w:color="auto" w:fill="auto"/>
                  <w:noWrap w:val="0"/>
                  <w:vAlign w:val="center"/>
                </w:tcPr>
                <w:p w14:paraId="25E99C89">
                  <w:pPr>
                    <w:kinsoku w:val="0"/>
                    <w:overflowPunct w:val="0"/>
                    <w:jc w:val="center"/>
                    <w:rPr>
                      <w:rFonts w:eastAsia="宋体"/>
                      <w:bCs/>
                      <w:sz w:val="21"/>
                      <w:szCs w:val="21"/>
                      <w:u w:val="none"/>
                    </w:rPr>
                  </w:pPr>
                  <w:r>
                    <w:rPr>
                      <w:rFonts w:hint="eastAsia" w:eastAsia="宋体"/>
                      <w:bCs/>
                      <w:sz w:val="21"/>
                      <w:szCs w:val="21"/>
                      <w:u w:val="none"/>
                    </w:rPr>
                    <w:t>DA038</w:t>
                  </w:r>
                </w:p>
              </w:tc>
              <w:tc>
                <w:tcPr>
                  <w:tcW w:w="698" w:type="pct"/>
                  <w:shd w:val="clear" w:color="auto" w:fill="auto"/>
                  <w:noWrap w:val="0"/>
                  <w:vAlign w:val="center"/>
                </w:tcPr>
                <w:p w14:paraId="1723BDDE">
                  <w:pPr>
                    <w:kinsoku w:val="0"/>
                    <w:overflowPunct w:val="0"/>
                    <w:jc w:val="center"/>
                    <w:rPr>
                      <w:rFonts w:hint="eastAsia" w:eastAsia="宋体"/>
                      <w:bCs/>
                      <w:sz w:val="21"/>
                      <w:u w:val="none"/>
                    </w:rPr>
                  </w:pPr>
                  <w:r>
                    <w:rPr>
                      <w:rFonts w:hint="eastAsia" w:eastAsia="宋体"/>
                      <w:bCs/>
                      <w:sz w:val="21"/>
                      <w:u w:val="none"/>
                    </w:rPr>
                    <w:t>非甲烷总烃</w:t>
                  </w:r>
                </w:p>
              </w:tc>
              <w:tc>
                <w:tcPr>
                  <w:tcW w:w="573" w:type="pct"/>
                  <w:shd w:val="clear" w:color="auto" w:fill="auto"/>
                  <w:noWrap w:val="0"/>
                  <w:vAlign w:val="center"/>
                </w:tcPr>
                <w:p w14:paraId="30A0D517">
                  <w:pPr>
                    <w:kinsoku w:val="0"/>
                    <w:overflowPunct w:val="0"/>
                    <w:jc w:val="center"/>
                    <w:rPr>
                      <w:rFonts w:eastAsia="宋体"/>
                      <w:bCs/>
                      <w:sz w:val="21"/>
                      <w:u w:val="none"/>
                    </w:rPr>
                  </w:pPr>
                  <w:r>
                    <w:rPr>
                      <w:rFonts w:hint="eastAsia" w:eastAsia="宋体"/>
                      <w:bCs/>
                      <w:sz w:val="21"/>
                      <w:u w:val="none"/>
                    </w:rPr>
                    <w:t>42.7</w:t>
                  </w:r>
                </w:p>
              </w:tc>
              <w:tc>
                <w:tcPr>
                  <w:tcW w:w="633" w:type="pct"/>
                  <w:shd w:val="clear" w:color="auto" w:fill="auto"/>
                  <w:noWrap w:val="0"/>
                  <w:vAlign w:val="center"/>
                </w:tcPr>
                <w:p w14:paraId="300A190E">
                  <w:pPr>
                    <w:kinsoku w:val="0"/>
                    <w:overflowPunct w:val="0"/>
                    <w:jc w:val="center"/>
                    <w:rPr>
                      <w:rFonts w:hint="eastAsia" w:eastAsia="宋体"/>
                      <w:bCs/>
                      <w:sz w:val="21"/>
                      <w:u w:val="none"/>
                    </w:rPr>
                  </w:pPr>
                  <w:r>
                    <w:rPr>
                      <w:rFonts w:eastAsia="宋体"/>
                      <w:bCs/>
                      <w:sz w:val="21"/>
                      <w:u w:val="none"/>
                    </w:rPr>
                    <w:t>119422</w:t>
                  </w:r>
                </w:p>
              </w:tc>
              <w:tc>
                <w:tcPr>
                  <w:tcW w:w="702" w:type="pct"/>
                  <w:shd w:val="clear" w:color="auto" w:fill="auto"/>
                  <w:noWrap w:val="0"/>
                  <w:vAlign w:val="center"/>
                </w:tcPr>
                <w:p w14:paraId="6F489968">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6CECF30A">
                  <w:pPr>
                    <w:kinsoku w:val="0"/>
                    <w:overflowPunct w:val="0"/>
                    <w:jc w:val="center"/>
                    <w:rPr>
                      <w:rFonts w:hint="eastAsia" w:eastAsia="宋体"/>
                      <w:bCs/>
                      <w:sz w:val="21"/>
                      <w:u w:val="none"/>
                    </w:rPr>
                  </w:pPr>
                  <w:r>
                    <w:rPr>
                      <w:rFonts w:hint="eastAsia" w:eastAsia="宋体"/>
                      <w:bCs/>
                      <w:sz w:val="21"/>
                      <w:u w:val="none"/>
                    </w:rPr>
                    <w:t xml:space="preserve">40.795 </w:t>
                  </w:r>
                </w:p>
              </w:tc>
            </w:tr>
            <w:tr w14:paraId="6923A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0076ADF">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68758A54">
                  <w:pPr>
                    <w:kinsoku w:val="0"/>
                    <w:overflowPunct w:val="0"/>
                    <w:jc w:val="center"/>
                    <w:rPr>
                      <w:rFonts w:eastAsia="宋体"/>
                      <w:bCs/>
                      <w:sz w:val="21"/>
                      <w:szCs w:val="21"/>
                      <w:u w:val="none"/>
                    </w:rPr>
                  </w:pPr>
                </w:p>
              </w:tc>
              <w:tc>
                <w:tcPr>
                  <w:tcW w:w="698" w:type="pct"/>
                  <w:shd w:val="clear" w:color="auto" w:fill="auto"/>
                  <w:noWrap w:val="0"/>
                  <w:vAlign w:val="center"/>
                </w:tcPr>
                <w:p w14:paraId="798E5EFA">
                  <w:pPr>
                    <w:kinsoku w:val="0"/>
                    <w:overflowPunct w:val="0"/>
                    <w:jc w:val="center"/>
                    <w:rPr>
                      <w:rFonts w:hint="eastAsia" w:eastAsia="宋体"/>
                      <w:bCs/>
                      <w:sz w:val="21"/>
                      <w:u w:val="none"/>
                    </w:rPr>
                  </w:pPr>
                  <w:r>
                    <w:rPr>
                      <w:rFonts w:hint="eastAsia" w:eastAsia="宋体"/>
                      <w:bCs/>
                      <w:sz w:val="21"/>
                      <w:u w:val="none"/>
                    </w:rPr>
                    <w:t>甲醇</w:t>
                  </w:r>
                </w:p>
              </w:tc>
              <w:tc>
                <w:tcPr>
                  <w:tcW w:w="573" w:type="pct"/>
                  <w:shd w:val="clear" w:color="auto" w:fill="auto"/>
                  <w:noWrap w:val="0"/>
                  <w:vAlign w:val="center"/>
                </w:tcPr>
                <w:p w14:paraId="5B1BC175">
                  <w:pPr>
                    <w:kinsoku w:val="0"/>
                    <w:overflowPunct w:val="0"/>
                    <w:jc w:val="center"/>
                    <w:rPr>
                      <w:rFonts w:hint="eastAsia" w:eastAsia="宋体"/>
                      <w:bCs/>
                      <w:sz w:val="21"/>
                      <w:u w:val="none"/>
                    </w:rPr>
                  </w:pPr>
                  <w:r>
                    <w:rPr>
                      <w:rFonts w:eastAsia="宋体"/>
                      <w:bCs/>
                      <w:sz w:val="21"/>
                      <w:u w:val="none"/>
                    </w:rPr>
                    <w:t>47</w:t>
                  </w:r>
                </w:p>
              </w:tc>
              <w:tc>
                <w:tcPr>
                  <w:tcW w:w="633" w:type="pct"/>
                  <w:shd w:val="clear" w:color="auto" w:fill="auto"/>
                  <w:noWrap w:val="0"/>
                  <w:vAlign w:val="center"/>
                </w:tcPr>
                <w:p w14:paraId="54544C24">
                  <w:pPr>
                    <w:kinsoku w:val="0"/>
                    <w:overflowPunct w:val="0"/>
                    <w:jc w:val="center"/>
                    <w:rPr>
                      <w:rFonts w:hint="eastAsia" w:eastAsia="宋体"/>
                      <w:bCs/>
                      <w:sz w:val="21"/>
                      <w:u w:val="none"/>
                    </w:rPr>
                  </w:pPr>
                  <w:r>
                    <w:rPr>
                      <w:rFonts w:eastAsia="宋体"/>
                      <w:bCs/>
                      <w:sz w:val="21"/>
                      <w:u w:val="none"/>
                    </w:rPr>
                    <w:t>119422</w:t>
                  </w:r>
                </w:p>
              </w:tc>
              <w:tc>
                <w:tcPr>
                  <w:tcW w:w="702" w:type="pct"/>
                  <w:shd w:val="clear" w:color="auto" w:fill="auto"/>
                  <w:noWrap w:val="0"/>
                  <w:vAlign w:val="center"/>
                </w:tcPr>
                <w:p w14:paraId="7282239B">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CB30E51">
                  <w:pPr>
                    <w:kinsoku w:val="0"/>
                    <w:overflowPunct w:val="0"/>
                    <w:jc w:val="center"/>
                    <w:rPr>
                      <w:rFonts w:hint="eastAsia" w:eastAsia="宋体"/>
                      <w:bCs/>
                      <w:sz w:val="21"/>
                      <w:u w:val="none"/>
                    </w:rPr>
                  </w:pPr>
                  <w:r>
                    <w:rPr>
                      <w:rFonts w:hint="eastAsia" w:eastAsia="宋体"/>
                      <w:bCs/>
                      <w:sz w:val="21"/>
                      <w:u w:val="none"/>
                    </w:rPr>
                    <w:t xml:space="preserve">44.903 </w:t>
                  </w:r>
                </w:p>
              </w:tc>
            </w:tr>
            <w:tr w14:paraId="7215D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70592E1">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22110FC6">
                  <w:pPr>
                    <w:kinsoku w:val="0"/>
                    <w:overflowPunct w:val="0"/>
                    <w:jc w:val="center"/>
                    <w:rPr>
                      <w:rFonts w:eastAsia="宋体"/>
                      <w:bCs/>
                      <w:sz w:val="21"/>
                      <w:szCs w:val="21"/>
                      <w:u w:val="none"/>
                    </w:rPr>
                  </w:pPr>
                </w:p>
              </w:tc>
              <w:tc>
                <w:tcPr>
                  <w:tcW w:w="698" w:type="pct"/>
                  <w:shd w:val="clear" w:color="auto" w:fill="auto"/>
                  <w:noWrap w:val="0"/>
                  <w:vAlign w:val="center"/>
                </w:tcPr>
                <w:p w14:paraId="32A345F6">
                  <w:pPr>
                    <w:kinsoku w:val="0"/>
                    <w:overflowPunct w:val="0"/>
                    <w:jc w:val="center"/>
                    <w:rPr>
                      <w:rFonts w:hint="eastAsia" w:eastAsia="宋体"/>
                      <w:bCs/>
                      <w:sz w:val="21"/>
                      <w:u w:val="none"/>
                    </w:rPr>
                  </w:pPr>
                  <w:r>
                    <w:rPr>
                      <w:rFonts w:hint="eastAsia" w:eastAsia="宋体"/>
                      <w:bCs/>
                      <w:sz w:val="21"/>
                      <w:u w:val="none"/>
                    </w:rPr>
                    <w:t>硫化氢</w:t>
                  </w:r>
                </w:p>
              </w:tc>
              <w:tc>
                <w:tcPr>
                  <w:tcW w:w="573" w:type="pct"/>
                  <w:shd w:val="clear" w:color="auto" w:fill="auto"/>
                  <w:noWrap w:val="0"/>
                  <w:vAlign w:val="center"/>
                </w:tcPr>
                <w:p w14:paraId="296DA48E">
                  <w:pPr>
                    <w:kinsoku w:val="0"/>
                    <w:overflowPunct w:val="0"/>
                    <w:jc w:val="center"/>
                    <w:rPr>
                      <w:rFonts w:hint="eastAsia" w:eastAsia="宋体"/>
                      <w:bCs/>
                      <w:sz w:val="21"/>
                      <w:u w:val="none"/>
                    </w:rPr>
                  </w:pPr>
                  <w:r>
                    <w:rPr>
                      <w:rFonts w:eastAsia="宋体"/>
                      <w:bCs/>
                      <w:sz w:val="21"/>
                      <w:u w:val="none"/>
                    </w:rPr>
                    <w:t>0.85</w:t>
                  </w:r>
                </w:p>
              </w:tc>
              <w:tc>
                <w:tcPr>
                  <w:tcW w:w="633" w:type="pct"/>
                  <w:shd w:val="clear" w:color="auto" w:fill="auto"/>
                  <w:noWrap w:val="0"/>
                  <w:vAlign w:val="center"/>
                </w:tcPr>
                <w:p w14:paraId="2D56339E">
                  <w:pPr>
                    <w:kinsoku w:val="0"/>
                    <w:overflowPunct w:val="0"/>
                    <w:jc w:val="center"/>
                    <w:rPr>
                      <w:rFonts w:hint="eastAsia" w:eastAsia="宋体"/>
                      <w:bCs/>
                      <w:sz w:val="21"/>
                      <w:u w:val="none"/>
                    </w:rPr>
                  </w:pPr>
                  <w:r>
                    <w:rPr>
                      <w:rFonts w:eastAsia="宋体"/>
                      <w:bCs/>
                      <w:sz w:val="21"/>
                      <w:u w:val="none"/>
                    </w:rPr>
                    <w:t>119422</w:t>
                  </w:r>
                </w:p>
              </w:tc>
              <w:tc>
                <w:tcPr>
                  <w:tcW w:w="702" w:type="pct"/>
                  <w:shd w:val="clear" w:color="auto" w:fill="auto"/>
                  <w:noWrap w:val="0"/>
                  <w:vAlign w:val="center"/>
                </w:tcPr>
                <w:p w14:paraId="59256F86">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D7CF433">
                  <w:pPr>
                    <w:kinsoku w:val="0"/>
                    <w:overflowPunct w:val="0"/>
                    <w:jc w:val="center"/>
                    <w:rPr>
                      <w:rFonts w:hint="eastAsia" w:eastAsia="宋体"/>
                      <w:bCs/>
                      <w:sz w:val="21"/>
                      <w:u w:val="none"/>
                    </w:rPr>
                  </w:pPr>
                  <w:r>
                    <w:rPr>
                      <w:rFonts w:hint="eastAsia" w:eastAsia="宋体"/>
                      <w:bCs/>
                      <w:sz w:val="21"/>
                      <w:u w:val="none"/>
                    </w:rPr>
                    <w:t xml:space="preserve">0.812 </w:t>
                  </w:r>
                </w:p>
              </w:tc>
            </w:tr>
            <w:tr w14:paraId="39ED2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39DCD9D0">
                  <w:pPr>
                    <w:kinsoku w:val="0"/>
                    <w:overflowPunct w:val="0"/>
                    <w:jc w:val="center"/>
                    <w:rPr>
                      <w:rFonts w:eastAsia="宋体"/>
                      <w:bCs/>
                      <w:sz w:val="21"/>
                      <w:szCs w:val="21"/>
                      <w:u w:val="none"/>
                    </w:rPr>
                  </w:pPr>
                </w:p>
              </w:tc>
              <w:tc>
                <w:tcPr>
                  <w:tcW w:w="1034" w:type="pct"/>
                  <w:vMerge w:val="restart"/>
                  <w:shd w:val="clear" w:color="auto" w:fill="auto"/>
                  <w:noWrap w:val="0"/>
                  <w:vAlign w:val="center"/>
                </w:tcPr>
                <w:p w14:paraId="7D38271D">
                  <w:pPr>
                    <w:kinsoku w:val="0"/>
                    <w:overflowPunct w:val="0"/>
                    <w:jc w:val="center"/>
                    <w:rPr>
                      <w:rFonts w:eastAsia="宋体"/>
                      <w:bCs/>
                      <w:sz w:val="21"/>
                      <w:szCs w:val="21"/>
                      <w:u w:val="none"/>
                    </w:rPr>
                  </w:pPr>
                  <w:r>
                    <w:rPr>
                      <w:rFonts w:hint="eastAsia" w:eastAsia="宋体"/>
                      <w:bCs/>
                      <w:sz w:val="21"/>
                      <w:szCs w:val="21"/>
                      <w:u w:val="none"/>
                    </w:rPr>
                    <w:t>DA045</w:t>
                  </w:r>
                </w:p>
              </w:tc>
              <w:tc>
                <w:tcPr>
                  <w:tcW w:w="698" w:type="pct"/>
                  <w:shd w:val="clear" w:color="auto" w:fill="auto"/>
                  <w:noWrap w:val="0"/>
                  <w:vAlign w:val="center"/>
                </w:tcPr>
                <w:p w14:paraId="388A4DAF">
                  <w:pPr>
                    <w:kinsoku w:val="0"/>
                    <w:overflowPunct w:val="0"/>
                    <w:jc w:val="center"/>
                    <w:rPr>
                      <w:rFonts w:hint="eastAsia" w:eastAsia="宋体"/>
                      <w:bCs/>
                      <w:sz w:val="21"/>
                      <w:u w:val="none"/>
                    </w:rPr>
                  </w:pPr>
                  <w:r>
                    <w:rPr>
                      <w:rFonts w:hint="eastAsia" w:eastAsia="宋体"/>
                      <w:bCs/>
                      <w:sz w:val="21"/>
                      <w:u w:val="none"/>
                    </w:rPr>
                    <w:t>非甲烷总烃</w:t>
                  </w:r>
                </w:p>
              </w:tc>
              <w:tc>
                <w:tcPr>
                  <w:tcW w:w="573" w:type="pct"/>
                  <w:shd w:val="clear" w:color="auto" w:fill="auto"/>
                  <w:noWrap w:val="0"/>
                  <w:vAlign w:val="center"/>
                </w:tcPr>
                <w:p w14:paraId="2C5CEAA3">
                  <w:pPr>
                    <w:kinsoku w:val="0"/>
                    <w:overflowPunct w:val="0"/>
                    <w:jc w:val="center"/>
                    <w:rPr>
                      <w:rFonts w:hint="eastAsia" w:eastAsia="宋体"/>
                      <w:bCs/>
                      <w:sz w:val="21"/>
                      <w:u w:val="none"/>
                    </w:rPr>
                  </w:pPr>
                  <w:r>
                    <w:rPr>
                      <w:rFonts w:eastAsia="宋体"/>
                      <w:bCs/>
                      <w:sz w:val="21"/>
                      <w:u w:val="none"/>
                    </w:rPr>
                    <w:t>96.5</w:t>
                  </w:r>
                </w:p>
              </w:tc>
              <w:tc>
                <w:tcPr>
                  <w:tcW w:w="633" w:type="pct"/>
                  <w:shd w:val="clear" w:color="auto" w:fill="auto"/>
                  <w:noWrap w:val="0"/>
                  <w:vAlign w:val="center"/>
                </w:tcPr>
                <w:p w14:paraId="2686C96F">
                  <w:pPr>
                    <w:kinsoku w:val="0"/>
                    <w:overflowPunct w:val="0"/>
                    <w:jc w:val="center"/>
                    <w:rPr>
                      <w:rFonts w:hint="eastAsia" w:eastAsia="宋体"/>
                      <w:bCs/>
                      <w:sz w:val="21"/>
                      <w:u w:val="none"/>
                    </w:rPr>
                  </w:pPr>
                  <w:r>
                    <w:rPr>
                      <w:rFonts w:eastAsia="宋体"/>
                      <w:bCs/>
                      <w:sz w:val="21"/>
                      <w:u w:val="none"/>
                    </w:rPr>
                    <w:t>119422</w:t>
                  </w:r>
                </w:p>
              </w:tc>
              <w:tc>
                <w:tcPr>
                  <w:tcW w:w="702" w:type="pct"/>
                  <w:shd w:val="clear" w:color="auto" w:fill="auto"/>
                  <w:noWrap w:val="0"/>
                  <w:vAlign w:val="center"/>
                </w:tcPr>
                <w:p w14:paraId="6F6217D7">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C004DC6">
                  <w:pPr>
                    <w:kinsoku w:val="0"/>
                    <w:overflowPunct w:val="0"/>
                    <w:jc w:val="center"/>
                    <w:rPr>
                      <w:rFonts w:hint="eastAsia" w:eastAsia="宋体"/>
                      <w:bCs/>
                      <w:sz w:val="21"/>
                      <w:u w:val="none"/>
                    </w:rPr>
                  </w:pPr>
                  <w:r>
                    <w:rPr>
                      <w:rFonts w:hint="eastAsia" w:eastAsia="宋体"/>
                      <w:bCs/>
                      <w:sz w:val="21"/>
                      <w:u w:val="none"/>
                    </w:rPr>
                    <w:t xml:space="preserve">92.194 </w:t>
                  </w:r>
                </w:p>
              </w:tc>
            </w:tr>
            <w:tr w14:paraId="42D99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4C6B01DC">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2A68F4BC">
                  <w:pPr>
                    <w:kinsoku w:val="0"/>
                    <w:overflowPunct w:val="0"/>
                    <w:jc w:val="center"/>
                    <w:rPr>
                      <w:rFonts w:eastAsia="宋体"/>
                      <w:bCs/>
                      <w:sz w:val="21"/>
                      <w:szCs w:val="21"/>
                      <w:u w:val="none"/>
                    </w:rPr>
                  </w:pPr>
                </w:p>
              </w:tc>
              <w:tc>
                <w:tcPr>
                  <w:tcW w:w="698" w:type="pct"/>
                  <w:shd w:val="clear" w:color="auto" w:fill="auto"/>
                  <w:noWrap w:val="0"/>
                  <w:vAlign w:val="center"/>
                </w:tcPr>
                <w:p w14:paraId="793B127C">
                  <w:pPr>
                    <w:kinsoku w:val="0"/>
                    <w:overflowPunct w:val="0"/>
                    <w:jc w:val="center"/>
                    <w:rPr>
                      <w:rFonts w:hint="eastAsia" w:eastAsia="宋体"/>
                      <w:bCs/>
                      <w:sz w:val="21"/>
                      <w:u w:val="none"/>
                    </w:rPr>
                  </w:pPr>
                  <w:r>
                    <w:rPr>
                      <w:rFonts w:hint="eastAsia" w:eastAsia="宋体"/>
                      <w:bCs/>
                      <w:sz w:val="21"/>
                      <w:u w:val="none"/>
                    </w:rPr>
                    <w:t>甲醇</w:t>
                  </w:r>
                </w:p>
              </w:tc>
              <w:tc>
                <w:tcPr>
                  <w:tcW w:w="573" w:type="pct"/>
                  <w:shd w:val="clear" w:color="auto" w:fill="auto"/>
                  <w:noWrap w:val="0"/>
                  <w:vAlign w:val="center"/>
                </w:tcPr>
                <w:p w14:paraId="28334FE7">
                  <w:pPr>
                    <w:kinsoku w:val="0"/>
                    <w:overflowPunct w:val="0"/>
                    <w:jc w:val="center"/>
                    <w:rPr>
                      <w:rFonts w:eastAsia="宋体"/>
                      <w:bCs/>
                      <w:sz w:val="21"/>
                      <w:u w:val="none"/>
                    </w:rPr>
                  </w:pPr>
                  <w:r>
                    <w:rPr>
                      <w:rFonts w:hint="eastAsia" w:eastAsia="宋体"/>
                      <w:bCs/>
                      <w:sz w:val="21"/>
                      <w:u w:val="none"/>
                    </w:rPr>
                    <w:t>24</w:t>
                  </w:r>
                </w:p>
              </w:tc>
              <w:tc>
                <w:tcPr>
                  <w:tcW w:w="633" w:type="pct"/>
                  <w:shd w:val="clear" w:color="auto" w:fill="auto"/>
                  <w:noWrap w:val="0"/>
                  <w:vAlign w:val="center"/>
                </w:tcPr>
                <w:p w14:paraId="1F33F272">
                  <w:pPr>
                    <w:kinsoku w:val="0"/>
                    <w:overflowPunct w:val="0"/>
                    <w:jc w:val="center"/>
                    <w:rPr>
                      <w:rFonts w:hint="eastAsia" w:eastAsia="宋体"/>
                      <w:bCs/>
                      <w:sz w:val="21"/>
                      <w:u w:val="none"/>
                    </w:rPr>
                  </w:pPr>
                  <w:r>
                    <w:rPr>
                      <w:rFonts w:eastAsia="宋体"/>
                      <w:bCs/>
                      <w:sz w:val="21"/>
                      <w:u w:val="none"/>
                    </w:rPr>
                    <w:t>119422</w:t>
                  </w:r>
                </w:p>
              </w:tc>
              <w:tc>
                <w:tcPr>
                  <w:tcW w:w="702" w:type="pct"/>
                  <w:shd w:val="clear" w:color="auto" w:fill="auto"/>
                  <w:noWrap w:val="0"/>
                  <w:vAlign w:val="center"/>
                </w:tcPr>
                <w:p w14:paraId="7C563369">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CC23F6D">
                  <w:pPr>
                    <w:kinsoku w:val="0"/>
                    <w:overflowPunct w:val="0"/>
                    <w:jc w:val="center"/>
                    <w:rPr>
                      <w:rFonts w:hint="eastAsia" w:eastAsia="宋体"/>
                      <w:bCs/>
                      <w:sz w:val="21"/>
                      <w:u w:val="none"/>
                    </w:rPr>
                  </w:pPr>
                  <w:r>
                    <w:rPr>
                      <w:rFonts w:hint="eastAsia" w:eastAsia="宋体"/>
                      <w:bCs/>
                      <w:sz w:val="21"/>
                      <w:u w:val="none"/>
                    </w:rPr>
                    <w:t xml:space="preserve">22.929 </w:t>
                  </w:r>
                </w:p>
              </w:tc>
            </w:tr>
            <w:tr w14:paraId="7D0C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tcBorders>
                    <w:bottom w:val="single" w:color="000000" w:sz="4" w:space="0"/>
                  </w:tcBorders>
                  <w:shd w:val="clear" w:color="auto" w:fill="auto"/>
                  <w:noWrap w:val="0"/>
                  <w:vAlign w:val="center"/>
                </w:tcPr>
                <w:p w14:paraId="096F32C3">
                  <w:pPr>
                    <w:kinsoku w:val="0"/>
                    <w:overflowPunct w:val="0"/>
                    <w:jc w:val="center"/>
                    <w:rPr>
                      <w:rFonts w:hint="eastAsia" w:eastAsia="宋体"/>
                      <w:bCs/>
                      <w:sz w:val="21"/>
                      <w:szCs w:val="21"/>
                      <w:u w:val="none"/>
                    </w:rPr>
                  </w:pPr>
                </w:p>
              </w:tc>
              <w:tc>
                <w:tcPr>
                  <w:tcW w:w="1034" w:type="pct"/>
                  <w:vMerge w:val="continue"/>
                  <w:tcBorders>
                    <w:bottom w:val="single" w:color="000000" w:sz="4" w:space="0"/>
                  </w:tcBorders>
                  <w:shd w:val="clear" w:color="auto" w:fill="auto"/>
                  <w:noWrap w:val="0"/>
                  <w:vAlign w:val="center"/>
                </w:tcPr>
                <w:p w14:paraId="37A1CA5A">
                  <w:pPr>
                    <w:kinsoku w:val="0"/>
                    <w:overflowPunct w:val="0"/>
                    <w:jc w:val="center"/>
                    <w:rPr>
                      <w:rFonts w:eastAsia="宋体"/>
                      <w:bCs/>
                      <w:sz w:val="21"/>
                      <w:szCs w:val="21"/>
                      <w:u w:val="none"/>
                    </w:rPr>
                  </w:pPr>
                </w:p>
              </w:tc>
              <w:tc>
                <w:tcPr>
                  <w:tcW w:w="698" w:type="pct"/>
                  <w:tcBorders>
                    <w:bottom w:val="single" w:color="000000" w:sz="4" w:space="0"/>
                  </w:tcBorders>
                  <w:shd w:val="clear" w:color="auto" w:fill="auto"/>
                  <w:noWrap w:val="0"/>
                  <w:vAlign w:val="center"/>
                </w:tcPr>
                <w:p w14:paraId="6DD2136B">
                  <w:pPr>
                    <w:kinsoku w:val="0"/>
                    <w:overflowPunct w:val="0"/>
                    <w:jc w:val="center"/>
                    <w:rPr>
                      <w:rFonts w:hint="eastAsia" w:eastAsia="宋体"/>
                      <w:bCs/>
                      <w:sz w:val="21"/>
                      <w:u w:val="none"/>
                    </w:rPr>
                  </w:pPr>
                  <w:r>
                    <w:rPr>
                      <w:rFonts w:hint="eastAsia" w:eastAsia="宋体"/>
                      <w:bCs/>
                      <w:sz w:val="21"/>
                      <w:u w:val="none"/>
                    </w:rPr>
                    <w:t>硫化氢</w:t>
                  </w:r>
                </w:p>
              </w:tc>
              <w:tc>
                <w:tcPr>
                  <w:tcW w:w="573" w:type="pct"/>
                  <w:tcBorders>
                    <w:bottom w:val="single" w:color="000000" w:sz="4" w:space="0"/>
                  </w:tcBorders>
                  <w:shd w:val="clear" w:color="auto" w:fill="auto"/>
                  <w:noWrap w:val="0"/>
                  <w:vAlign w:val="center"/>
                </w:tcPr>
                <w:p w14:paraId="5564C283">
                  <w:pPr>
                    <w:kinsoku w:val="0"/>
                    <w:overflowPunct w:val="0"/>
                    <w:jc w:val="center"/>
                    <w:rPr>
                      <w:rFonts w:hint="eastAsia" w:eastAsia="宋体"/>
                      <w:bCs/>
                      <w:sz w:val="21"/>
                      <w:u w:val="none"/>
                    </w:rPr>
                  </w:pPr>
                  <w:r>
                    <w:rPr>
                      <w:rFonts w:eastAsia="宋体"/>
                      <w:bCs/>
                      <w:sz w:val="21"/>
                      <w:u w:val="none"/>
                    </w:rPr>
                    <w:t>0.8</w:t>
                  </w:r>
                  <w:r>
                    <w:rPr>
                      <w:rFonts w:hint="eastAsia" w:eastAsia="宋体"/>
                      <w:bCs/>
                      <w:sz w:val="21"/>
                      <w:u w:val="none"/>
                    </w:rPr>
                    <w:t>1</w:t>
                  </w:r>
                </w:p>
              </w:tc>
              <w:tc>
                <w:tcPr>
                  <w:tcW w:w="633" w:type="pct"/>
                  <w:tcBorders>
                    <w:bottom w:val="single" w:color="000000" w:sz="4" w:space="0"/>
                  </w:tcBorders>
                  <w:shd w:val="clear" w:color="auto" w:fill="auto"/>
                  <w:noWrap w:val="0"/>
                  <w:vAlign w:val="center"/>
                </w:tcPr>
                <w:p w14:paraId="13F71F91">
                  <w:pPr>
                    <w:kinsoku w:val="0"/>
                    <w:overflowPunct w:val="0"/>
                    <w:jc w:val="center"/>
                    <w:rPr>
                      <w:rFonts w:hint="eastAsia" w:eastAsia="宋体"/>
                      <w:bCs/>
                      <w:sz w:val="21"/>
                      <w:u w:val="none"/>
                    </w:rPr>
                  </w:pPr>
                  <w:r>
                    <w:rPr>
                      <w:rFonts w:eastAsia="宋体"/>
                      <w:bCs/>
                      <w:sz w:val="21"/>
                      <w:u w:val="none"/>
                    </w:rPr>
                    <w:t>119422</w:t>
                  </w:r>
                </w:p>
              </w:tc>
              <w:tc>
                <w:tcPr>
                  <w:tcW w:w="702" w:type="pct"/>
                  <w:tcBorders>
                    <w:bottom w:val="single" w:color="000000" w:sz="4" w:space="0"/>
                  </w:tcBorders>
                  <w:shd w:val="clear" w:color="auto" w:fill="auto"/>
                  <w:noWrap w:val="0"/>
                  <w:vAlign w:val="center"/>
                </w:tcPr>
                <w:p w14:paraId="46946D69">
                  <w:pPr>
                    <w:kinsoku w:val="0"/>
                    <w:overflowPunct w:val="0"/>
                    <w:jc w:val="center"/>
                    <w:rPr>
                      <w:rFonts w:hint="eastAsia" w:eastAsia="宋体"/>
                      <w:bCs/>
                      <w:sz w:val="21"/>
                      <w:u w:val="none"/>
                    </w:rPr>
                  </w:pPr>
                  <w:r>
                    <w:rPr>
                      <w:rFonts w:eastAsia="宋体"/>
                      <w:bCs/>
                      <w:sz w:val="21"/>
                      <w:u w:val="none"/>
                    </w:rPr>
                    <w:t>8000</w:t>
                  </w:r>
                </w:p>
              </w:tc>
              <w:tc>
                <w:tcPr>
                  <w:tcW w:w="701" w:type="pct"/>
                  <w:tcBorders>
                    <w:bottom w:val="single" w:color="000000" w:sz="4" w:space="0"/>
                  </w:tcBorders>
                  <w:shd w:val="clear" w:color="auto" w:fill="auto"/>
                  <w:noWrap w:val="0"/>
                  <w:vAlign w:val="center"/>
                </w:tcPr>
                <w:p w14:paraId="764BBB22">
                  <w:pPr>
                    <w:kinsoku w:val="0"/>
                    <w:overflowPunct w:val="0"/>
                    <w:jc w:val="center"/>
                    <w:rPr>
                      <w:rFonts w:hint="eastAsia" w:eastAsia="宋体"/>
                      <w:bCs/>
                      <w:sz w:val="21"/>
                      <w:u w:val="none"/>
                    </w:rPr>
                  </w:pPr>
                  <w:r>
                    <w:rPr>
                      <w:rFonts w:hint="eastAsia" w:eastAsia="宋体"/>
                      <w:bCs/>
                      <w:sz w:val="21"/>
                      <w:u w:val="none"/>
                    </w:rPr>
                    <w:t xml:space="preserve">0.774 </w:t>
                  </w:r>
                </w:p>
              </w:tc>
            </w:tr>
            <w:tr w14:paraId="0E85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0F52A33D">
                  <w:pPr>
                    <w:kinsoku w:val="0"/>
                    <w:overflowPunct w:val="0"/>
                    <w:jc w:val="center"/>
                    <w:rPr>
                      <w:rFonts w:eastAsia="宋体"/>
                      <w:bCs/>
                      <w:sz w:val="21"/>
                      <w:szCs w:val="21"/>
                      <w:u w:val="none"/>
                    </w:rPr>
                  </w:pPr>
                  <w:r>
                    <w:rPr>
                      <w:rFonts w:eastAsia="宋体"/>
                      <w:bCs/>
                      <w:sz w:val="21"/>
                      <w:szCs w:val="21"/>
                      <w:u w:val="none"/>
                    </w:rPr>
                    <w:t>硫回收</w:t>
                  </w:r>
                </w:p>
              </w:tc>
              <w:tc>
                <w:tcPr>
                  <w:tcW w:w="1034" w:type="pct"/>
                  <w:vMerge w:val="restart"/>
                  <w:shd w:val="clear" w:color="auto" w:fill="auto"/>
                  <w:noWrap w:val="0"/>
                  <w:vAlign w:val="center"/>
                </w:tcPr>
                <w:p w14:paraId="68CFFFD3">
                  <w:pPr>
                    <w:kinsoku w:val="0"/>
                    <w:overflowPunct w:val="0"/>
                    <w:jc w:val="center"/>
                    <w:rPr>
                      <w:rFonts w:eastAsia="宋体"/>
                      <w:bCs/>
                      <w:sz w:val="21"/>
                      <w:szCs w:val="21"/>
                      <w:u w:val="none"/>
                    </w:rPr>
                  </w:pPr>
                  <w:r>
                    <w:rPr>
                      <w:rFonts w:hint="eastAsia" w:eastAsia="宋体"/>
                      <w:bCs/>
                      <w:sz w:val="21"/>
                      <w:szCs w:val="21"/>
                      <w:u w:val="none"/>
                    </w:rPr>
                    <w:t>DA044</w:t>
                  </w:r>
                </w:p>
              </w:tc>
              <w:tc>
                <w:tcPr>
                  <w:tcW w:w="698" w:type="pct"/>
                  <w:shd w:val="clear" w:color="auto" w:fill="auto"/>
                  <w:noWrap w:val="0"/>
                  <w:vAlign w:val="center"/>
                </w:tcPr>
                <w:p w14:paraId="59153432">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u w:val="none"/>
                    </w:rPr>
                    <w:t>颗粒物</w:t>
                  </w:r>
                </w:p>
              </w:tc>
              <w:tc>
                <w:tcPr>
                  <w:tcW w:w="573" w:type="pct"/>
                  <w:shd w:val="clear" w:color="auto" w:fill="auto"/>
                  <w:noWrap w:val="0"/>
                  <w:vAlign w:val="center"/>
                </w:tcPr>
                <w:p w14:paraId="0A5BB6CC">
                  <w:pPr>
                    <w:widowControl/>
                    <w:jc w:val="center"/>
                    <w:textAlignment w:val="center"/>
                    <w:rPr>
                      <w:rFonts w:eastAsia="宋体"/>
                      <w:bCs/>
                      <w:sz w:val="21"/>
                      <w:u w:val="none"/>
                    </w:rPr>
                  </w:pPr>
                  <w:r>
                    <w:rPr>
                      <w:rFonts w:eastAsia="宋体"/>
                      <w:kern w:val="0"/>
                      <w:sz w:val="21"/>
                      <w:szCs w:val="21"/>
                      <w:u w:val="none"/>
                      <w:lang w:bidi="ar"/>
                    </w:rPr>
                    <w:t>16.8</w:t>
                  </w:r>
                </w:p>
              </w:tc>
              <w:tc>
                <w:tcPr>
                  <w:tcW w:w="633" w:type="pct"/>
                  <w:shd w:val="clear" w:color="auto" w:fill="auto"/>
                  <w:noWrap w:val="0"/>
                  <w:vAlign w:val="center"/>
                </w:tcPr>
                <w:p w14:paraId="70097AFD">
                  <w:pPr>
                    <w:kinsoku w:val="0"/>
                    <w:overflowPunct w:val="0"/>
                    <w:jc w:val="center"/>
                    <w:rPr>
                      <w:rFonts w:hint="eastAsia" w:eastAsia="宋体"/>
                      <w:bCs/>
                      <w:sz w:val="21"/>
                      <w:u w:val="none"/>
                    </w:rPr>
                  </w:pPr>
                  <w:r>
                    <w:rPr>
                      <w:rFonts w:eastAsia="宋体"/>
                      <w:bCs/>
                      <w:sz w:val="21"/>
                      <w:u w:val="none"/>
                    </w:rPr>
                    <w:t>51243</w:t>
                  </w:r>
                </w:p>
              </w:tc>
              <w:tc>
                <w:tcPr>
                  <w:tcW w:w="702" w:type="pct"/>
                  <w:shd w:val="clear" w:color="auto" w:fill="auto"/>
                  <w:noWrap w:val="0"/>
                  <w:vAlign w:val="center"/>
                </w:tcPr>
                <w:p w14:paraId="156FE971">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5591B18">
                  <w:pPr>
                    <w:kinsoku w:val="0"/>
                    <w:overflowPunct w:val="0"/>
                    <w:jc w:val="center"/>
                    <w:rPr>
                      <w:rFonts w:hint="eastAsia" w:eastAsia="宋体"/>
                      <w:bCs/>
                      <w:sz w:val="21"/>
                      <w:u w:val="none"/>
                    </w:rPr>
                  </w:pPr>
                  <w:r>
                    <w:rPr>
                      <w:rFonts w:hint="eastAsia" w:eastAsia="宋体"/>
                      <w:bCs/>
                      <w:sz w:val="21"/>
                      <w:u w:val="none"/>
                    </w:rPr>
                    <w:t xml:space="preserve">6.887 </w:t>
                  </w:r>
                </w:p>
              </w:tc>
            </w:tr>
            <w:tr w14:paraId="1762B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19F330D6">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1C15B34F">
                  <w:pPr>
                    <w:kinsoku w:val="0"/>
                    <w:overflowPunct w:val="0"/>
                    <w:jc w:val="center"/>
                    <w:rPr>
                      <w:rFonts w:eastAsia="宋体"/>
                      <w:bCs/>
                      <w:sz w:val="21"/>
                      <w:szCs w:val="21"/>
                      <w:u w:val="none"/>
                    </w:rPr>
                  </w:pPr>
                </w:p>
              </w:tc>
              <w:tc>
                <w:tcPr>
                  <w:tcW w:w="698" w:type="pct"/>
                  <w:shd w:val="clear" w:color="auto" w:fill="auto"/>
                  <w:noWrap w:val="0"/>
                  <w:vAlign w:val="center"/>
                </w:tcPr>
                <w:p w14:paraId="4FFDE16F">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氮氧化物</w:t>
                  </w:r>
                </w:p>
              </w:tc>
              <w:tc>
                <w:tcPr>
                  <w:tcW w:w="573" w:type="pct"/>
                  <w:shd w:val="clear" w:color="auto" w:fill="auto"/>
                  <w:noWrap w:val="0"/>
                  <w:vAlign w:val="center"/>
                </w:tcPr>
                <w:p w14:paraId="09E67FAF">
                  <w:pPr>
                    <w:widowControl/>
                    <w:jc w:val="center"/>
                    <w:textAlignment w:val="center"/>
                    <w:rPr>
                      <w:rFonts w:eastAsia="宋体"/>
                      <w:bCs/>
                      <w:sz w:val="21"/>
                      <w:u w:val="none"/>
                    </w:rPr>
                  </w:pPr>
                  <w:r>
                    <w:rPr>
                      <w:rFonts w:eastAsia="宋体"/>
                      <w:kern w:val="0"/>
                      <w:sz w:val="21"/>
                      <w:szCs w:val="21"/>
                      <w:u w:val="none"/>
                      <w:lang w:bidi="ar"/>
                    </w:rPr>
                    <w:t>50</w:t>
                  </w:r>
                </w:p>
              </w:tc>
              <w:tc>
                <w:tcPr>
                  <w:tcW w:w="633" w:type="pct"/>
                  <w:shd w:val="clear" w:color="auto" w:fill="auto"/>
                  <w:noWrap w:val="0"/>
                  <w:vAlign w:val="center"/>
                </w:tcPr>
                <w:p w14:paraId="1754E25F">
                  <w:pPr>
                    <w:kinsoku w:val="0"/>
                    <w:overflowPunct w:val="0"/>
                    <w:jc w:val="center"/>
                    <w:rPr>
                      <w:rFonts w:hint="eastAsia" w:eastAsia="宋体"/>
                      <w:bCs/>
                      <w:sz w:val="21"/>
                      <w:u w:val="none"/>
                    </w:rPr>
                  </w:pPr>
                  <w:r>
                    <w:rPr>
                      <w:rFonts w:eastAsia="宋体"/>
                      <w:bCs/>
                      <w:sz w:val="21"/>
                      <w:u w:val="none"/>
                    </w:rPr>
                    <w:t>51243</w:t>
                  </w:r>
                </w:p>
              </w:tc>
              <w:tc>
                <w:tcPr>
                  <w:tcW w:w="702" w:type="pct"/>
                  <w:shd w:val="clear" w:color="auto" w:fill="auto"/>
                  <w:noWrap w:val="0"/>
                  <w:vAlign w:val="center"/>
                </w:tcPr>
                <w:p w14:paraId="1C1C149E">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0F3F576">
                  <w:pPr>
                    <w:kinsoku w:val="0"/>
                    <w:overflowPunct w:val="0"/>
                    <w:jc w:val="center"/>
                    <w:rPr>
                      <w:rFonts w:hint="eastAsia" w:eastAsia="宋体"/>
                      <w:bCs/>
                      <w:sz w:val="21"/>
                      <w:u w:val="none"/>
                    </w:rPr>
                  </w:pPr>
                  <w:r>
                    <w:rPr>
                      <w:rFonts w:hint="eastAsia" w:eastAsia="宋体"/>
                      <w:bCs/>
                      <w:sz w:val="21"/>
                      <w:u w:val="none"/>
                    </w:rPr>
                    <w:t xml:space="preserve">20.497 </w:t>
                  </w:r>
                </w:p>
              </w:tc>
            </w:tr>
            <w:tr w14:paraId="5F9D7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60F6CD51">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569476A4">
                  <w:pPr>
                    <w:kinsoku w:val="0"/>
                    <w:overflowPunct w:val="0"/>
                    <w:jc w:val="center"/>
                    <w:rPr>
                      <w:rFonts w:eastAsia="宋体"/>
                      <w:bCs/>
                      <w:sz w:val="21"/>
                      <w:szCs w:val="21"/>
                      <w:u w:val="none"/>
                    </w:rPr>
                  </w:pPr>
                </w:p>
              </w:tc>
              <w:tc>
                <w:tcPr>
                  <w:tcW w:w="698" w:type="pct"/>
                  <w:shd w:val="clear" w:color="auto" w:fill="auto"/>
                  <w:noWrap w:val="0"/>
                  <w:vAlign w:val="center"/>
                </w:tcPr>
                <w:p w14:paraId="64B57E6B">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u w:val="none"/>
                    </w:rPr>
                  </w:pPr>
                  <w:r>
                    <w:rPr>
                      <w:rFonts w:hint="eastAsia" w:ascii="Times New Roman" w:hAnsi="Times New Roman"/>
                      <w:u w:val="none"/>
                    </w:rPr>
                    <w:t>二氧化硫</w:t>
                  </w:r>
                </w:p>
              </w:tc>
              <w:tc>
                <w:tcPr>
                  <w:tcW w:w="573" w:type="pct"/>
                  <w:shd w:val="clear" w:color="auto" w:fill="auto"/>
                  <w:noWrap w:val="0"/>
                  <w:vAlign w:val="center"/>
                </w:tcPr>
                <w:p w14:paraId="6E029AE1">
                  <w:pPr>
                    <w:widowControl/>
                    <w:jc w:val="center"/>
                    <w:textAlignment w:val="center"/>
                    <w:rPr>
                      <w:rFonts w:eastAsia="宋体"/>
                      <w:bCs/>
                      <w:sz w:val="21"/>
                      <w:u w:val="none"/>
                    </w:rPr>
                  </w:pPr>
                  <w:r>
                    <w:rPr>
                      <w:rFonts w:eastAsia="宋体"/>
                      <w:kern w:val="0"/>
                      <w:sz w:val="21"/>
                      <w:szCs w:val="21"/>
                      <w:u w:val="none"/>
                      <w:lang w:bidi="ar"/>
                    </w:rPr>
                    <w:t>398</w:t>
                  </w:r>
                </w:p>
              </w:tc>
              <w:tc>
                <w:tcPr>
                  <w:tcW w:w="633" w:type="pct"/>
                  <w:shd w:val="clear" w:color="auto" w:fill="auto"/>
                  <w:noWrap w:val="0"/>
                  <w:vAlign w:val="center"/>
                </w:tcPr>
                <w:p w14:paraId="294BF0CB">
                  <w:pPr>
                    <w:kinsoku w:val="0"/>
                    <w:overflowPunct w:val="0"/>
                    <w:jc w:val="center"/>
                    <w:rPr>
                      <w:rFonts w:hint="eastAsia" w:eastAsia="宋体"/>
                      <w:bCs/>
                      <w:sz w:val="21"/>
                      <w:u w:val="none"/>
                    </w:rPr>
                  </w:pPr>
                  <w:r>
                    <w:rPr>
                      <w:rFonts w:eastAsia="宋体"/>
                      <w:bCs/>
                      <w:sz w:val="21"/>
                      <w:u w:val="none"/>
                    </w:rPr>
                    <w:t>51243</w:t>
                  </w:r>
                </w:p>
              </w:tc>
              <w:tc>
                <w:tcPr>
                  <w:tcW w:w="702" w:type="pct"/>
                  <w:shd w:val="clear" w:color="auto" w:fill="auto"/>
                  <w:noWrap w:val="0"/>
                  <w:vAlign w:val="center"/>
                </w:tcPr>
                <w:p w14:paraId="35E23F22">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5F5DA78A">
                  <w:pPr>
                    <w:kinsoku w:val="0"/>
                    <w:overflowPunct w:val="0"/>
                    <w:jc w:val="center"/>
                    <w:rPr>
                      <w:rFonts w:hint="eastAsia" w:eastAsia="宋体"/>
                      <w:bCs/>
                      <w:sz w:val="21"/>
                      <w:u w:val="none"/>
                    </w:rPr>
                  </w:pPr>
                  <w:r>
                    <w:rPr>
                      <w:rFonts w:hint="eastAsia" w:eastAsia="宋体"/>
                      <w:bCs/>
                      <w:sz w:val="21"/>
                      <w:u w:val="none"/>
                    </w:rPr>
                    <w:t xml:space="preserve">163.158 </w:t>
                  </w:r>
                </w:p>
              </w:tc>
            </w:tr>
            <w:tr w14:paraId="6B59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150C5AC8">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62974EFA">
                  <w:pPr>
                    <w:kinsoku w:val="0"/>
                    <w:overflowPunct w:val="0"/>
                    <w:jc w:val="center"/>
                    <w:rPr>
                      <w:rFonts w:eastAsia="宋体"/>
                      <w:bCs/>
                      <w:sz w:val="21"/>
                      <w:szCs w:val="21"/>
                      <w:u w:val="none"/>
                    </w:rPr>
                  </w:pPr>
                </w:p>
              </w:tc>
              <w:tc>
                <w:tcPr>
                  <w:tcW w:w="698" w:type="pct"/>
                  <w:shd w:val="clear" w:color="auto" w:fill="auto"/>
                  <w:noWrap w:val="0"/>
                  <w:vAlign w:val="center"/>
                </w:tcPr>
                <w:p w14:paraId="5D95E62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u w:val="none"/>
                    </w:rPr>
                  </w:pPr>
                  <w:r>
                    <w:rPr>
                      <w:rFonts w:hint="eastAsia"/>
                      <w:bCs/>
                      <w:u w:val="none"/>
                    </w:rPr>
                    <w:t>硫化氢</w:t>
                  </w:r>
                </w:p>
              </w:tc>
              <w:tc>
                <w:tcPr>
                  <w:tcW w:w="573" w:type="pct"/>
                  <w:shd w:val="clear" w:color="auto" w:fill="auto"/>
                  <w:noWrap w:val="0"/>
                  <w:vAlign w:val="center"/>
                </w:tcPr>
                <w:p w14:paraId="746E844B">
                  <w:pPr>
                    <w:widowControl/>
                    <w:jc w:val="center"/>
                    <w:textAlignment w:val="center"/>
                    <w:rPr>
                      <w:rFonts w:eastAsia="宋体"/>
                      <w:kern w:val="0"/>
                      <w:sz w:val="21"/>
                      <w:szCs w:val="21"/>
                      <w:u w:val="none"/>
                      <w:lang w:bidi="ar"/>
                    </w:rPr>
                  </w:pPr>
                  <w:r>
                    <w:rPr>
                      <w:rFonts w:eastAsia="宋体"/>
                      <w:kern w:val="0"/>
                      <w:sz w:val="21"/>
                      <w:szCs w:val="21"/>
                      <w:u w:val="none"/>
                      <w:lang w:bidi="ar"/>
                    </w:rPr>
                    <w:t>ND</w:t>
                  </w:r>
                </w:p>
              </w:tc>
              <w:tc>
                <w:tcPr>
                  <w:tcW w:w="633" w:type="pct"/>
                  <w:shd w:val="clear" w:color="auto" w:fill="auto"/>
                  <w:noWrap w:val="0"/>
                  <w:vAlign w:val="center"/>
                </w:tcPr>
                <w:p w14:paraId="1BEB9449">
                  <w:pPr>
                    <w:kinsoku w:val="0"/>
                    <w:overflowPunct w:val="0"/>
                    <w:jc w:val="center"/>
                    <w:rPr>
                      <w:rFonts w:eastAsia="宋体"/>
                      <w:bCs/>
                      <w:sz w:val="21"/>
                      <w:u w:val="none"/>
                    </w:rPr>
                  </w:pPr>
                  <w:r>
                    <w:rPr>
                      <w:rFonts w:eastAsia="宋体"/>
                      <w:bCs/>
                      <w:sz w:val="21"/>
                      <w:u w:val="none"/>
                    </w:rPr>
                    <w:t>51243</w:t>
                  </w:r>
                </w:p>
              </w:tc>
              <w:tc>
                <w:tcPr>
                  <w:tcW w:w="702" w:type="pct"/>
                  <w:shd w:val="clear" w:color="auto" w:fill="auto"/>
                  <w:noWrap w:val="0"/>
                  <w:vAlign w:val="center"/>
                </w:tcPr>
                <w:p w14:paraId="2BF547B9">
                  <w:pPr>
                    <w:kinsoku w:val="0"/>
                    <w:overflowPunct w:val="0"/>
                    <w:jc w:val="center"/>
                    <w:rPr>
                      <w:rFonts w:eastAsia="宋体"/>
                      <w:bCs/>
                      <w:sz w:val="21"/>
                      <w:u w:val="none"/>
                    </w:rPr>
                  </w:pPr>
                  <w:r>
                    <w:rPr>
                      <w:rFonts w:eastAsia="宋体"/>
                      <w:bCs/>
                      <w:sz w:val="21"/>
                      <w:u w:val="none"/>
                    </w:rPr>
                    <w:t>8000</w:t>
                  </w:r>
                </w:p>
              </w:tc>
              <w:tc>
                <w:tcPr>
                  <w:tcW w:w="701" w:type="pct"/>
                  <w:shd w:val="clear" w:color="auto" w:fill="auto"/>
                  <w:noWrap w:val="0"/>
                  <w:vAlign w:val="center"/>
                </w:tcPr>
                <w:p w14:paraId="12C71B85">
                  <w:pPr>
                    <w:kinsoku w:val="0"/>
                    <w:overflowPunct w:val="0"/>
                    <w:jc w:val="center"/>
                    <w:rPr>
                      <w:rFonts w:hint="eastAsia" w:eastAsia="宋体"/>
                      <w:bCs/>
                      <w:sz w:val="21"/>
                      <w:u w:val="none"/>
                    </w:rPr>
                  </w:pPr>
                  <w:r>
                    <w:rPr>
                      <w:rFonts w:hint="eastAsia" w:eastAsia="宋体"/>
                      <w:bCs/>
                      <w:sz w:val="21"/>
                      <w:u w:val="none"/>
                    </w:rPr>
                    <w:t>/</w:t>
                  </w:r>
                </w:p>
              </w:tc>
            </w:tr>
            <w:tr w14:paraId="13A32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72C83866">
                  <w:pPr>
                    <w:kinsoku w:val="0"/>
                    <w:overflowPunct w:val="0"/>
                    <w:jc w:val="center"/>
                    <w:rPr>
                      <w:rFonts w:hint="eastAsia" w:eastAsia="宋体"/>
                      <w:bCs/>
                      <w:sz w:val="21"/>
                      <w:szCs w:val="21"/>
                      <w:u w:val="none"/>
                    </w:rPr>
                  </w:pPr>
                </w:p>
              </w:tc>
              <w:tc>
                <w:tcPr>
                  <w:tcW w:w="1034" w:type="pct"/>
                  <w:vMerge w:val="continue"/>
                  <w:shd w:val="clear" w:color="auto" w:fill="auto"/>
                  <w:noWrap w:val="0"/>
                  <w:vAlign w:val="center"/>
                </w:tcPr>
                <w:p w14:paraId="32669F79">
                  <w:pPr>
                    <w:kinsoku w:val="0"/>
                    <w:overflowPunct w:val="0"/>
                    <w:jc w:val="center"/>
                    <w:rPr>
                      <w:rFonts w:eastAsia="宋体"/>
                      <w:bCs/>
                      <w:sz w:val="21"/>
                      <w:szCs w:val="21"/>
                      <w:u w:val="none"/>
                    </w:rPr>
                  </w:pPr>
                </w:p>
              </w:tc>
              <w:tc>
                <w:tcPr>
                  <w:tcW w:w="698" w:type="pct"/>
                  <w:shd w:val="clear" w:color="auto" w:fill="auto"/>
                  <w:noWrap w:val="0"/>
                  <w:vAlign w:val="center"/>
                </w:tcPr>
                <w:p w14:paraId="12273B38">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bCs/>
                      <w:u w:val="none"/>
                    </w:rPr>
                    <w:t>非甲烷总烃</w:t>
                  </w:r>
                </w:p>
              </w:tc>
              <w:tc>
                <w:tcPr>
                  <w:tcW w:w="573" w:type="pct"/>
                  <w:shd w:val="clear" w:color="auto" w:fill="auto"/>
                  <w:noWrap w:val="0"/>
                  <w:vAlign w:val="center"/>
                </w:tcPr>
                <w:p w14:paraId="21F9A2EF">
                  <w:pPr>
                    <w:widowControl/>
                    <w:jc w:val="center"/>
                    <w:textAlignment w:val="center"/>
                    <w:rPr>
                      <w:rFonts w:hint="eastAsia" w:eastAsia="宋体"/>
                      <w:bCs/>
                      <w:sz w:val="21"/>
                      <w:u w:val="none"/>
                    </w:rPr>
                  </w:pPr>
                  <w:r>
                    <w:rPr>
                      <w:rFonts w:hint="eastAsia" w:eastAsia="宋体"/>
                      <w:bCs/>
                      <w:sz w:val="21"/>
                      <w:u w:val="none"/>
                    </w:rPr>
                    <w:t>47.1</w:t>
                  </w:r>
                </w:p>
              </w:tc>
              <w:tc>
                <w:tcPr>
                  <w:tcW w:w="633" w:type="pct"/>
                  <w:shd w:val="clear" w:color="auto" w:fill="auto"/>
                  <w:noWrap w:val="0"/>
                  <w:vAlign w:val="center"/>
                </w:tcPr>
                <w:p w14:paraId="5BB85D96">
                  <w:pPr>
                    <w:kinsoku w:val="0"/>
                    <w:overflowPunct w:val="0"/>
                    <w:jc w:val="center"/>
                    <w:rPr>
                      <w:rFonts w:hint="eastAsia" w:eastAsia="宋体"/>
                      <w:bCs/>
                      <w:sz w:val="21"/>
                      <w:u w:val="none"/>
                    </w:rPr>
                  </w:pPr>
                  <w:r>
                    <w:rPr>
                      <w:rFonts w:eastAsia="宋体"/>
                      <w:bCs/>
                      <w:sz w:val="21"/>
                      <w:u w:val="none"/>
                    </w:rPr>
                    <w:t>51243</w:t>
                  </w:r>
                </w:p>
              </w:tc>
              <w:tc>
                <w:tcPr>
                  <w:tcW w:w="702" w:type="pct"/>
                  <w:shd w:val="clear" w:color="auto" w:fill="auto"/>
                  <w:noWrap w:val="0"/>
                  <w:vAlign w:val="center"/>
                </w:tcPr>
                <w:p w14:paraId="3ECCE6E4">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33AD3721">
                  <w:pPr>
                    <w:kinsoku w:val="0"/>
                    <w:overflowPunct w:val="0"/>
                    <w:jc w:val="center"/>
                    <w:rPr>
                      <w:rFonts w:hint="eastAsia" w:eastAsia="宋体"/>
                      <w:bCs/>
                      <w:sz w:val="21"/>
                      <w:u w:val="none"/>
                    </w:rPr>
                  </w:pPr>
                  <w:r>
                    <w:rPr>
                      <w:rFonts w:hint="eastAsia" w:eastAsia="宋体"/>
                      <w:bCs/>
                      <w:sz w:val="21"/>
                      <w:u w:val="none"/>
                    </w:rPr>
                    <w:t>19.308</w:t>
                  </w:r>
                </w:p>
              </w:tc>
            </w:tr>
            <w:tr w14:paraId="2F0D4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tcBorders>
                    <w:bottom w:val="single" w:color="000000" w:sz="4" w:space="0"/>
                  </w:tcBorders>
                  <w:shd w:val="clear" w:color="auto" w:fill="auto"/>
                  <w:noWrap w:val="0"/>
                  <w:vAlign w:val="center"/>
                </w:tcPr>
                <w:p w14:paraId="6D97CC06">
                  <w:pPr>
                    <w:kinsoku w:val="0"/>
                    <w:overflowPunct w:val="0"/>
                    <w:jc w:val="center"/>
                    <w:rPr>
                      <w:rFonts w:eastAsia="宋体"/>
                      <w:bCs/>
                      <w:sz w:val="21"/>
                      <w:szCs w:val="21"/>
                      <w:u w:val="none"/>
                    </w:rPr>
                  </w:pPr>
                  <w:r>
                    <w:rPr>
                      <w:rFonts w:hint="eastAsia" w:eastAsia="宋体"/>
                      <w:bCs/>
                      <w:sz w:val="21"/>
                      <w:szCs w:val="21"/>
                      <w:u w:val="none"/>
                    </w:rPr>
                    <w:t>甲醇中间罐</w:t>
                  </w:r>
                </w:p>
              </w:tc>
              <w:tc>
                <w:tcPr>
                  <w:tcW w:w="1034" w:type="pct"/>
                  <w:tcBorders>
                    <w:bottom w:val="single" w:color="000000" w:sz="4" w:space="0"/>
                  </w:tcBorders>
                  <w:shd w:val="clear" w:color="auto" w:fill="auto"/>
                  <w:noWrap w:val="0"/>
                  <w:vAlign w:val="center"/>
                </w:tcPr>
                <w:p w14:paraId="090CA9F3">
                  <w:pPr>
                    <w:kinsoku w:val="0"/>
                    <w:overflowPunct w:val="0"/>
                    <w:jc w:val="center"/>
                    <w:rPr>
                      <w:rFonts w:eastAsia="宋体"/>
                      <w:bCs/>
                      <w:sz w:val="21"/>
                      <w:szCs w:val="21"/>
                      <w:u w:val="none"/>
                    </w:rPr>
                  </w:pPr>
                  <w:r>
                    <w:rPr>
                      <w:rFonts w:eastAsia="宋体"/>
                      <w:bCs/>
                      <w:sz w:val="21"/>
                      <w:szCs w:val="21"/>
                      <w:u w:val="none"/>
                    </w:rPr>
                    <w:t>DA</w:t>
                  </w:r>
                  <w:r>
                    <w:rPr>
                      <w:rFonts w:hint="eastAsia" w:eastAsia="宋体"/>
                      <w:bCs/>
                      <w:sz w:val="21"/>
                      <w:szCs w:val="21"/>
                      <w:u w:val="none"/>
                    </w:rPr>
                    <w:t>001</w:t>
                  </w:r>
                </w:p>
              </w:tc>
              <w:tc>
                <w:tcPr>
                  <w:tcW w:w="698" w:type="pct"/>
                  <w:tcBorders>
                    <w:bottom w:val="single" w:color="000000" w:sz="4" w:space="0"/>
                  </w:tcBorders>
                  <w:shd w:val="clear" w:color="auto" w:fill="auto"/>
                  <w:noWrap w:val="0"/>
                  <w:vAlign w:val="center"/>
                </w:tcPr>
                <w:p w14:paraId="2680CD8D">
                  <w:pPr>
                    <w:kinsoku w:val="0"/>
                    <w:overflowPunct w:val="0"/>
                    <w:jc w:val="center"/>
                    <w:rPr>
                      <w:rFonts w:hint="eastAsia" w:eastAsia="宋体"/>
                      <w:bCs/>
                      <w:sz w:val="21"/>
                      <w:szCs w:val="21"/>
                      <w:u w:val="none"/>
                    </w:rPr>
                  </w:pPr>
                  <w:r>
                    <w:rPr>
                      <w:rFonts w:eastAsia="宋体"/>
                      <w:bCs/>
                      <w:sz w:val="21"/>
                      <w:szCs w:val="21"/>
                      <w:u w:val="none"/>
                    </w:rPr>
                    <w:t>甲醇</w:t>
                  </w:r>
                </w:p>
              </w:tc>
              <w:tc>
                <w:tcPr>
                  <w:tcW w:w="573" w:type="pct"/>
                  <w:tcBorders>
                    <w:bottom w:val="single" w:color="000000" w:sz="4" w:space="0"/>
                  </w:tcBorders>
                  <w:shd w:val="clear" w:color="auto" w:fill="auto"/>
                  <w:noWrap w:val="0"/>
                  <w:vAlign w:val="center"/>
                </w:tcPr>
                <w:p w14:paraId="39C21924">
                  <w:pPr>
                    <w:widowControl/>
                    <w:jc w:val="center"/>
                    <w:textAlignment w:val="center"/>
                    <w:rPr>
                      <w:rFonts w:eastAsia="宋体"/>
                      <w:bCs/>
                      <w:sz w:val="21"/>
                      <w:u w:val="none"/>
                    </w:rPr>
                  </w:pPr>
                  <w:r>
                    <w:rPr>
                      <w:rFonts w:eastAsia="宋体"/>
                      <w:kern w:val="0"/>
                      <w:sz w:val="21"/>
                      <w:szCs w:val="21"/>
                      <w:u w:val="none"/>
                      <w:lang w:bidi="ar"/>
                    </w:rPr>
                    <w:t>ND</w:t>
                  </w:r>
                </w:p>
              </w:tc>
              <w:tc>
                <w:tcPr>
                  <w:tcW w:w="633" w:type="pct"/>
                  <w:tcBorders>
                    <w:bottom w:val="single" w:color="000000" w:sz="4" w:space="0"/>
                  </w:tcBorders>
                  <w:shd w:val="clear" w:color="auto" w:fill="auto"/>
                  <w:noWrap w:val="0"/>
                  <w:vAlign w:val="center"/>
                </w:tcPr>
                <w:p w14:paraId="62FB8AE5">
                  <w:pPr>
                    <w:kinsoku w:val="0"/>
                    <w:overflowPunct w:val="0"/>
                    <w:jc w:val="center"/>
                    <w:rPr>
                      <w:rFonts w:eastAsia="宋体"/>
                      <w:bCs/>
                      <w:sz w:val="21"/>
                      <w:u w:val="none"/>
                    </w:rPr>
                  </w:pPr>
                  <w:r>
                    <w:rPr>
                      <w:rFonts w:hint="eastAsia" w:eastAsia="宋体"/>
                      <w:bCs/>
                      <w:sz w:val="21"/>
                      <w:u w:val="none"/>
                    </w:rPr>
                    <w:t>39.5</w:t>
                  </w:r>
                </w:p>
              </w:tc>
              <w:tc>
                <w:tcPr>
                  <w:tcW w:w="702" w:type="pct"/>
                  <w:tcBorders>
                    <w:bottom w:val="single" w:color="000000" w:sz="4" w:space="0"/>
                  </w:tcBorders>
                  <w:shd w:val="clear" w:color="auto" w:fill="auto"/>
                  <w:noWrap w:val="0"/>
                  <w:vAlign w:val="center"/>
                </w:tcPr>
                <w:p w14:paraId="1883E350">
                  <w:pPr>
                    <w:kinsoku w:val="0"/>
                    <w:overflowPunct w:val="0"/>
                    <w:jc w:val="center"/>
                    <w:rPr>
                      <w:rFonts w:eastAsia="宋体"/>
                      <w:bCs/>
                      <w:sz w:val="21"/>
                      <w:u w:val="none"/>
                    </w:rPr>
                  </w:pPr>
                  <w:r>
                    <w:rPr>
                      <w:rFonts w:eastAsia="宋体"/>
                      <w:bCs/>
                      <w:sz w:val="21"/>
                      <w:u w:val="none"/>
                    </w:rPr>
                    <w:t>8000</w:t>
                  </w:r>
                </w:p>
              </w:tc>
              <w:tc>
                <w:tcPr>
                  <w:tcW w:w="701" w:type="pct"/>
                  <w:tcBorders>
                    <w:bottom w:val="single" w:color="000000" w:sz="4" w:space="0"/>
                  </w:tcBorders>
                  <w:shd w:val="clear" w:color="auto" w:fill="auto"/>
                  <w:noWrap w:val="0"/>
                  <w:vAlign w:val="center"/>
                </w:tcPr>
                <w:p w14:paraId="38A2FA89">
                  <w:pPr>
                    <w:kinsoku w:val="0"/>
                    <w:overflowPunct w:val="0"/>
                    <w:jc w:val="center"/>
                    <w:rPr>
                      <w:rFonts w:hint="eastAsia" w:eastAsia="宋体"/>
                      <w:bCs/>
                      <w:sz w:val="21"/>
                      <w:u w:val="none"/>
                    </w:rPr>
                  </w:pPr>
                  <w:r>
                    <w:rPr>
                      <w:rFonts w:hint="eastAsia" w:eastAsia="宋体"/>
                      <w:bCs/>
                      <w:sz w:val="21"/>
                      <w:u w:val="none"/>
                    </w:rPr>
                    <w:t>/</w:t>
                  </w:r>
                </w:p>
              </w:tc>
            </w:tr>
            <w:tr w14:paraId="4D7ED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vMerge w:val="restart"/>
                  <w:shd w:val="clear" w:color="auto" w:fill="auto"/>
                  <w:noWrap w:val="0"/>
                  <w:vAlign w:val="center"/>
                </w:tcPr>
                <w:p w14:paraId="2144E94C">
                  <w:pPr>
                    <w:kinsoku w:val="0"/>
                    <w:overflowPunct w:val="0"/>
                    <w:jc w:val="center"/>
                    <w:rPr>
                      <w:rFonts w:eastAsia="宋体"/>
                      <w:bCs/>
                      <w:sz w:val="21"/>
                      <w:u w:val="none"/>
                    </w:rPr>
                  </w:pPr>
                  <w:r>
                    <w:rPr>
                      <w:rFonts w:eastAsia="宋体"/>
                      <w:bCs/>
                      <w:sz w:val="21"/>
                      <w:u w:val="none"/>
                    </w:rPr>
                    <w:t>DMO精馏</w:t>
                  </w:r>
                </w:p>
              </w:tc>
              <w:tc>
                <w:tcPr>
                  <w:tcW w:w="1034" w:type="pct"/>
                  <w:vMerge w:val="restart"/>
                  <w:shd w:val="clear" w:color="auto" w:fill="auto"/>
                  <w:noWrap w:val="0"/>
                  <w:vAlign w:val="center"/>
                </w:tcPr>
                <w:p w14:paraId="39806ACE">
                  <w:pPr>
                    <w:kinsoku w:val="0"/>
                    <w:overflowPunct w:val="0"/>
                    <w:jc w:val="center"/>
                    <w:rPr>
                      <w:rFonts w:eastAsia="宋体"/>
                      <w:bCs/>
                      <w:sz w:val="21"/>
                      <w:szCs w:val="21"/>
                      <w:u w:val="none"/>
                    </w:rPr>
                  </w:pPr>
                  <w:r>
                    <w:rPr>
                      <w:rFonts w:eastAsia="宋体"/>
                      <w:bCs/>
                      <w:sz w:val="21"/>
                      <w:szCs w:val="21"/>
                      <w:u w:val="none"/>
                    </w:rPr>
                    <w:t>DA</w:t>
                  </w:r>
                  <w:r>
                    <w:rPr>
                      <w:rFonts w:hint="eastAsia" w:eastAsia="宋体"/>
                      <w:bCs/>
                      <w:sz w:val="21"/>
                      <w:szCs w:val="21"/>
                      <w:u w:val="none"/>
                    </w:rPr>
                    <w:t>035</w:t>
                  </w:r>
                </w:p>
              </w:tc>
              <w:tc>
                <w:tcPr>
                  <w:tcW w:w="698" w:type="pct"/>
                  <w:shd w:val="clear" w:color="auto" w:fill="auto"/>
                  <w:noWrap w:val="0"/>
                  <w:vAlign w:val="center"/>
                </w:tcPr>
                <w:p w14:paraId="56C8BE61">
                  <w:pPr>
                    <w:kinsoku w:val="0"/>
                    <w:overflowPunct w:val="0"/>
                    <w:jc w:val="center"/>
                    <w:rPr>
                      <w:rFonts w:hint="eastAsia" w:eastAsia="宋体"/>
                      <w:bCs/>
                      <w:sz w:val="21"/>
                      <w:szCs w:val="21"/>
                      <w:u w:val="none"/>
                    </w:rPr>
                  </w:pPr>
                  <w:r>
                    <w:rPr>
                      <w:rFonts w:eastAsia="宋体"/>
                      <w:bCs/>
                      <w:sz w:val="21"/>
                      <w:szCs w:val="21"/>
                      <w:u w:val="none"/>
                    </w:rPr>
                    <w:t>甲醇</w:t>
                  </w:r>
                </w:p>
              </w:tc>
              <w:tc>
                <w:tcPr>
                  <w:tcW w:w="573" w:type="pct"/>
                  <w:shd w:val="clear" w:color="auto" w:fill="auto"/>
                  <w:noWrap w:val="0"/>
                  <w:vAlign w:val="center"/>
                </w:tcPr>
                <w:p w14:paraId="36B2309D">
                  <w:pPr>
                    <w:widowControl/>
                    <w:jc w:val="center"/>
                    <w:textAlignment w:val="center"/>
                    <w:rPr>
                      <w:rFonts w:hint="eastAsia" w:eastAsia="宋体"/>
                      <w:bCs/>
                      <w:sz w:val="21"/>
                      <w:u w:val="none"/>
                    </w:rPr>
                  </w:pPr>
                  <w:r>
                    <w:rPr>
                      <w:rFonts w:hint="eastAsia" w:eastAsia="宋体"/>
                      <w:kern w:val="0"/>
                      <w:sz w:val="21"/>
                      <w:szCs w:val="21"/>
                      <w:u w:val="none"/>
                      <w:lang w:bidi="ar"/>
                    </w:rPr>
                    <w:t>47.1</w:t>
                  </w:r>
                </w:p>
              </w:tc>
              <w:tc>
                <w:tcPr>
                  <w:tcW w:w="633" w:type="pct"/>
                  <w:shd w:val="clear" w:color="auto" w:fill="auto"/>
                  <w:noWrap w:val="0"/>
                  <w:vAlign w:val="center"/>
                </w:tcPr>
                <w:p w14:paraId="564F2F29">
                  <w:pPr>
                    <w:kinsoku w:val="0"/>
                    <w:overflowPunct w:val="0"/>
                    <w:jc w:val="center"/>
                    <w:rPr>
                      <w:rFonts w:hint="eastAsia" w:eastAsia="宋体"/>
                      <w:bCs/>
                      <w:sz w:val="21"/>
                      <w:u w:val="none"/>
                    </w:rPr>
                  </w:pPr>
                  <w:r>
                    <w:rPr>
                      <w:rFonts w:eastAsia="宋体"/>
                      <w:bCs/>
                      <w:sz w:val="21"/>
                      <w:u w:val="none"/>
                    </w:rPr>
                    <w:t>50</w:t>
                  </w:r>
                </w:p>
              </w:tc>
              <w:tc>
                <w:tcPr>
                  <w:tcW w:w="702" w:type="pct"/>
                  <w:shd w:val="clear" w:color="auto" w:fill="auto"/>
                  <w:noWrap w:val="0"/>
                  <w:vAlign w:val="center"/>
                </w:tcPr>
                <w:p w14:paraId="57B3F4E5">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18F0BB89">
                  <w:pPr>
                    <w:kinsoku w:val="0"/>
                    <w:overflowPunct w:val="0"/>
                    <w:jc w:val="center"/>
                    <w:rPr>
                      <w:rFonts w:hint="eastAsia" w:eastAsia="宋体"/>
                      <w:bCs/>
                      <w:sz w:val="21"/>
                      <w:u w:val="none"/>
                    </w:rPr>
                  </w:pPr>
                  <w:r>
                    <w:rPr>
                      <w:rFonts w:hint="eastAsia" w:eastAsia="宋体"/>
                      <w:bCs/>
                      <w:sz w:val="21"/>
                      <w:u w:val="none"/>
                    </w:rPr>
                    <w:t>0.019</w:t>
                  </w:r>
                </w:p>
              </w:tc>
            </w:tr>
            <w:tr w14:paraId="31481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59" w:type="pct"/>
                  <w:vMerge w:val="continue"/>
                  <w:shd w:val="clear" w:color="auto" w:fill="auto"/>
                  <w:noWrap w:val="0"/>
                  <w:vAlign w:val="center"/>
                </w:tcPr>
                <w:p w14:paraId="1CDFF5A3">
                  <w:pPr>
                    <w:kinsoku w:val="0"/>
                    <w:overflowPunct w:val="0"/>
                    <w:jc w:val="center"/>
                    <w:rPr>
                      <w:rFonts w:eastAsia="宋体"/>
                      <w:bCs/>
                      <w:sz w:val="21"/>
                      <w:u w:val="none"/>
                    </w:rPr>
                  </w:pPr>
                </w:p>
              </w:tc>
              <w:tc>
                <w:tcPr>
                  <w:tcW w:w="1034" w:type="pct"/>
                  <w:vMerge w:val="continue"/>
                  <w:shd w:val="clear" w:color="auto" w:fill="auto"/>
                  <w:noWrap w:val="0"/>
                  <w:vAlign w:val="center"/>
                </w:tcPr>
                <w:p w14:paraId="52471A74">
                  <w:pPr>
                    <w:kinsoku w:val="0"/>
                    <w:overflowPunct w:val="0"/>
                    <w:jc w:val="center"/>
                    <w:rPr>
                      <w:rFonts w:eastAsia="宋体"/>
                      <w:bCs/>
                      <w:sz w:val="21"/>
                      <w:szCs w:val="21"/>
                      <w:u w:val="none"/>
                    </w:rPr>
                  </w:pPr>
                </w:p>
              </w:tc>
              <w:tc>
                <w:tcPr>
                  <w:tcW w:w="698" w:type="pct"/>
                  <w:shd w:val="clear" w:color="auto" w:fill="auto"/>
                  <w:noWrap w:val="0"/>
                  <w:vAlign w:val="center"/>
                </w:tcPr>
                <w:p w14:paraId="121F7870">
                  <w:pPr>
                    <w:kinsoku w:val="0"/>
                    <w:overflowPunct w:val="0"/>
                    <w:jc w:val="center"/>
                    <w:rPr>
                      <w:rFonts w:eastAsia="宋体"/>
                      <w:bCs/>
                      <w:sz w:val="21"/>
                      <w:szCs w:val="21"/>
                      <w:u w:val="none"/>
                    </w:rPr>
                  </w:pPr>
                  <w:r>
                    <w:rPr>
                      <w:rFonts w:hint="eastAsia" w:eastAsia="宋体"/>
                      <w:bCs/>
                      <w:sz w:val="21"/>
                      <w:u w:val="none"/>
                    </w:rPr>
                    <w:t>非甲烷总烃</w:t>
                  </w:r>
                </w:p>
              </w:tc>
              <w:tc>
                <w:tcPr>
                  <w:tcW w:w="573" w:type="pct"/>
                  <w:shd w:val="clear" w:color="auto" w:fill="auto"/>
                  <w:noWrap w:val="0"/>
                  <w:vAlign w:val="center"/>
                </w:tcPr>
                <w:p w14:paraId="3EDB135F">
                  <w:pPr>
                    <w:widowControl/>
                    <w:jc w:val="center"/>
                    <w:textAlignment w:val="center"/>
                    <w:rPr>
                      <w:rFonts w:hint="eastAsia" w:eastAsia="宋体"/>
                      <w:kern w:val="0"/>
                      <w:sz w:val="21"/>
                      <w:szCs w:val="21"/>
                      <w:u w:val="none"/>
                      <w:lang w:bidi="ar"/>
                    </w:rPr>
                  </w:pPr>
                  <w:r>
                    <w:rPr>
                      <w:rFonts w:hint="eastAsia" w:eastAsia="宋体"/>
                      <w:kern w:val="0"/>
                      <w:sz w:val="21"/>
                      <w:szCs w:val="21"/>
                      <w:u w:val="none"/>
                      <w:lang w:bidi="ar"/>
                    </w:rPr>
                    <w:t>14.1</w:t>
                  </w:r>
                </w:p>
              </w:tc>
              <w:tc>
                <w:tcPr>
                  <w:tcW w:w="633" w:type="pct"/>
                  <w:shd w:val="clear" w:color="auto" w:fill="auto"/>
                  <w:noWrap w:val="0"/>
                  <w:vAlign w:val="center"/>
                </w:tcPr>
                <w:p w14:paraId="20EDBE4B">
                  <w:pPr>
                    <w:kinsoku w:val="0"/>
                    <w:overflowPunct w:val="0"/>
                    <w:jc w:val="center"/>
                    <w:rPr>
                      <w:rFonts w:eastAsia="宋体"/>
                      <w:bCs/>
                      <w:sz w:val="21"/>
                      <w:u w:val="none"/>
                    </w:rPr>
                  </w:pPr>
                  <w:r>
                    <w:rPr>
                      <w:rFonts w:eastAsia="宋体"/>
                      <w:bCs/>
                      <w:sz w:val="21"/>
                      <w:u w:val="none"/>
                    </w:rPr>
                    <w:t>50</w:t>
                  </w:r>
                </w:p>
              </w:tc>
              <w:tc>
                <w:tcPr>
                  <w:tcW w:w="702" w:type="pct"/>
                  <w:shd w:val="clear" w:color="auto" w:fill="auto"/>
                  <w:noWrap w:val="0"/>
                  <w:vAlign w:val="center"/>
                </w:tcPr>
                <w:p w14:paraId="0316C18F">
                  <w:pPr>
                    <w:kinsoku w:val="0"/>
                    <w:overflowPunct w:val="0"/>
                    <w:jc w:val="center"/>
                    <w:rPr>
                      <w:rFonts w:eastAsia="宋体"/>
                      <w:bCs/>
                      <w:sz w:val="21"/>
                      <w:u w:val="none"/>
                    </w:rPr>
                  </w:pPr>
                  <w:r>
                    <w:rPr>
                      <w:rFonts w:eastAsia="宋体"/>
                      <w:bCs/>
                      <w:sz w:val="21"/>
                      <w:u w:val="none"/>
                    </w:rPr>
                    <w:t>8000</w:t>
                  </w:r>
                </w:p>
              </w:tc>
              <w:tc>
                <w:tcPr>
                  <w:tcW w:w="701" w:type="pct"/>
                  <w:shd w:val="clear" w:color="auto" w:fill="auto"/>
                  <w:noWrap w:val="0"/>
                  <w:vAlign w:val="center"/>
                </w:tcPr>
                <w:p w14:paraId="4AC02BD1">
                  <w:pPr>
                    <w:kinsoku w:val="0"/>
                    <w:overflowPunct w:val="0"/>
                    <w:jc w:val="center"/>
                    <w:rPr>
                      <w:rFonts w:hint="eastAsia" w:eastAsia="宋体"/>
                      <w:bCs/>
                      <w:sz w:val="21"/>
                      <w:u w:val="none"/>
                    </w:rPr>
                  </w:pPr>
                  <w:r>
                    <w:rPr>
                      <w:rFonts w:hint="eastAsia" w:eastAsia="宋体"/>
                      <w:bCs/>
                      <w:sz w:val="21"/>
                      <w:u w:val="none"/>
                    </w:rPr>
                    <w:t>0.006</w:t>
                  </w:r>
                </w:p>
              </w:tc>
            </w:tr>
            <w:tr w14:paraId="0FC5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shd w:val="clear" w:color="auto" w:fill="auto"/>
                  <w:noWrap w:val="0"/>
                  <w:vAlign w:val="center"/>
                </w:tcPr>
                <w:p w14:paraId="11330E75">
                  <w:pPr>
                    <w:kinsoku w:val="0"/>
                    <w:overflowPunct w:val="0"/>
                    <w:jc w:val="center"/>
                    <w:rPr>
                      <w:rFonts w:eastAsia="宋体"/>
                      <w:bCs/>
                      <w:sz w:val="21"/>
                      <w:u w:val="none"/>
                    </w:rPr>
                  </w:pPr>
                  <w:r>
                    <w:rPr>
                      <w:rFonts w:eastAsia="宋体"/>
                      <w:bCs/>
                      <w:sz w:val="21"/>
                      <w:u w:val="none"/>
                    </w:rPr>
                    <w:t>EG精馏</w:t>
                  </w:r>
                </w:p>
              </w:tc>
              <w:tc>
                <w:tcPr>
                  <w:tcW w:w="1034" w:type="pct"/>
                  <w:shd w:val="clear" w:color="auto" w:fill="auto"/>
                  <w:noWrap w:val="0"/>
                  <w:vAlign w:val="center"/>
                </w:tcPr>
                <w:p w14:paraId="3C8B526B">
                  <w:pPr>
                    <w:kinsoku w:val="0"/>
                    <w:overflowPunct w:val="0"/>
                    <w:jc w:val="center"/>
                    <w:rPr>
                      <w:rFonts w:eastAsia="宋体"/>
                      <w:bCs/>
                      <w:sz w:val="21"/>
                      <w:szCs w:val="21"/>
                      <w:u w:val="none"/>
                    </w:rPr>
                  </w:pPr>
                  <w:r>
                    <w:rPr>
                      <w:rFonts w:eastAsia="宋体"/>
                      <w:bCs/>
                      <w:sz w:val="21"/>
                      <w:szCs w:val="21"/>
                      <w:u w:val="none"/>
                    </w:rPr>
                    <w:t>DA034</w:t>
                  </w:r>
                </w:p>
              </w:tc>
              <w:tc>
                <w:tcPr>
                  <w:tcW w:w="698" w:type="pct"/>
                  <w:shd w:val="clear" w:color="auto" w:fill="auto"/>
                  <w:noWrap w:val="0"/>
                  <w:vAlign w:val="center"/>
                </w:tcPr>
                <w:p w14:paraId="67103E95">
                  <w:pPr>
                    <w:kinsoku w:val="0"/>
                    <w:overflowPunct w:val="0"/>
                    <w:jc w:val="center"/>
                    <w:rPr>
                      <w:rFonts w:eastAsia="宋体"/>
                      <w:bCs/>
                      <w:sz w:val="21"/>
                      <w:szCs w:val="21"/>
                      <w:u w:val="none"/>
                    </w:rPr>
                  </w:pPr>
                  <w:r>
                    <w:rPr>
                      <w:rFonts w:eastAsia="宋体"/>
                      <w:bCs/>
                      <w:sz w:val="21"/>
                      <w:szCs w:val="21"/>
                      <w:u w:val="none"/>
                    </w:rPr>
                    <w:t>乙二醇</w:t>
                  </w:r>
                </w:p>
              </w:tc>
              <w:tc>
                <w:tcPr>
                  <w:tcW w:w="573" w:type="pct"/>
                  <w:shd w:val="clear" w:color="auto" w:fill="auto"/>
                  <w:noWrap w:val="0"/>
                  <w:vAlign w:val="center"/>
                </w:tcPr>
                <w:p w14:paraId="7F1E147F">
                  <w:pPr>
                    <w:widowControl/>
                    <w:jc w:val="center"/>
                    <w:textAlignment w:val="center"/>
                    <w:rPr>
                      <w:rFonts w:hint="eastAsia" w:eastAsia="宋体"/>
                      <w:bCs/>
                      <w:sz w:val="21"/>
                      <w:u w:val="none"/>
                    </w:rPr>
                  </w:pPr>
                  <w:r>
                    <w:rPr>
                      <w:rFonts w:eastAsia="宋体"/>
                      <w:kern w:val="0"/>
                      <w:sz w:val="21"/>
                      <w:szCs w:val="21"/>
                      <w:u w:val="none"/>
                      <w:lang w:bidi="ar"/>
                    </w:rPr>
                    <w:t>ND</w:t>
                  </w:r>
                </w:p>
              </w:tc>
              <w:tc>
                <w:tcPr>
                  <w:tcW w:w="633" w:type="pct"/>
                  <w:shd w:val="clear" w:color="auto" w:fill="auto"/>
                  <w:noWrap w:val="0"/>
                  <w:vAlign w:val="center"/>
                </w:tcPr>
                <w:p w14:paraId="66DFA1D4">
                  <w:pPr>
                    <w:kinsoku w:val="0"/>
                    <w:overflowPunct w:val="0"/>
                    <w:jc w:val="center"/>
                    <w:rPr>
                      <w:rFonts w:hint="eastAsia" w:eastAsia="宋体"/>
                      <w:bCs/>
                      <w:sz w:val="21"/>
                      <w:u w:val="none"/>
                    </w:rPr>
                  </w:pPr>
                  <w:r>
                    <w:rPr>
                      <w:rFonts w:eastAsia="宋体"/>
                      <w:bCs/>
                      <w:sz w:val="21"/>
                      <w:u w:val="none"/>
                    </w:rPr>
                    <w:t>91.6</w:t>
                  </w:r>
                </w:p>
              </w:tc>
              <w:tc>
                <w:tcPr>
                  <w:tcW w:w="702" w:type="pct"/>
                  <w:shd w:val="clear" w:color="auto" w:fill="auto"/>
                  <w:noWrap w:val="0"/>
                  <w:vAlign w:val="center"/>
                </w:tcPr>
                <w:p w14:paraId="7FFCBC58">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9CF98F2">
                  <w:pPr>
                    <w:kinsoku w:val="0"/>
                    <w:overflowPunct w:val="0"/>
                    <w:jc w:val="center"/>
                    <w:rPr>
                      <w:rFonts w:hint="eastAsia" w:eastAsia="宋体"/>
                      <w:bCs/>
                      <w:sz w:val="21"/>
                      <w:u w:val="none"/>
                    </w:rPr>
                  </w:pPr>
                  <w:r>
                    <w:rPr>
                      <w:rFonts w:hint="eastAsia" w:eastAsia="宋体"/>
                      <w:bCs/>
                      <w:sz w:val="21"/>
                      <w:u w:val="none"/>
                    </w:rPr>
                    <w:t>/</w:t>
                  </w:r>
                </w:p>
              </w:tc>
            </w:tr>
            <w:tr w14:paraId="62F9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shd w:val="clear" w:color="auto" w:fill="auto"/>
                  <w:noWrap w:val="0"/>
                  <w:vAlign w:val="center"/>
                </w:tcPr>
                <w:p w14:paraId="4E78ED83">
                  <w:pPr>
                    <w:kinsoku w:val="0"/>
                    <w:overflowPunct w:val="0"/>
                    <w:jc w:val="center"/>
                    <w:rPr>
                      <w:rFonts w:eastAsia="宋体"/>
                      <w:bCs/>
                      <w:sz w:val="21"/>
                      <w:u w:val="none"/>
                    </w:rPr>
                  </w:pPr>
                  <w:r>
                    <w:rPr>
                      <w:rFonts w:eastAsia="宋体"/>
                      <w:bCs/>
                      <w:sz w:val="21"/>
                      <w:u w:val="none"/>
                    </w:rPr>
                    <w:t>乙二醇储存</w:t>
                  </w:r>
                </w:p>
              </w:tc>
              <w:tc>
                <w:tcPr>
                  <w:tcW w:w="1034" w:type="pct"/>
                  <w:shd w:val="clear" w:color="auto" w:fill="auto"/>
                  <w:noWrap w:val="0"/>
                  <w:vAlign w:val="center"/>
                </w:tcPr>
                <w:p w14:paraId="1ACAFA2E">
                  <w:pPr>
                    <w:kinsoku w:val="0"/>
                    <w:overflowPunct w:val="0"/>
                    <w:jc w:val="center"/>
                    <w:rPr>
                      <w:rFonts w:eastAsia="宋体"/>
                      <w:bCs/>
                      <w:sz w:val="21"/>
                      <w:szCs w:val="21"/>
                      <w:u w:val="none"/>
                    </w:rPr>
                  </w:pPr>
                  <w:r>
                    <w:rPr>
                      <w:rFonts w:eastAsia="宋体"/>
                      <w:bCs/>
                      <w:sz w:val="21"/>
                      <w:szCs w:val="21"/>
                      <w:u w:val="none"/>
                    </w:rPr>
                    <w:t>DA032</w:t>
                  </w:r>
                </w:p>
              </w:tc>
              <w:tc>
                <w:tcPr>
                  <w:tcW w:w="698" w:type="pct"/>
                  <w:shd w:val="clear" w:color="auto" w:fill="auto"/>
                  <w:noWrap w:val="0"/>
                  <w:vAlign w:val="center"/>
                </w:tcPr>
                <w:p w14:paraId="4A35857F">
                  <w:pPr>
                    <w:kinsoku w:val="0"/>
                    <w:overflowPunct w:val="0"/>
                    <w:jc w:val="center"/>
                    <w:rPr>
                      <w:rFonts w:eastAsia="宋体"/>
                      <w:bCs/>
                      <w:sz w:val="21"/>
                      <w:szCs w:val="21"/>
                      <w:u w:val="none"/>
                    </w:rPr>
                  </w:pPr>
                  <w:r>
                    <w:rPr>
                      <w:rFonts w:eastAsia="宋体"/>
                      <w:bCs/>
                      <w:sz w:val="21"/>
                      <w:szCs w:val="21"/>
                      <w:u w:val="none"/>
                    </w:rPr>
                    <w:t>甲醇</w:t>
                  </w:r>
                </w:p>
              </w:tc>
              <w:tc>
                <w:tcPr>
                  <w:tcW w:w="573" w:type="pct"/>
                  <w:shd w:val="clear" w:color="auto" w:fill="auto"/>
                  <w:noWrap w:val="0"/>
                  <w:vAlign w:val="center"/>
                </w:tcPr>
                <w:p w14:paraId="2F1EC17C">
                  <w:pPr>
                    <w:widowControl/>
                    <w:jc w:val="center"/>
                    <w:textAlignment w:val="center"/>
                    <w:rPr>
                      <w:rFonts w:hint="eastAsia" w:eastAsia="宋体"/>
                      <w:bCs/>
                      <w:sz w:val="21"/>
                      <w:u w:val="none"/>
                    </w:rPr>
                  </w:pPr>
                  <w:r>
                    <w:rPr>
                      <w:rFonts w:eastAsia="宋体"/>
                      <w:kern w:val="0"/>
                      <w:sz w:val="21"/>
                      <w:szCs w:val="21"/>
                      <w:u w:val="none"/>
                      <w:lang w:bidi="ar"/>
                    </w:rPr>
                    <w:t>ND</w:t>
                  </w:r>
                </w:p>
              </w:tc>
              <w:tc>
                <w:tcPr>
                  <w:tcW w:w="633" w:type="pct"/>
                  <w:shd w:val="clear" w:color="auto" w:fill="auto"/>
                  <w:noWrap w:val="0"/>
                  <w:vAlign w:val="center"/>
                </w:tcPr>
                <w:p w14:paraId="27929813">
                  <w:pPr>
                    <w:kinsoku w:val="0"/>
                    <w:overflowPunct w:val="0"/>
                    <w:jc w:val="center"/>
                    <w:rPr>
                      <w:rFonts w:hint="eastAsia" w:eastAsia="宋体"/>
                      <w:bCs/>
                      <w:sz w:val="21"/>
                      <w:u w:val="none"/>
                    </w:rPr>
                  </w:pPr>
                  <w:r>
                    <w:rPr>
                      <w:rFonts w:eastAsia="宋体"/>
                      <w:bCs/>
                      <w:sz w:val="21"/>
                      <w:u w:val="none"/>
                    </w:rPr>
                    <w:t>2200</w:t>
                  </w:r>
                </w:p>
              </w:tc>
              <w:tc>
                <w:tcPr>
                  <w:tcW w:w="702" w:type="pct"/>
                  <w:shd w:val="clear" w:color="auto" w:fill="auto"/>
                  <w:noWrap w:val="0"/>
                  <w:vAlign w:val="center"/>
                </w:tcPr>
                <w:p w14:paraId="183473C2">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7E1DC147">
                  <w:pPr>
                    <w:kinsoku w:val="0"/>
                    <w:overflowPunct w:val="0"/>
                    <w:jc w:val="center"/>
                    <w:rPr>
                      <w:rFonts w:hint="eastAsia" w:eastAsia="宋体"/>
                      <w:bCs/>
                      <w:sz w:val="21"/>
                      <w:u w:val="none"/>
                    </w:rPr>
                  </w:pPr>
                  <w:r>
                    <w:rPr>
                      <w:rFonts w:hint="eastAsia" w:eastAsia="宋体"/>
                      <w:bCs/>
                      <w:sz w:val="21"/>
                      <w:u w:val="none"/>
                    </w:rPr>
                    <w:t>/</w:t>
                  </w:r>
                </w:p>
              </w:tc>
            </w:tr>
            <w:tr w14:paraId="6EABA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9" w:type="pct"/>
                  <w:shd w:val="clear" w:color="auto" w:fill="auto"/>
                  <w:noWrap w:val="0"/>
                  <w:vAlign w:val="center"/>
                </w:tcPr>
                <w:p w14:paraId="3C952FE1">
                  <w:pPr>
                    <w:kinsoku w:val="0"/>
                    <w:overflowPunct w:val="0"/>
                    <w:jc w:val="center"/>
                    <w:rPr>
                      <w:rFonts w:eastAsia="宋体"/>
                      <w:bCs/>
                      <w:sz w:val="21"/>
                      <w:u w:val="none"/>
                    </w:rPr>
                  </w:pPr>
                  <w:r>
                    <w:rPr>
                      <w:rFonts w:eastAsia="宋体"/>
                      <w:bCs/>
                      <w:sz w:val="21"/>
                      <w:u w:val="none"/>
                    </w:rPr>
                    <w:t>乙二醇储存</w:t>
                  </w:r>
                </w:p>
              </w:tc>
              <w:tc>
                <w:tcPr>
                  <w:tcW w:w="1034" w:type="pct"/>
                  <w:shd w:val="clear" w:color="auto" w:fill="auto"/>
                  <w:noWrap w:val="0"/>
                  <w:vAlign w:val="center"/>
                </w:tcPr>
                <w:p w14:paraId="541B5AC5">
                  <w:pPr>
                    <w:kinsoku w:val="0"/>
                    <w:overflowPunct w:val="0"/>
                    <w:jc w:val="center"/>
                    <w:rPr>
                      <w:rFonts w:eastAsia="宋体"/>
                      <w:bCs/>
                      <w:sz w:val="21"/>
                      <w:szCs w:val="21"/>
                      <w:u w:val="none"/>
                    </w:rPr>
                  </w:pPr>
                  <w:r>
                    <w:rPr>
                      <w:rFonts w:eastAsia="宋体"/>
                      <w:bCs/>
                      <w:sz w:val="21"/>
                      <w:szCs w:val="21"/>
                      <w:u w:val="none"/>
                    </w:rPr>
                    <w:t>DA033</w:t>
                  </w:r>
                </w:p>
              </w:tc>
              <w:tc>
                <w:tcPr>
                  <w:tcW w:w="698" w:type="pct"/>
                  <w:shd w:val="clear" w:color="auto" w:fill="auto"/>
                  <w:noWrap w:val="0"/>
                  <w:vAlign w:val="center"/>
                </w:tcPr>
                <w:p w14:paraId="7E2F4BEF">
                  <w:pPr>
                    <w:kinsoku w:val="0"/>
                    <w:overflowPunct w:val="0"/>
                    <w:jc w:val="center"/>
                    <w:rPr>
                      <w:rFonts w:eastAsia="宋体"/>
                      <w:bCs/>
                      <w:sz w:val="21"/>
                      <w:szCs w:val="21"/>
                      <w:u w:val="none"/>
                    </w:rPr>
                  </w:pPr>
                  <w:r>
                    <w:rPr>
                      <w:rFonts w:eastAsia="宋体"/>
                      <w:bCs/>
                      <w:sz w:val="21"/>
                      <w:szCs w:val="21"/>
                      <w:u w:val="none"/>
                    </w:rPr>
                    <w:t>乙二醇</w:t>
                  </w:r>
                </w:p>
              </w:tc>
              <w:tc>
                <w:tcPr>
                  <w:tcW w:w="573" w:type="pct"/>
                  <w:shd w:val="clear" w:color="auto" w:fill="auto"/>
                  <w:noWrap w:val="0"/>
                  <w:vAlign w:val="center"/>
                </w:tcPr>
                <w:p w14:paraId="7583CE49">
                  <w:pPr>
                    <w:widowControl/>
                    <w:jc w:val="center"/>
                    <w:textAlignment w:val="center"/>
                    <w:rPr>
                      <w:rFonts w:hint="eastAsia" w:eastAsia="宋体"/>
                      <w:bCs/>
                      <w:sz w:val="21"/>
                      <w:u w:val="none"/>
                    </w:rPr>
                  </w:pPr>
                  <w:r>
                    <w:rPr>
                      <w:rFonts w:eastAsia="宋体"/>
                      <w:kern w:val="0"/>
                      <w:sz w:val="21"/>
                      <w:szCs w:val="21"/>
                      <w:u w:val="none"/>
                      <w:lang w:bidi="ar"/>
                    </w:rPr>
                    <w:t>ND</w:t>
                  </w:r>
                </w:p>
              </w:tc>
              <w:tc>
                <w:tcPr>
                  <w:tcW w:w="633" w:type="pct"/>
                  <w:shd w:val="clear" w:color="auto" w:fill="auto"/>
                  <w:noWrap w:val="0"/>
                  <w:vAlign w:val="center"/>
                </w:tcPr>
                <w:p w14:paraId="23F3A663">
                  <w:pPr>
                    <w:kinsoku w:val="0"/>
                    <w:overflowPunct w:val="0"/>
                    <w:jc w:val="center"/>
                    <w:rPr>
                      <w:rFonts w:hint="eastAsia" w:eastAsia="宋体"/>
                      <w:bCs/>
                      <w:sz w:val="21"/>
                      <w:u w:val="none"/>
                    </w:rPr>
                  </w:pPr>
                  <w:r>
                    <w:rPr>
                      <w:rFonts w:eastAsia="宋体"/>
                      <w:bCs/>
                      <w:sz w:val="21"/>
                      <w:u w:val="none"/>
                    </w:rPr>
                    <w:t>170</w:t>
                  </w:r>
                </w:p>
              </w:tc>
              <w:tc>
                <w:tcPr>
                  <w:tcW w:w="702" w:type="pct"/>
                  <w:shd w:val="clear" w:color="auto" w:fill="auto"/>
                  <w:noWrap w:val="0"/>
                  <w:vAlign w:val="center"/>
                </w:tcPr>
                <w:p w14:paraId="4F073922">
                  <w:pPr>
                    <w:kinsoku w:val="0"/>
                    <w:overflowPunct w:val="0"/>
                    <w:jc w:val="center"/>
                    <w:rPr>
                      <w:rFonts w:hint="eastAsia" w:eastAsia="宋体"/>
                      <w:bCs/>
                      <w:sz w:val="21"/>
                      <w:u w:val="none"/>
                    </w:rPr>
                  </w:pPr>
                  <w:r>
                    <w:rPr>
                      <w:rFonts w:eastAsia="宋体"/>
                      <w:bCs/>
                      <w:sz w:val="21"/>
                      <w:u w:val="none"/>
                    </w:rPr>
                    <w:t>8000</w:t>
                  </w:r>
                </w:p>
              </w:tc>
              <w:tc>
                <w:tcPr>
                  <w:tcW w:w="701" w:type="pct"/>
                  <w:shd w:val="clear" w:color="auto" w:fill="auto"/>
                  <w:noWrap w:val="0"/>
                  <w:vAlign w:val="center"/>
                </w:tcPr>
                <w:p w14:paraId="21B24788">
                  <w:pPr>
                    <w:kinsoku w:val="0"/>
                    <w:overflowPunct w:val="0"/>
                    <w:jc w:val="center"/>
                    <w:rPr>
                      <w:rFonts w:hint="eastAsia" w:eastAsia="宋体"/>
                      <w:bCs/>
                      <w:sz w:val="21"/>
                      <w:u w:val="none"/>
                    </w:rPr>
                  </w:pPr>
                  <w:r>
                    <w:rPr>
                      <w:rFonts w:hint="eastAsia" w:eastAsia="宋体"/>
                      <w:bCs/>
                      <w:sz w:val="21"/>
                      <w:u w:val="none"/>
                    </w:rPr>
                    <w:t>/</w:t>
                  </w:r>
                </w:p>
              </w:tc>
            </w:tr>
            <w:tr w14:paraId="0441A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3" w:type="pct"/>
                  <w:gridSpan w:val="2"/>
                  <w:vMerge w:val="restart"/>
                  <w:shd w:val="clear" w:color="auto" w:fill="auto"/>
                  <w:noWrap w:val="0"/>
                  <w:vAlign w:val="center"/>
                </w:tcPr>
                <w:p w14:paraId="4A343756">
                  <w:pPr>
                    <w:kinsoku w:val="0"/>
                    <w:overflowPunct w:val="0"/>
                    <w:jc w:val="center"/>
                    <w:rPr>
                      <w:rFonts w:hint="eastAsia" w:eastAsia="宋体"/>
                      <w:bCs/>
                      <w:sz w:val="21"/>
                      <w:szCs w:val="21"/>
                      <w:u w:val="none"/>
                    </w:rPr>
                  </w:pPr>
                  <w:r>
                    <w:rPr>
                      <w:rFonts w:hint="eastAsia" w:eastAsia="宋体"/>
                      <w:bCs/>
                      <w:sz w:val="21"/>
                      <w:szCs w:val="21"/>
                      <w:u w:val="none"/>
                    </w:rPr>
                    <w:t>合计</w:t>
                  </w:r>
                </w:p>
              </w:tc>
              <w:tc>
                <w:tcPr>
                  <w:tcW w:w="698" w:type="pct"/>
                  <w:shd w:val="clear" w:color="auto" w:fill="auto"/>
                  <w:noWrap w:val="0"/>
                  <w:vAlign w:val="center"/>
                </w:tcPr>
                <w:p w14:paraId="555D285C">
                  <w:pPr>
                    <w:pStyle w:val="67"/>
                    <w:widowControl w:val="0"/>
                    <w:pBdr>
                      <w:left w:val="none" w:color="auto" w:sz="0" w:space="0"/>
                      <w:bottom w:val="none" w:color="auto" w:sz="0" w:space="0"/>
                      <w:right w:val="none" w:color="auto" w:sz="0" w:space="0"/>
                    </w:pBdr>
                    <w:spacing w:before="0" w:beforeAutospacing="0" w:after="0" w:afterAutospacing="0" w:line="0" w:lineRule="atLeast"/>
                    <w:rPr>
                      <w:bCs/>
                      <w:u w:val="none"/>
                    </w:rPr>
                  </w:pPr>
                  <w:r>
                    <w:rPr>
                      <w:rFonts w:hint="eastAsia"/>
                      <w:u w:val="none"/>
                    </w:rPr>
                    <w:t>颗粒物</w:t>
                  </w:r>
                </w:p>
              </w:tc>
              <w:tc>
                <w:tcPr>
                  <w:tcW w:w="573" w:type="pct"/>
                  <w:shd w:val="clear" w:color="auto" w:fill="auto"/>
                  <w:noWrap w:val="0"/>
                  <w:vAlign w:val="center"/>
                </w:tcPr>
                <w:p w14:paraId="5E281562">
                  <w:pPr>
                    <w:kinsoku w:val="0"/>
                    <w:overflowPunct w:val="0"/>
                    <w:jc w:val="center"/>
                    <w:rPr>
                      <w:rFonts w:eastAsia="宋体"/>
                      <w:bCs/>
                      <w:sz w:val="21"/>
                      <w:u w:val="none"/>
                    </w:rPr>
                  </w:pPr>
                  <w:r>
                    <w:rPr>
                      <w:rFonts w:hint="eastAsia" w:eastAsia="宋体"/>
                      <w:bCs/>
                      <w:sz w:val="21"/>
                      <w:u w:val="none"/>
                    </w:rPr>
                    <w:t>/</w:t>
                  </w:r>
                </w:p>
              </w:tc>
              <w:tc>
                <w:tcPr>
                  <w:tcW w:w="633" w:type="pct"/>
                  <w:shd w:val="clear" w:color="auto" w:fill="auto"/>
                  <w:noWrap w:val="0"/>
                  <w:vAlign w:val="center"/>
                </w:tcPr>
                <w:p w14:paraId="5A9F2A0B">
                  <w:pPr>
                    <w:kinsoku w:val="0"/>
                    <w:overflowPunct w:val="0"/>
                    <w:jc w:val="center"/>
                    <w:rPr>
                      <w:rFonts w:eastAsia="宋体"/>
                      <w:bCs/>
                      <w:sz w:val="21"/>
                      <w:szCs w:val="21"/>
                      <w:u w:val="none"/>
                    </w:rPr>
                  </w:pPr>
                  <w:r>
                    <w:rPr>
                      <w:rFonts w:hint="eastAsia" w:eastAsia="宋体"/>
                      <w:bCs/>
                      <w:sz w:val="21"/>
                      <w:u w:val="none"/>
                    </w:rPr>
                    <w:t>/</w:t>
                  </w:r>
                </w:p>
              </w:tc>
              <w:tc>
                <w:tcPr>
                  <w:tcW w:w="702" w:type="pct"/>
                  <w:shd w:val="clear" w:color="auto" w:fill="auto"/>
                  <w:noWrap w:val="0"/>
                  <w:vAlign w:val="center"/>
                </w:tcPr>
                <w:p w14:paraId="3DB36BE9">
                  <w:pPr>
                    <w:kinsoku w:val="0"/>
                    <w:overflowPunct w:val="0"/>
                    <w:jc w:val="center"/>
                    <w:rPr>
                      <w:rFonts w:hint="eastAsia" w:eastAsia="宋体"/>
                      <w:bCs/>
                      <w:sz w:val="21"/>
                      <w:u w:val="none"/>
                    </w:rPr>
                  </w:pPr>
                  <w:r>
                    <w:rPr>
                      <w:rFonts w:hint="eastAsia" w:eastAsia="宋体"/>
                      <w:bCs/>
                      <w:sz w:val="21"/>
                      <w:u w:val="none"/>
                    </w:rPr>
                    <w:t>/</w:t>
                  </w:r>
                </w:p>
              </w:tc>
              <w:tc>
                <w:tcPr>
                  <w:tcW w:w="701" w:type="pct"/>
                  <w:shd w:val="clear" w:color="auto" w:fill="auto"/>
                  <w:noWrap w:val="0"/>
                  <w:vAlign w:val="center"/>
                </w:tcPr>
                <w:p w14:paraId="6BC51130">
                  <w:pPr>
                    <w:kinsoku w:val="0"/>
                    <w:overflowPunct w:val="0"/>
                    <w:jc w:val="center"/>
                    <w:rPr>
                      <w:rFonts w:eastAsia="宋体"/>
                      <w:bCs/>
                      <w:sz w:val="21"/>
                      <w:u w:val="none"/>
                    </w:rPr>
                  </w:pPr>
                  <w:r>
                    <w:rPr>
                      <w:rFonts w:hint="eastAsia" w:eastAsia="宋体"/>
                      <w:bCs/>
                      <w:sz w:val="21"/>
                      <w:u w:val="none"/>
                    </w:rPr>
                    <w:t>119.809</w:t>
                  </w:r>
                </w:p>
              </w:tc>
            </w:tr>
            <w:tr w14:paraId="3AD73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3" w:type="pct"/>
                  <w:gridSpan w:val="2"/>
                  <w:vMerge w:val="continue"/>
                  <w:shd w:val="clear" w:color="auto" w:fill="auto"/>
                  <w:noWrap w:val="0"/>
                  <w:vAlign w:val="center"/>
                </w:tcPr>
                <w:p w14:paraId="2D9E760F">
                  <w:pPr>
                    <w:kinsoku w:val="0"/>
                    <w:overflowPunct w:val="0"/>
                    <w:jc w:val="center"/>
                    <w:rPr>
                      <w:rFonts w:eastAsia="宋体"/>
                      <w:bCs/>
                      <w:sz w:val="21"/>
                      <w:szCs w:val="21"/>
                      <w:u w:val="none"/>
                    </w:rPr>
                  </w:pPr>
                </w:p>
              </w:tc>
              <w:tc>
                <w:tcPr>
                  <w:tcW w:w="698" w:type="pct"/>
                  <w:shd w:val="clear" w:color="auto" w:fill="auto"/>
                  <w:noWrap w:val="0"/>
                  <w:vAlign w:val="center"/>
                </w:tcPr>
                <w:p w14:paraId="729C0F55">
                  <w:pPr>
                    <w:pStyle w:val="67"/>
                    <w:widowControl w:val="0"/>
                    <w:pBdr>
                      <w:left w:val="none" w:color="auto" w:sz="0" w:space="0"/>
                      <w:bottom w:val="none" w:color="auto" w:sz="0" w:space="0"/>
                      <w:right w:val="none" w:color="auto" w:sz="0" w:space="0"/>
                    </w:pBdr>
                    <w:spacing w:before="0" w:beforeAutospacing="0" w:after="0" w:afterAutospacing="0" w:line="0" w:lineRule="atLeast"/>
                    <w:rPr>
                      <w:bCs/>
                      <w:u w:val="none"/>
                    </w:rPr>
                  </w:pPr>
                  <w:r>
                    <w:rPr>
                      <w:rFonts w:hint="eastAsia" w:ascii="Times New Roman" w:hAnsi="Times New Roman"/>
                      <w:u w:val="none"/>
                    </w:rPr>
                    <w:t>氮氧化物</w:t>
                  </w:r>
                </w:p>
              </w:tc>
              <w:tc>
                <w:tcPr>
                  <w:tcW w:w="573" w:type="pct"/>
                  <w:shd w:val="clear" w:color="auto" w:fill="auto"/>
                  <w:noWrap w:val="0"/>
                  <w:vAlign w:val="center"/>
                </w:tcPr>
                <w:p w14:paraId="16E4B271">
                  <w:pPr>
                    <w:kinsoku w:val="0"/>
                    <w:overflowPunct w:val="0"/>
                    <w:jc w:val="center"/>
                    <w:rPr>
                      <w:rFonts w:hint="eastAsia" w:eastAsia="宋体"/>
                      <w:bCs/>
                      <w:sz w:val="21"/>
                      <w:u w:val="none"/>
                    </w:rPr>
                  </w:pPr>
                  <w:r>
                    <w:rPr>
                      <w:rFonts w:hint="eastAsia" w:eastAsia="宋体"/>
                      <w:bCs/>
                      <w:sz w:val="21"/>
                      <w:u w:val="none"/>
                    </w:rPr>
                    <w:t>/</w:t>
                  </w:r>
                </w:p>
              </w:tc>
              <w:tc>
                <w:tcPr>
                  <w:tcW w:w="633" w:type="pct"/>
                  <w:shd w:val="clear" w:color="auto" w:fill="auto"/>
                  <w:noWrap w:val="0"/>
                  <w:vAlign w:val="center"/>
                </w:tcPr>
                <w:p w14:paraId="272C65E0">
                  <w:pPr>
                    <w:kinsoku w:val="0"/>
                    <w:overflowPunct w:val="0"/>
                    <w:jc w:val="center"/>
                    <w:rPr>
                      <w:rFonts w:eastAsia="宋体"/>
                      <w:bCs/>
                      <w:sz w:val="21"/>
                      <w:szCs w:val="21"/>
                      <w:u w:val="none"/>
                    </w:rPr>
                  </w:pPr>
                  <w:r>
                    <w:rPr>
                      <w:rFonts w:hint="eastAsia" w:eastAsia="宋体"/>
                      <w:bCs/>
                      <w:sz w:val="21"/>
                      <w:u w:val="none"/>
                    </w:rPr>
                    <w:t>/</w:t>
                  </w:r>
                </w:p>
              </w:tc>
              <w:tc>
                <w:tcPr>
                  <w:tcW w:w="702" w:type="pct"/>
                  <w:shd w:val="clear" w:color="auto" w:fill="auto"/>
                  <w:noWrap w:val="0"/>
                  <w:vAlign w:val="center"/>
                </w:tcPr>
                <w:p w14:paraId="1D3E5222">
                  <w:pPr>
                    <w:kinsoku w:val="0"/>
                    <w:overflowPunct w:val="0"/>
                    <w:jc w:val="center"/>
                    <w:rPr>
                      <w:rFonts w:hint="eastAsia" w:eastAsia="宋体"/>
                      <w:bCs/>
                      <w:sz w:val="21"/>
                      <w:u w:val="none"/>
                    </w:rPr>
                  </w:pPr>
                  <w:r>
                    <w:rPr>
                      <w:rFonts w:hint="eastAsia" w:eastAsia="宋体"/>
                      <w:bCs/>
                      <w:sz w:val="21"/>
                      <w:u w:val="none"/>
                    </w:rPr>
                    <w:t>/</w:t>
                  </w:r>
                </w:p>
              </w:tc>
              <w:tc>
                <w:tcPr>
                  <w:tcW w:w="701" w:type="pct"/>
                  <w:shd w:val="clear" w:color="auto" w:fill="auto"/>
                  <w:noWrap w:val="0"/>
                  <w:vAlign w:val="center"/>
                </w:tcPr>
                <w:p w14:paraId="19500C28">
                  <w:pPr>
                    <w:kinsoku w:val="0"/>
                    <w:overflowPunct w:val="0"/>
                    <w:jc w:val="center"/>
                    <w:rPr>
                      <w:rFonts w:eastAsia="宋体"/>
                      <w:bCs/>
                      <w:sz w:val="21"/>
                      <w:u w:val="none"/>
                    </w:rPr>
                  </w:pPr>
                  <w:r>
                    <w:rPr>
                      <w:rFonts w:hint="eastAsia" w:eastAsia="宋体"/>
                      <w:bCs/>
                      <w:sz w:val="21"/>
                      <w:u w:val="none"/>
                    </w:rPr>
                    <w:t>585.353</w:t>
                  </w:r>
                </w:p>
              </w:tc>
            </w:tr>
            <w:tr w14:paraId="34609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3" w:type="pct"/>
                  <w:gridSpan w:val="2"/>
                  <w:vMerge w:val="continue"/>
                  <w:shd w:val="clear" w:color="auto" w:fill="auto"/>
                  <w:noWrap w:val="0"/>
                  <w:vAlign w:val="center"/>
                </w:tcPr>
                <w:p w14:paraId="256453BB">
                  <w:pPr>
                    <w:kinsoku w:val="0"/>
                    <w:overflowPunct w:val="0"/>
                    <w:jc w:val="center"/>
                    <w:rPr>
                      <w:rFonts w:eastAsia="宋体"/>
                      <w:bCs/>
                      <w:sz w:val="21"/>
                      <w:szCs w:val="21"/>
                      <w:u w:val="none"/>
                    </w:rPr>
                  </w:pPr>
                </w:p>
              </w:tc>
              <w:tc>
                <w:tcPr>
                  <w:tcW w:w="698" w:type="pct"/>
                  <w:shd w:val="clear" w:color="auto" w:fill="auto"/>
                  <w:noWrap w:val="0"/>
                  <w:vAlign w:val="center"/>
                </w:tcPr>
                <w:p w14:paraId="5B88B8EF">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bCs/>
                      <w:u w:val="none"/>
                    </w:rPr>
                  </w:pPr>
                  <w:r>
                    <w:rPr>
                      <w:rFonts w:hint="eastAsia" w:ascii="Times New Roman" w:hAnsi="Times New Roman"/>
                      <w:u w:val="none"/>
                    </w:rPr>
                    <w:t>二氧化硫</w:t>
                  </w:r>
                </w:p>
              </w:tc>
              <w:tc>
                <w:tcPr>
                  <w:tcW w:w="573" w:type="pct"/>
                  <w:shd w:val="clear" w:color="auto" w:fill="auto"/>
                  <w:noWrap w:val="0"/>
                  <w:vAlign w:val="center"/>
                </w:tcPr>
                <w:p w14:paraId="61F49D1D">
                  <w:pPr>
                    <w:kinsoku w:val="0"/>
                    <w:overflowPunct w:val="0"/>
                    <w:jc w:val="center"/>
                    <w:rPr>
                      <w:rFonts w:hint="eastAsia" w:eastAsia="宋体"/>
                      <w:bCs/>
                      <w:sz w:val="21"/>
                      <w:u w:val="none"/>
                    </w:rPr>
                  </w:pPr>
                  <w:r>
                    <w:rPr>
                      <w:rFonts w:hint="eastAsia" w:eastAsia="宋体"/>
                      <w:bCs/>
                      <w:sz w:val="21"/>
                      <w:u w:val="none"/>
                    </w:rPr>
                    <w:t>/</w:t>
                  </w:r>
                </w:p>
              </w:tc>
              <w:tc>
                <w:tcPr>
                  <w:tcW w:w="633" w:type="pct"/>
                  <w:shd w:val="clear" w:color="auto" w:fill="auto"/>
                  <w:noWrap w:val="0"/>
                  <w:vAlign w:val="center"/>
                </w:tcPr>
                <w:p w14:paraId="4E651800">
                  <w:pPr>
                    <w:kinsoku w:val="0"/>
                    <w:overflowPunct w:val="0"/>
                    <w:jc w:val="center"/>
                    <w:rPr>
                      <w:rFonts w:hint="eastAsia" w:eastAsia="宋体"/>
                      <w:bCs/>
                      <w:sz w:val="21"/>
                      <w:szCs w:val="21"/>
                      <w:u w:val="none"/>
                    </w:rPr>
                  </w:pPr>
                  <w:r>
                    <w:rPr>
                      <w:rFonts w:hint="eastAsia" w:eastAsia="宋体"/>
                      <w:bCs/>
                      <w:sz w:val="21"/>
                      <w:u w:val="none"/>
                    </w:rPr>
                    <w:t>/</w:t>
                  </w:r>
                </w:p>
              </w:tc>
              <w:tc>
                <w:tcPr>
                  <w:tcW w:w="702" w:type="pct"/>
                  <w:shd w:val="clear" w:color="auto" w:fill="auto"/>
                  <w:noWrap w:val="0"/>
                  <w:vAlign w:val="center"/>
                </w:tcPr>
                <w:p w14:paraId="688A1D79">
                  <w:pPr>
                    <w:kinsoku w:val="0"/>
                    <w:overflowPunct w:val="0"/>
                    <w:jc w:val="center"/>
                    <w:rPr>
                      <w:rFonts w:hint="eastAsia" w:eastAsia="宋体"/>
                      <w:bCs/>
                      <w:sz w:val="21"/>
                      <w:u w:val="none"/>
                    </w:rPr>
                  </w:pPr>
                  <w:r>
                    <w:rPr>
                      <w:rFonts w:hint="eastAsia" w:eastAsia="宋体"/>
                      <w:bCs/>
                      <w:sz w:val="21"/>
                      <w:u w:val="none"/>
                    </w:rPr>
                    <w:t>/</w:t>
                  </w:r>
                </w:p>
              </w:tc>
              <w:tc>
                <w:tcPr>
                  <w:tcW w:w="701" w:type="pct"/>
                  <w:shd w:val="clear" w:color="auto" w:fill="auto"/>
                  <w:noWrap w:val="0"/>
                  <w:vAlign w:val="center"/>
                </w:tcPr>
                <w:p w14:paraId="5F121EB6">
                  <w:pPr>
                    <w:kinsoku w:val="0"/>
                    <w:overflowPunct w:val="0"/>
                    <w:jc w:val="center"/>
                    <w:rPr>
                      <w:rFonts w:hint="eastAsia" w:eastAsia="宋体"/>
                      <w:bCs/>
                      <w:sz w:val="21"/>
                      <w:u w:val="none"/>
                    </w:rPr>
                  </w:pPr>
                  <w:r>
                    <w:rPr>
                      <w:rFonts w:hint="eastAsia" w:eastAsia="宋体"/>
                      <w:bCs/>
                      <w:sz w:val="21"/>
                      <w:u w:val="none"/>
                    </w:rPr>
                    <w:t>248.137</w:t>
                  </w:r>
                </w:p>
              </w:tc>
            </w:tr>
            <w:tr w14:paraId="00689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3" w:type="pct"/>
                  <w:gridSpan w:val="2"/>
                  <w:vMerge w:val="continue"/>
                  <w:shd w:val="clear" w:color="auto" w:fill="auto"/>
                  <w:noWrap w:val="0"/>
                  <w:vAlign w:val="center"/>
                </w:tcPr>
                <w:p w14:paraId="19D63926">
                  <w:pPr>
                    <w:kinsoku w:val="0"/>
                    <w:overflowPunct w:val="0"/>
                    <w:jc w:val="center"/>
                    <w:rPr>
                      <w:rFonts w:eastAsia="宋体"/>
                      <w:bCs/>
                      <w:sz w:val="21"/>
                      <w:szCs w:val="21"/>
                      <w:u w:val="none"/>
                    </w:rPr>
                  </w:pPr>
                </w:p>
              </w:tc>
              <w:tc>
                <w:tcPr>
                  <w:tcW w:w="698" w:type="pct"/>
                  <w:shd w:val="clear" w:color="auto" w:fill="auto"/>
                  <w:noWrap w:val="0"/>
                  <w:vAlign w:val="center"/>
                </w:tcPr>
                <w:p w14:paraId="006D20F7">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u w:val="none"/>
                    </w:rPr>
                  </w:pPr>
                  <w:r>
                    <w:rPr>
                      <w:rFonts w:hint="eastAsia" w:ascii="Times New Roman" w:hAnsi="Times New Roman"/>
                      <w:u w:val="none"/>
                    </w:rPr>
                    <w:t>甲醇</w:t>
                  </w:r>
                </w:p>
              </w:tc>
              <w:tc>
                <w:tcPr>
                  <w:tcW w:w="573" w:type="pct"/>
                  <w:shd w:val="clear" w:color="auto" w:fill="auto"/>
                  <w:noWrap w:val="0"/>
                  <w:vAlign w:val="center"/>
                </w:tcPr>
                <w:p w14:paraId="489884AB">
                  <w:pPr>
                    <w:kinsoku w:val="0"/>
                    <w:overflowPunct w:val="0"/>
                    <w:jc w:val="center"/>
                    <w:rPr>
                      <w:rFonts w:hint="eastAsia" w:eastAsia="宋体"/>
                      <w:bCs/>
                      <w:sz w:val="21"/>
                      <w:u w:val="none"/>
                    </w:rPr>
                  </w:pPr>
                  <w:r>
                    <w:rPr>
                      <w:rFonts w:hint="eastAsia" w:eastAsia="宋体"/>
                      <w:bCs/>
                      <w:sz w:val="21"/>
                      <w:u w:val="none"/>
                    </w:rPr>
                    <w:t>/</w:t>
                  </w:r>
                </w:p>
              </w:tc>
              <w:tc>
                <w:tcPr>
                  <w:tcW w:w="633" w:type="pct"/>
                  <w:shd w:val="clear" w:color="auto" w:fill="auto"/>
                  <w:noWrap w:val="0"/>
                  <w:vAlign w:val="center"/>
                </w:tcPr>
                <w:p w14:paraId="36638E0C">
                  <w:pPr>
                    <w:kinsoku w:val="0"/>
                    <w:overflowPunct w:val="0"/>
                    <w:jc w:val="center"/>
                    <w:rPr>
                      <w:rFonts w:hint="eastAsia" w:eastAsia="宋体"/>
                      <w:bCs/>
                      <w:sz w:val="21"/>
                      <w:u w:val="none"/>
                    </w:rPr>
                  </w:pPr>
                  <w:r>
                    <w:rPr>
                      <w:rFonts w:hint="eastAsia" w:eastAsia="宋体"/>
                      <w:bCs/>
                      <w:sz w:val="21"/>
                      <w:u w:val="none"/>
                    </w:rPr>
                    <w:t>/</w:t>
                  </w:r>
                </w:p>
              </w:tc>
              <w:tc>
                <w:tcPr>
                  <w:tcW w:w="702" w:type="pct"/>
                  <w:shd w:val="clear" w:color="auto" w:fill="auto"/>
                  <w:noWrap w:val="0"/>
                  <w:vAlign w:val="center"/>
                </w:tcPr>
                <w:p w14:paraId="49AEF51A">
                  <w:pPr>
                    <w:kinsoku w:val="0"/>
                    <w:overflowPunct w:val="0"/>
                    <w:jc w:val="center"/>
                    <w:rPr>
                      <w:rFonts w:hint="eastAsia" w:eastAsia="宋体"/>
                      <w:bCs/>
                      <w:sz w:val="21"/>
                      <w:u w:val="none"/>
                    </w:rPr>
                  </w:pPr>
                  <w:r>
                    <w:rPr>
                      <w:rFonts w:hint="eastAsia" w:eastAsia="宋体"/>
                      <w:bCs/>
                      <w:sz w:val="21"/>
                      <w:u w:val="none"/>
                    </w:rPr>
                    <w:t>/</w:t>
                  </w:r>
                </w:p>
              </w:tc>
              <w:tc>
                <w:tcPr>
                  <w:tcW w:w="701" w:type="pct"/>
                  <w:shd w:val="clear" w:color="auto" w:fill="auto"/>
                  <w:noWrap w:val="0"/>
                  <w:vAlign w:val="center"/>
                </w:tcPr>
                <w:p w14:paraId="45FE4B08">
                  <w:pPr>
                    <w:kinsoku w:val="0"/>
                    <w:overflowPunct w:val="0"/>
                    <w:jc w:val="center"/>
                    <w:rPr>
                      <w:rFonts w:hint="eastAsia" w:eastAsia="宋体"/>
                      <w:bCs/>
                      <w:sz w:val="21"/>
                      <w:u w:val="none"/>
                    </w:rPr>
                  </w:pPr>
                  <w:r>
                    <w:rPr>
                      <w:rFonts w:hint="eastAsia" w:eastAsia="宋体"/>
                      <w:bCs/>
                      <w:sz w:val="21"/>
                      <w:u w:val="none"/>
                    </w:rPr>
                    <w:t>75.517</w:t>
                  </w:r>
                </w:p>
              </w:tc>
            </w:tr>
            <w:tr w14:paraId="6EDA7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3" w:type="pct"/>
                  <w:gridSpan w:val="2"/>
                  <w:vMerge w:val="continue"/>
                  <w:shd w:val="clear" w:color="auto" w:fill="auto"/>
                  <w:noWrap w:val="0"/>
                  <w:vAlign w:val="center"/>
                </w:tcPr>
                <w:p w14:paraId="1AE35272">
                  <w:pPr>
                    <w:kinsoku w:val="0"/>
                    <w:overflowPunct w:val="0"/>
                    <w:jc w:val="center"/>
                    <w:rPr>
                      <w:rFonts w:eastAsia="宋体"/>
                      <w:bCs/>
                      <w:sz w:val="21"/>
                      <w:szCs w:val="21"/>
                      <w:u w:val="none"/>
                    </w:rPr>
                  </w:pPr>
                </w:p>
              </w:tc>
              <w:tc>
                <w:tcPr>
                  <w:tcW w:w="698" w:type="pct"/>
                  <w:shd w:val="clear" w:color="auto" w:fill="auto"/>
                  <w:noWrap w:val="0"/>
                  <w:vAlign w:val="center"/>
                </w:tcPr>
                <w:p w14:paraId="60F3E9B6">
                  <w:pPr>
                    <w:pStyle w:val="67"/>
                    <w:widowControl w:val="0"/>
                    <w:pBdr>
                      <w:left w:val="none" w:color="auto" w:sz="0" w:space="0"/>
                      <w:bottom w:val="none" w:color="auto" w:sz="0" w:space="0"/>
                      <w:right w:val="none" w:color="auto" w:sz="0" w:space="0"/>
                    </w:pBdr>
                    <w:spacing w:before="0" w:beforeAutospacing="0" w:after="0" w:afterAutospacing="0" w:line="0" w:lineRule="atLeast"/>
                    <w:rPr>
                      <w:bCs/>
                      <w:u w:val="none"/>
                    </w:rPr>
                  </w:pPr>
                  <w:r>
                    <w:rPr>
                      <w:rFonts w:hint="eastAsia"/>
                      <w:bCs/>
                      <w:u w:val="none"/>
                    </w:rPr>
                    <w:t>挥发性有机物</w:t>
                  </w:r>
                </w:p>
              </w:tc>
              <w:tc>
                <w:tcPr>
                  <w:tcW w:w="573" w:type="pct"/>
                  <w:shd w:val="clear" w:color="auto" w:fill="auto"/>
                  <w:noWrap w:val="0"/>
                  <w:vAlign w:val="center"/>
                </w:tcPr>
                <w:p w14:paraId="33FD9D96">
                  <w:pPr>
                    <w:kinsoku w:val="0"/>
                    <w:overflowPunct w:val="0"/>
                    <w:jc w:val="center"/>
                    <w:rPr>
                      <w:rFonts w:hint="eastAsia" w:eastAsia="宋体"/>
                      <w:bCs/>
                      <w:sz w:val="21"/>
                      <w:u w:val="none"/>
                    </w:rPr>
                  </w:pPr>
                  <w:r>
                    <w:rPr>
                      <w:rFonts w:hint="eastAsia" w:eastAsia="宋体"/>
                      <w:bCs/>
                      <w:sz w:val="21"/>
                      <w:u w:val="none"/>
                    </w:rPr>
                    <w:t>/</w:t>
                  </w:r>
                </w:p>
              </w:tc>
              <w:tc>
                <w:tcPr>
                  <w:tcW w:w="633" w:type="pct"/>
                  <w:shd w:val="clear" w:color="auto" w:fill="auto"/>
                  <w:noWrap w:val="0"/>
                  <w:vAlign w:val="center"/>
                </w:tcPr>
                <w:p w14:paraId="31B53F7D">
                  <w:pPr>
                    <w:kinsoku w:val="0"/>
                    <w:overflowPunct w:val="0"/>
                    <w:jc w:val="center"/>
                    <w:rPr>
                      <w:rFonts w:eastAsia="宋体"/>
                      <w:bCs/>
                      <w:sz w:val="21"/>
                      <w:szCs w:val="21"/>
                      <w:u w:val="none"/>
                    </w:rPr>
                  </w:pPr>
                  <w:r>
                    <w:rPr>
                      <w:rFonts w:hint="eastAsia" w:eastAsia="宋体"/>
                      <w:bCs/>
                      <w:sz w:val="21"/>
                      <w:u w:val="none"/>
                    </w:rPr>
                    <w:t>/</w:t>
                  </w:r>
                </w:p>
              </w:tc>
              <w:tc>
                <w:tcPr>
                  <w:tcW w:w="702" w:type="pct"/>
                  <w:shd w:val="clear" w:color="auto" w:fill="auto"/>
                  <w:noWrap w:val="0"/>
                  <w:vAlign w:val="center"/>
                </w:tcPr>
                <w:p w14:paraId="47FD37E2">
                  <w:pPr>
                    <w:kinsoku w:val="0"/>
                    <w:overflowPunct w:val="0"/>
                    <w:jc w:val="center"/>
                    <w:rPr>
                      <w:rFonts w:hint="eastAsia" w:eastAsia="宋体"/>
                      <w:bCs/>
                      <w:sz w:val="21"/>
                      <w:u w:val="none"/>
                    </w:rPr>
                  </w:pPr>
                  <w:r>
                    <w:rPr>
                      <w:rFonts w:hint="eastAsia" w:eastAsia="宋体"/>
                      <w:bCs/>
                      <w:sz w:val="21"/>
                      <w:u w:val="none"/>
                    </w:rPr>
                    <w:t>/</w:t>
                  </w:r>
                </w:p>
              </w:tc>
              <w:tc>
                <w:tcPr>
                  <w:tcW w:w="701" w:type="pct"/>
                  <w:shd w:val="clear" w:color="auto" w:fill="auto"/>
                  <w:noWrap w:val="0"/>
                  <w:vAlign w:val="center"/>
                </w:tcPr>
                <w:p w14:paraId="17AA39C0">
                  <w:pPr>
                    <w:kinsoku w:val="0"/>
                    <w:overflowPunct w:val="0"/>
                    <w:jc w:val="center"/>
                    <w:rPr>
                      <w:rFonts w:hint="eastAsia" w:eastAsia="宋体"/>
                      <w:bCs/>
                      <w:sz w:val="21"/>
                      <w:u w:val="none"/>
                    </w:rPr>
                  </w:pPr>
                  <w:r>
                    <w:rPr>
                      <w:rFonts w:hint="eastAsia" w:eastAsia="宋体"/>
                      <w:bCs/>
                      <w:sz w:val="21"/>
                      <w:u w:val="none"/>
                    </w:rPr>
                    <w:t>227.814</w:t>
                  </w:r>
                </w:p>
              </w:tc>
            </w:tr>
          </w:tbl>
          <w:p w14:paraId="3B8AC387">
            <w:pPr>
              <w:spacing w:line="500" w:lineRule="atLeast"/>
              <w:ind w:firstLine="480" w:firstLineChars="200"/>
              <w:jc w:val="left"/>
              <w:rPr>
                <w:rFonts w:hint="eastAsia" w:ascii="宋体" w:hAnsi="宋体" w:cs="宋体"/>
                <w:bCs/>
                <w:sz w:val="24"/>
                <w:u w:val="single"/>
                <w:lang w:val="en-US" w:eastAsia="zh-CN"/>
              </w:rPr>
            </w:pPr>
            <w:r>
              <w:rPr>
                <w:rFonts w:hint="eastAsia" w:ascii="宋体" w:hAnsi="宋体" w:eastAsia="宋体" w:cs="宋体"/>
                <w:bCs/>
                <w:sz w:val="24"/>
                <w:u w:val="single"/>
              </w:rPr>
              <w:t>③</w:t>
            </w:r>
            <w:r>
              <w:rPr>
                <w:rFonts w:hint="eastAsia" w:ascii="宋体" w:hAnsi="宋体" w:cs="宋体"/>
                <w:bCs/>
                <w:sz w:val="24"/>
                <w:u w:val="single"/>
                <w:lang w:val="en-US" w:eastAsia="zh-CN"/>
              </w:rPr>
              <w:t>是否属于可行技术</w:t>
            </w:r>
          </w:p>
          <w:p w14:paraId="55C56970">
            <w:pPr>
              <w:spacing w:line="500" w:lineRule="atLeast"/>
              <w:ind w:firstLine="480" w:firstLineChars="200"/>
              <w:jc w:val="left"/>
              <w:rPr>
                <w:rFonts w:hint="default" w:ascii="Times New Roman" w:hAnsi="Times New Roman" w:cs="Times New Roman"/>
                <w:bCs/>
                <w:sz w:val="24"/>
                <w:u w:val="single"/>
                <w:lang w:val="en-US" w:eastAsia="zh-CN"/>
              </w:rPr>
            </w:pPr>
            <w:r>
              <w:rPr>
                <w:rFonts w:hint="default" w:ascii="Times New Roman" w:hAnsi="Times New Roman" w:cs="Times New Roman"/>
                <w:bCs/>
                <w:sz w:val="24"/>
                <w:u w:val="single"/>
                <w:lang w:val="en-US" w:eastAsia="zh-CN"/>
              </w:rPr>
              <w:t>根据《排污许可证申请与核发技术规范 煤炭加工—合成气和液体燃料生产》（HJ 1101-2020），《排污许可证申请与核发技术规范 石化工业》（HJ 853-2017）、</w:t>
            </w:r>
            <w:r>
              <w:rPr>
                <w:rFonts w:hint="eastAsia" w:cs="Times New Roman"/>
                <w:bCs/>
                <w:sz w:val="24"/>
                <w:u w:val="single"/>
                <w:lang w:val="en-US" w:eastAsia="zh-CN"/>
              </w:rPr>
              <w:t>《国家污染防治技术指导目录（2025年）》</w:t>
            </w:r>
            <w:r>
              <w:rPr>
                <w:rFonts w:hint="default" w:ascii="Times New Roman" w:hAnsi="Times New Roman" w:cs="Times New Roman"/>
                <w:bCs/>
                <w:sz w:val="24"/>
                <w:u w:val="single"/>
                <w:lang w:val="en-US" w:eastAsia="zh-CN"/>
              </w:rPr>
              <w:t>，现有工程各有组织废气污染防治措施对比见表</w:t>
            </w:r>
            <w:r>
              <w:rPr>
                <w:rFonts w:hint="eastAsia" w:ascii="Times New Roman" w:hAnsi="Times New Roman" w:cs="Times New Roman"/>
                <w:bCs/>
                <w:sz w:val="24"/>
                <w:u w:val="single"/>
                <w:lang w:val="en-US" w:eastAsia="zh-CN"/>
              </w:rPr>
              <w:t>2-17</w:t>
            </w:r>
            <w:r>
              <w:rPr>
                <w:rFonts w:hint="default" w:ascii="Times New Roman" w:hAnsi="Times New Roman" w:cs="Times New Roman"/>
                <w:bCs/>
                <w:sz w:val="24"/>
                <w:u w:val="single"/>
                <w:lang w:val="en-US" w:eastAsia="zh-CN"/>
              </w:rPr>
              <w:t>。</w:t>
            </w:r>
          </w:p>
          <w:p w14:paraId="644FF8D8">
            <w:pPr>
              <w:pStyle w:val="51"/>
              <w:numPr>
                <w:ilvl w:val="2"/>
                <w:numId w:val="3"/>
              </w:numPr>
              <w:spacing w:line="500" w:lineRule="atLeast"/>
              <w:ind w:firstLineChars="0"/>
              <w:jc w:val="center"/>
              <w:rPr>
                <w:rFonts w:hint="default" w:ascii="Times New Roman" w:hAnsi="Times New Roman" w:cs="Times New Roman"/>
                <w:bCs/>
                <w:sz w:val="24"/>
                <w:lang w:val="en-US" w:eastAsia="zh-CN"/>
              </w:rPr>
            </w:pPr>
            <w:r>
              <w:rPr>
                <w:rFonts w:hint="default"/>
                <w:b/>
                <w:sz w:val="24"/>
                <w:lang w:val="en-US" w:eastAsia="zh-CN"/>
              </w:rPr>
              <w:t>各有组织废气污染防治措施是否可行</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68"/>
              <w:gridCol w:w="1767"/>
              <w:gridCol w:w="1736"/>
              <w:gridCol w:w="1523"/>
              <w:gridCol w:w="2319"/>
            </w:tblGrid>
            <w:tr w14:paraId="6FB71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jc w:val="center"/>
              </w:trPr>
              <w:tc>
                <w:tcPr>
                  <w:tcW w:w="635" w:type="pct"/>
                  <w:shd w:val="clear" w:color="auto" w:fill="auto"/>
                  <w:noWrap w:val="0"/>
                  <w:vAlign w:val="center"/>
                </w:tcPr>
                <w:p w14:paraId="585E6106">
                  <w:pPr>
                    <w:kinsoku w:val="0"/>
                    <w:overflowPunct w:val="0"/>
                    <w:jc w:val="center"/>
                    <w:rPr>
                      <w:rFonts w:eastAsia="宋体"/>
                      <w:bCs/>
                      <w:sz w:val="21"/>
                      <w:u w:val="single"/>
                    </w:rPr>
                  </w:pPr>
                  <w:r>
                    <w:rPr>
                      <w:rFonts w:eastAsia="宋体"/>
                      <w:bCs/>
                      <w:sz w:val="21"/>
                      <w:szCs w:val="21"/>
                      <w:u w:val="single"/>
                    </w:rPr>
                    <w:t>产生源</w:t>
                  </w:r>
                </w:p>
              </w:tc>
              <w:tc>
                <w:tcPr>
                  <w:tcW w:w="1050" w:type="pct"/>
                  <w:shd w:val="clear" w:color="auto" w:fill="auto"/>
                  <w:noWrap w:val="0"/>
                  <w:vAlign w:val="center"/>
                </w:tcPr>
                <w:p w14:paraId="001E4871">
                  <w:pPr>
                    <w:kinsoku w:val="0"/>
                    <w:overflowPunct w:val="0"/>
                    <w:jc w:val="center"/>
                    <w:rPr>
                      <w:rFonts w:eastAsia="宋体"/>
                      <w:bCs/>
                      <w:sz w:val="21"/>
                      <w:szCs w:val="21"/>
                      <w:u w:val="single"/>
                    </w:rPr>
                  </w:pPr>
                  <w:r>
                    <w:rPr>
                      <w:rFonts w:eastAsia="宋体"/>
                      <w:bCs/>
                      <w:sz w:val="21"/>
                      <w:szCs w:val="21"/>
                      <w:u w:val="single"/>
                    </w:rPr>
                    <w:t>污染因子</w:t>
                  </w:r>
                </w:p>
              </w:tc>
              <w:tc>
                <w:tcPr>
                  <w:tcW w:w="1032" w:type="pct"/>
                  <w:shd w:val="clear" w:color="auto" w:fill="auto"/>
                  <w:noWrap w:val="0"/>
                  <w:vAlign w:val="center"/>
                </w:tcPr>
                <w:p w14:paraId="481DD702">
                  <w:pPr>
                    <w:kinsoku w:val="0"/>
                    <w:overflowPunct w:val="0"/>
                    <w:jc w:val="center"/>
                    <w:rPr>
                      <w:rFonts w:eastAsia="宋体"/>
                      <w:bCs/>
                      <w:sz w:val="21"/>
                      <w:szCs w:val="21"/>
                      <w:u w:val="single"/>
                    </w:rPr>
                  </w:pPr>
                  <w:r>
                    <w:rPr>
                      <w:rFonts w:eastAsia="宋体"/>
                      <w:bCs/>
                      <w:sz w:val="21"/>
                      <w:szCs w:val="21"/>
                      <w:u w:val="single"/>
                    </w:rPr>
                    <w:t>治理措施</w:t>
                  </w:r>
                </w:p>
              </w:tc>
              <w:tc>
                <w:tcPr>
                  <w:tcW w:w="905" w:type="pct"/>
                  <w:shd w:val="clear" w:color="auto" w:fill="auto"/>
                  <w:noWrap w:val="0"/>
                  <w:vAlign w:val="center"/>
                </w:tcPr>
                <w:p w14:paraId="5C0E9F1C">
                  <w:pPr>
                    <w:kinsoku w:val="0"/>
                    <w:overflowPunct w:val="0"/>
                    <w:jc w:val="center"/>
                    <w:rPr>
                      <w:rFonts w:eastAsia="宋体"/>
                      <w:bCs/>
                      <w:sz w:val="21"/>
                      <w:szCs w:val="21"/>
                      <w:u w:val="single"/>
                    </w:rPr>
                  </w:pPr>
                  <w:r>
                    <w:rPr>
                      <w:rFonts w:hint="eastAsia" w:eastAsia="宋体"/>
                      <w:bCs/>
                      <w:sz w:val="21"/>
                      <w:szCs w:val="21"/>
                      <w:u w:val="single"/>
                    </w:rPr>
                    <w:t>是否属于</w:t>
                  </w:r>
                </w:p>
                <w:p w14:paraId="73C9B688">
                  <w:pPr>
                    <w:kinsoku w:val="0"/>
                    <w:overflowPunct w:val="0"/>
                    <w:jc w:val="center"/>
                    <w:rPr>
                      <w:rFonts w:hint="eastAsia" w:eastAsia="宋体"/>
                      <w:bCs/>
                      <w:sz w:val="21"/>
                      <w:szCs w:val="21"/>
                      <w:u w:val="single"/>
                    </w:rPr>
                  </w:pPr>
                  <w:r>
                    <w:rPr>
                      <w:rFonts w:hint="eastAsia" w:eastAsia="宋体"/>
                      <w:bCs/>
                      <w:sz w:val="21"/>
                      <w:szCs w:val="21"/>
                      <w:u w:val="single"/>
                    </w:rPr>
                    <w:t>可行技术</w:t>
                  </w:r>
                </w:p>
              </w:tc>
              <w:tc>
                <w:tcPr>
                  <w:tcW w:w="1378" w:type="pct"/>
                  <w:shd w:val="clear" w:color="auto" w:fill="auto"/>
                  <w:noWrap w:val="0"/>
                  <w:vAlign w:val="center"/>
                </w:tcPr>
                <w:p w14:paraId="2A823D8B">
                  <w:pPr>
                    <w:kinsoku w:val="0"/>
                    <w:overflowPunct w:val="0"/>
                    <w:jc w:val="center"/>
                    <w:rPr>
                      <w:rFonts w:hint="eastAsia" w:eastAsia="宋体"/>
                      <w:bCs/>
                      <w:sz w:val="21"/>
                      <w:szCs w:val="21"/>
                      <w:u w:val="single"/>
                    </w:rPr>
                  </w:pPr>
                  <w:r>
                    <w:rPr>
                      <w:rFonts w:hint="eastAsia" w:eastAsia="宋体"/>
                      <w:bCs/>
                      <w:sz w:val="21"/>
                      <w:szCs w:val="21"/>
                      <w:u w:val="single"/>
                    </w:rPr>
                    <w:t>是否属于</w:t>
                  </w:r>
                  <w:r>
                    <w:rPr>
                      <w:rFonts w:hint="eastAsia"/>
                      <w:bCs/>
                      <w:sz w:val="21"/>
                      <w:szCs w:val="21"/>
                      <w:u w:val="single"/>
                      <w:lang w:eastAsia="zh-CN"/>
                    </w:rPr>
                    <w:t>《国家污染防治技术指导目录（2025年）》</w:t>
                  </w:r>
                  <w:r>
                    <w:rPr>
                      <w:rFonts w:hint="eastAsia" w:eastAsia="宋体"/>
                      <w:bCs/>
                      <w:sz w:val="21"/>
                      <w:szCs w:val="21"/>
                      <w:u w:val="single"/>
                    </w:rPr>
                    <w:t>低效类技术</w:t>
                  </w:r>
                </w:p>
              </w:tc>
            </w:tr>
            <w:tr w14:paraId="084A4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0F0C2AC2">
                  <w:pPr>
                    <w:kinsoku w:val="0"/>
                    <w:overflowPunct w:val="0"/>
                    <w:jc w:val="center"/>
                    <w:rPr>
                      <w:rFonts w:eastAsia="宋体"/>
                      <w:bCs/>
                      <w:sz w:val="21"/>
                      <w:u w:val="single"/>
                    </w:rPr>
                  </w:pPr>
                  <w:r>
                    <w:rPr>
                      <w:rFonts w:eastAsia="宋体"/>
                      <w:bCs/>
                      <w:sz w:val="21"/>
                      <w:szCs w:val="21"/>
                      <w:u w:val="single"/>
                    </w:rPr>
                    <w:t>煤输送转运</w:t>
                  </w:r>
                </w:p>
              </w:tc>
              <w:tc>
                <w:tcPr>
                  <w:tcW w:w="1050" w:type="pct"/>
                  <w:shd w:val="clear" w:color="auto" w:fill="auto"/>
                  <w:noWrap w:val="0"/>
                  <w:vAlign w:val="center"/>
                </w:tcPr>
                <w:p w14:paraId="714710DC">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38D4D958">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30389FF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77FFF364">
                  <w:pPr>
                    <w:kinsoku w:val="0"/>
                    <w:overflowPunct w:val="0"/>
                    <w:jc w:val="center"/>
                    <w:rPr>
                      <w:rFonts w:eastAsia="宋体"/>
                      <w:bCs/>
                      <w:sz w:val="21"/>
                      <w:szCs w:val="21"/>
                      <w:u w:val="single"/>
                    </w:rPr>
                  </w:pPr>
                  <w:r>
                    <w:rPr>
                      <w:rFonts w:hint="eastAsia" w:eastAsia="宋体"/>
                      <w:bCs/>
                      <w:sz w:val="21"/>
                      <w:szCs w:val="21"/>
                      <w:u w:val="single"/>
                    </w:rPr>
                    <w:t>否</w:t>
                  </w:r>
                </w:p>
              </w:tc>
            </w:tr>
            <w:tr w14:paraId="05BE1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277FF1DD">
                  <w:pPr>
                    <w:kinsoku w:val="0"/>
                    <w:overflowPunct w:val="0"/>
                    <w:jc w:val="center"/>
                    <w:rPr>
                      <w:rFonts w:eastAsia="宋体"/>
                      <w:bCs/>
                      <w:sz w:val="21"/>
                      <w:u w:val="single"/>
                    </w:rPr>
                  </w:pPr>
                </w:p>
              </w:tc>
              <w:tc>
                <w:tcPr>
                  <w:tcW w:w="1050" w:type="pct"/>
                  <w:shd w:val="clear" w:color="auto" w:fill="auto"/>
                  <w:noWrap w:val="0"/>
                  <w:vAlign w:val="center"/>
                </w:tcPr>
                <w:p w14:paraId="238C076E">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58CDB00D">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50A615A4">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0757D475">
                  <w:pPr>
                    <w:kinsoku w:val="0"/>
                    <w:overflowPunct w:val="0"/>
                    <w:jc w:val="center"/>
                    <w:rPr>
                      <w:rFonts w:eastAsia="宋体"/>
                      <w:bCs/>
                      <w:sz w:val="21"/>
                      <w:szCs w:val="21"/>
                      <w:u w:val="single"/>
                    </w:rPr>
                  </w:pPr>
                </w:p>
              </w:tc>
            </w:tr>
            <w:tr w14:paraId="1EB71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6C91ED9E">
                  <w:pPr>
                    <w:kinsoku w:val="0"/>
                    <w:overflowPunct w:val="0"/>
                    <w:jc w:val="center"/>
                    <w:rPr>
                      <w:rFonts w:eastAsia="宋体"/>
                      <w:bCs/>
                      <w:sz w:val="21"/>
                      <w:u w:val="single"/>
                    </w:rPr>
                  </w:pPr>
                </w:p>
              </w:tc>
              <w:tc>
                <w:tcPr>
                  <w:tcW w:w="1050" w:type="pct"/>
                  <w:shd w:val="clear" w:color="auto" w:fill="auto"/>
                  <w:noWrap w:val="0"/>
                  <w:vAlign w:val="center"/>
                </w:tcPr>
                <w:p w14:paraId="7A090AD9">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63C07F54">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7999C983">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50750910">
                  <w:pPr>
                    <w:kinsoku w:val="0"/>
                    <w:overflowPunct w:val="0"/>
                    <w:jc w:val="center"/>
                    <w:rPr>
                      <w:rFonts w:eastAsia="宋体"/>
                      <w:bCs/>
                      <w:sz w:val="21"/>
                      <w:szCs w:val="21"/>
                      <w:u w:val="single"/>
                    </w:rPr>
                  </w:pPr>
                </w:p>
              </w:tc>
            </w:tr>
            <w:tr w14:paraId="5313B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5D2EA1EA">
                  <w:pPr>
                    <w:kinsoku w:val="0"/>
                    <w:overflowPunct w:val="0"/>
                    <w:jc w:val="center"/>
                    <w:rPr>
                      <w:rFonts w:eastAsia="宋体"/>
                      <w:bCs/>
                      <w:sz w:val="21"/>
                      <w:u w:val="single"/>
                    </w:rPr>
                  </w:pPr>
                </w:p>
              </w:tc>
              <w:tc>
                <w:tcPr>
                  <w:tcW w:w="1050" w:type="pct"/>
                  <w:shd w:val="clear" w:color="auto" w:fill="auto"/>
                  <w:noWrap w:val="0"/>
                  <w:vAlign w:val="center"/>
                </w:tcPr>
                <w:p w14:paraId="0A6C621E">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69AB75AA">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519914CA">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0A6766FF">
                  <w:pPr>
                    <w:kinsoku w:val="0"/>
                    <w:overflowPunct w:val="0"/>
                    <w:jc w:val="center"/>
                    <w:rPr>
                      <w:rFonts w:eastAsia="宋体"/>
                      <w:bCs/>
                      <w:sz w:val="21"/>
                      <w:szCs w:val="21"/>
                      <w:u w:val="single"/>
                    </w:rPr>
                  </w:pPr>
                </w:p>
              </w:tc>
            </w:tr>
            <w:tr w14:paraId="67521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019381EB">
                  <w:pPr>
                    <w:kinsoku w:val="0"/>
                    <w:overflowPunct w:val="0"/>
                    <w:jc w:val="center"/>
                    <w:rPr>
                      <w:rFonts w:eastAsia="宋体"/>
                      <w:bCs/>
                      <w:sz w:val="21"/>
                      <w:u w:val="single"/>
                    </w:rPr>
                  </w:pPr>
                </w:p>
              </w:tc>
              <w:tc>
                <w:tcPr>
                  <w:tcW w:w="1050" w:type="pct"/>
                  <w:shd w:val="clear" w:color="auto" w:fill="auto"/>
                  <w:noWrap w:val="0"/>
                  <w:vAlign w:val="center"/>
                </w:tcPr>
                <w:p w14:paraId="45725A60">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7D1471DC">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777B2E5">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5A77855">
                  <w:pPr>
                    <w:kinsoku w:val="0"/>
                    <w:overflowPunct w:val="0"/>
                    <w:jc w:val="center"/>
                    <w:rPr>
                      <w:rFonts w:eastAsia="宋体"/>
                      <w:bCs/>
                      <w:sz w:val="21"/>
                      <w:szCs w:val="21"/>
                      <w:u w:val="single"/>
                    </w:rPr>
                  </w:pPr>
                </w:p>
              </w:tc>
            </w:tr>
            <w:tr w14:paraId="00542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68BDD2DD">
                  <w:pPr>
                    <w:jc w:val="center"/>
                    <w:rPr>
                      <w:rFonts w:eastAsia="宋体"/>
                      <w:bCs/>
                      <w:sz w:val="21"/>
                      <w:u w:val="single"/>
                    </w:rPr>
                  </w:pPr>
                  <w:r>
                    <w:rPr>
                      <w:rFonts w:eastAsia="宋体"/>
                      <w:bCs/>
                      <w:sz w:val="21"/>
                      <w:szCs w:val="21"/>
                      <w:u w:val="single"/>
                    </w:rPr>
                    <w:t>煤筒仓</w:t>
                  </w:r>
                </w:p>
              </w:tc>
              <w:tc>
                <w:tcPr>
                  <w:tcW w:w="1050" w:type="pct"/>
                  <w:shd w:val="clear" w:color="auto" w:fill="auto"/>
                  <w:noWrap w:val="0"/>
                  <w:vAlign w:val="center"/>
                </w:tcPr>
                <w:p w14:paraId="64184179">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67CD3399">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40BDC359">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17C30C0A">
                  <w:pPr>
                    <w:kinsoku w:val="0"/>
                    <w:overflowPunct w:val="0"/>
                    <w:jc w:val="center"/>
                    <w:rPr>
                      <w:rFonts w:eastAsia="宋体"/>
                      <w:bCs/>
                      <w:sz w:val="21"/>
                      <w:szCs w:val="21"/>
                      <w:u w:val="single"/>
                    </w:rPr>
                  </w:pPr>
                  <w:r>
                    <w:rPr>
                      <w:rFonts w:hint="eastAsia" w:eastAsia="宋体"/>
                      <w:bCs/>
                      <w:sz w:val="21"/>
                      <w:szCs w:val="21"/>
                      <w:u w:val="single"/>
                    </w:rPr>
                    <w:t>否</w:t>
                  </w:r>
                </w:p>
              </w:tc>
            </w:tr>
            <w:tr w14:paraId="6CEBD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519F8B6A">
                  <w:pPr>
                    <w:kinsoku w:val="0"/>
                    <w:overflowPunct w:val="0"/>
                    <w:jc w:val="center"/>
                    <w:rPr>
                      <w:rFonts w:eastAsia="宋体"/>
                      <w:bCs/>
                      <w:sz w:val="21"/>
                      <w:u w:val="single"/>
                    </w:rPr>
                  </w:pPr>
                </w:p>
              </w:tc>
              <w:tc>
                <w:tcPr>
                  <w:tcW w:w="1050" w:type="pct"/>
                  <w:shd w:val="clear" w:color="auto" w:fill="auto"/>
                  <w:noWrap w:val="0"/>
                  <w:vAlign w:val="center"/>
                </w:tcPr>
                <w:p w14:paraId="7C9D06D1">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2FE3E6E2">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5EFC86DD">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70475859">
                  <w:pPr>
                    <w:kinsoku w:val="0"/>
                    <w:overflowPunct w:val="0"/>
                    <w:jc w:val="center"/>
                    <w:rPr>
                      <w:rFonts w:eastAsia="宋体"/>
                      <w:bCs/>
                      <w:sz w:val="21"/>
                      <w:szCs w:val="21"/>
                      <w:u w:val="single"/>
                    </w:rPr>
                  </w:pPr>
                </w:p>
              </w:tc>
            </w:tr>
            <w:tr w14:paraId="6500A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jc w:val="center"/>
              </w:trPr>
              <w:tc>
                <w:tcPr>
                  <w:tcW w:w="635" w:type="pct"/>
                  <w:vMerge w:val="continue"/>
                  <w:shd w:val="clear" w:color="auto" w:fill="auto"/>
                  <w:noWrap w:val="0"/>
                  <w:vAlign w:val="center"/>
                </w:tcPr>
                <w:p w14:paraId="54364C7E">
                  <w:pPr>
                    <w:kinsoku w:val="0"/>
                    <w:overflowPunct w:val="0"/>
                    <w:jc w:val="center"/>
                    <w:rPr>
                      <w:rFonts w:eastAsia="宋体"/>
                      <w:bCs/>
                      <w:sz w:val="21"/>
                      <w:u w:val="single"/>
                    </w:rPr>
                  </w:pPr>
                </w:p>
              </w:tc>
              <w:tc>
                <w:tcPr>
                  <w:tcW w:w="1050" w:type="pct"/>
                  <w:shd w:val="clear" w:color="auto" w:fill="auto"/>
                  <w:noWrap w:val="0"/>
                  <w:vAlign w:val="center"/>
                </w:tcPr>
                <w:p w14:paraId="2F9897A1">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401FB92E">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986993F">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6BEE2A1E">
                  <w:pPr>
                    <w:kinsoku w:val="0"/>
                    <w:overflowPunct w:val="0"/>
                    <w:jc w:val="center"/>
                    <w:rPr>
                      <w:rFonts w:eastAsia="宋体"/>
                      <w:bCs/>
                      <w:sz w:val="21"/>
                      <w:szCs w:val="21"/>
                      <w:u w:val="single"/>
                    </w:rPr>
                  </w:pPr>
                </w:p>
              </w:tc>
            </w:tr>
            <w:tr w14:paraId="6BD4D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3E6CFBE1">
                  <w:pPr>
                    <w:kinsoku w:val="0"/>
                    <w:overflowPunct w:val="0"/>
                    <w:jc w:val="center"/>
                    <w:rPr>
                      <w:rFonts w:eastAsia="宋体"/>
                      <w:bCs/>
                      <w:sz w:val="21"/>
                      <w:u w:val="single"/>
                    </w:rPr>
                  </w:pPr>
                  <w:r>
                    <w:rPr>
                      <w:rFonts w:eastAsia="宋体"/>
                      <w:bCs/>
                      <w:sz w:val="21"/>
                      <w:szCs w:val="21"/>
                      <w:u w:val="single"/>
                    </w:rPr>
                    <w:t>煤磨前煤仓</w:t>
                  </w:r>
                </w:p>
              </w:tc>
              <w:tc>
                <w:tcPr>
                  <w:tcW w:w="1050" w:type="pct"/>
                  <w:shd w:val="clear" w:color="auto" w:fill="auto"/>
                  <w:noWrap w:val="0"/>
                  <w:vAlign w:val="center"/>
                </w:tcPr>
                <w:p w14:paraId="54F05B6B">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080F1F29">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5FD58656">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14145449">
                  <w:pPr>
                    <w:kinsoku w:val="0"/>
                    <w:overflowPunct w:val="0"/>
                    <w:jc w:val="center"/>
                    <w:rPr>
                      <w:rFonts w:eastAsia="宋体"/>
                      <w:bCs/>
                      <w:sz w:val="21"/>
                      <w:szCs w:val="21"/>
                      <w:u w:val="single"/>
                    </w:rPr>
                  </w:pPr>
                  <w:r>
                    <w:rPr>
                      <w:rFonts w:hint="eastAsia" w:eastAsia="宋体"/>
                      <w:bCs/>
                      <w:sz w:val="21"/>
                      <w:szCs w:val="21"/>
                      <w:u w:val="single"/>
                    </w:rPr>
                    <w:t>否</w:t>
                  </w:r>
                </w:p>
              </w:tc>
            </w:tr>
            <w:tr w14:paraId="595E9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50BE75FB">
                  <w:pPr>
                    <w:kinsoku w:val="0"/>
                    <w:overflowPunct w:val="0"/>
                    <w:jc w:val="center"/>
                    <w:rPr>
                      <w:rFonts w:eastAsia="宋体"/>
                      <w:bCs/>
                      <w:sz w:val="21"/>
                      <w:u w:val="single"/>
                    </w:rPr>
                  </w:pPr>
                </w:p>
              </w:tc>
              <w:tc>
                <w:tcPr>
                  <w:tcW w:w="1050" w:type="pct"/>
                  <w:shd w:val="clear" w:color="auto" w:fill="auto"/>
                  <w:noWrap w:val="0"/>
                  <w:vAlign w:val="center"/>
                </w:tcPr>
                <w:p w14:paraId="3C28460F">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65BEDB5E">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7AB4CDCE">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BC88D66">
                  <w:pPr>
                    <w:kinsoku w:val="0"/>
                    <w:overflowPunct w:val="0"/>
                    <w:jc w:val="center"/>
                    <w:rPr>
                      <w:rFonts w:eastAsia="宋体"/>
                      <w:bCs/>
                      <w:sz w:val="21"/>
                      <w:szCs w:val="21"/>
                      <w:u w:val="single"/>
                    </w:rPr>
                  </w:pPr>
                </w:p>
              </w:tc>
            </w:tr>
            <w:tr w14:paraId="4E07D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1A741729">
                  <w:pPr>
                    <w:kinsoku w:val="0"/>
                    <w:overflowPunct w:val="0"/>
                    <w:jc w:val="center"/>
                    <w:rPr>
                      <w:rFonts w:eastAsia="宋体"/>
                      <w:bCs/>
                      <w:sz w:val="21"/>
                      <w:u w:val="single"/>
                    </w:rPr>
                  </w:pPr>
                </w:p>
              </w:tc>
              <w:tc>
                <w:tcPr>
                  <w:tcW w:w="1050" w:type="pct"/>
                  <w:shd w:val="clear" w:color="auto" w:fill="auto"/>
                  <w:noWrap w:val="0"/>
                  <w:vAlign w:val="center"/>
                </w:tcPr>
                <w:p w14:paraId="49C320AC">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68CE91A0">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4E83544A">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45B77B2D">
                  <w:pPr>
                    <w:kinsoku w:val="0"/>
                    <w:overflowPunct w:val="0"/>
                    <w:jc w:val="center"/>
                    <w:rPr>
                      <w:rFonts w:eastAsia="宋体"/>
                      <w:bCs/>
                      <w:sz w:val="21"/>
                      <w:szCs w:val="21"/>
                      <w:u w:val="single"/>
                    </w:rPr>
                  </w:pPr>
                </w:p>
              </w:tc>
            </w:tr>
            <w:tr w14:paraId="0D9F4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357A8679">
                  <w:pPr>
                    <w:kinsoku w:val="0"/>
                    <w:overflowPunct w:val="0"/>
                    <w:jc w:val="center"/>
                    <w:rPr>
                      <w:rFonts w:eastAsia="宋体"/>
                      <w:bCs/>
                      <w:sz w:val="21"/>
                      <w:u w:val="single"/>
                    </w:rPr>
                  </w:pPr>
                </w:p>
              </w:tc>
              <w:tc>
                <w:tcPr>
                  <w:tcW w:w="1050" w:type="pct"/>
                  <w:shd w:val="clear" w:color="auto" w:fill="auto"/>
                  <w:noWrap w:val="0"/>
                  <w:vAlign w:val="center"/>
                </w:tcPr>
                <w:p w14:paraId="096178FE">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145D8311">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7FEC4DDC">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0FDDE411">
                  <w:pPr>
                    <w:kinsoku w:val="0"/>
                    <w:overflowPunct w:val="0"/>
                    <w:jc w:val="center"/>
                    <w:rPr>
                      <w:rFonts w:eastAsia="宋体"/>
                      <w:bCs/>
                      <w:sz w:val="21"/>
                      <w:szCs w:val="21"/>
                      <w:u w:val="single"/>
                    </w:rPr>
                  </w:pPr>
                </w:p>
              </w:tc>
            </w:tr>
            <w:tr w14:paraId="2BC00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3498C175">
                  <w:pPr>
                    <w:kinsoku w:val="0"/>
                    <w:overflowPunct w:val="0"/>
                    <w:jc w:val="center"/>
                    <w:rPr>
                      <w:rFonts w:eastAsia="宋体"/>
                      <w:bCs/>
                      <w:sz w:val="21"/>
                      <w:u w:val="single"/>
                    </w:rPr>
                  </w:pPr>
                </w:p>
              </w:tc>
              <w:tc>
                <w:tcPr>
                  <w:tcW w:w="1050" w:type="pct"/>
                  <w:shd w:val="clear" w:color="auto" w:fill="auto"/>
                  <w:noWrap w:val="0"/>
                  <w:vAlign w:val="center"/>
                </w:tcPr>
                <w:p w14:paraId="0C8D079E">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4B0AD6F4">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605CF34">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680BBDF6">
                  <w:pPr>
                    <w:kinsoku w:val="0"/>
                    <w:overflowPunct w:val="0"/>
                    <w:jc w:val="center"/>
                    <w:rPr>
                      <w:rFonts w:eastAsia="宋体"/>
                      <w:bCs/>
                      <w:sz w:val="21"/>
                      <w:szCs w:val="21"/>
                      <w:u w:val="single"/>
                    </w:rPr>
                  </w:pPr>
                </w:p>
              </w:tc>
            </w:tr>
            <w:tr w14:paraId="244F8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268CAF9B">
                  <w:pPr>
                    <w:kinsoku w:val="0"/>
                    <w:overflowPunct w:val="0"/>
                    <w:jc w:val="center"/>
                    <w:rPr>
                      <w:rFonts w:eastAsia="宋体"/>
                      <w:bCs/>
                      <w:sz w:val="21"/>
                      <w:u w:val="single"/>
                    </w:rPr>
                  </w:pPr>
                </w:p>
              </w:tc>
              <w:tc>
                <w:tcPr>
                  <w:tcW w:w="1050" w:type="pct"/>
                  <w:shd w:val="clear" w:color="auto" w:fill="auto"/>
                  <w:noWrap w:val="0"/>
                  <w:vAlign w:val="center"/>
                </w:tcPr>
                <w:p w14:paraId="7EDB3E68">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5CD4236B">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2E8EE69C">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693C9645">
                  <w:pPr>
                    <w:kinsoku w:val="0"/>
                    <w:overflowPunct w:val="0"/>
                    <w:jc w:val="center"/>
                    <w:rPr>
                      <w:rFonts w:eastAsia="宋体"/>
                      <w:bCs/>
                      <w:sz w:val="21"/>
                      <w:szCs w:val="21"/>
                      <w:u w:val="single"/>
                    </w:rPr>
                  </w:pPr>
                </w:p>
              </w:tc>
            </w:tr>
            <w:tr w14:paraId="57B44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1E0FFD01">
                  <w:pPr>
                    <w:kinsoku w:val="0"/>
                    <w:overflowPunct w:val="0"/>
                    <w:jc w:val="center"/>
                    <w:rPr>
                      <w:rFonts w:eastAsia="宋体"/>
                      <w:bCs/>
                      <w:sz w:val="21"/>
                      <w:u w:val="single"/>
                    </w:rPr>
                  </w:pPr>
                  <w:r>
                    <w:rPr>
                      <w:rFonts w:eastAsia="宋体"/>
                      <w:bCs/>
                      <w:sz w:val="21"/>
                      <w:szCs w:val="21"/>
                      <w:u w:val="single"/>
                    </w:rPr>
                    <w:t>磨煤干燥</w:t>
                  </w:r>
                </w:p>
              </w:tc>
              <w:tc>
                <w:tcPr>
                  <w:tcW w:w="1050" w:type="pct"/>
                  <w:shd w:val="clear" w:color="auto" w:fill="auto"/>
                  <w:noWrap w:val="0"/>
                  <w:vAlign w:val="center"/>
                </w:tcPr>
                <w:p w14:paraId="744706C8">
                  <w:pPr>
                    <w:kinsoku w:val="0"/>
                    <w:overflowPunct w:val="0"/>
                    <w:jc w:val="center"/>
                    <w:rPr>
                      <w:rFonts w:eastAsia="宋体"/>
                      <w:bCs/>
                      <w:sz w:val="21"/>
                      <w:u w:val="single"/>
                    </w:rPr>
                  </w:pPr>
                  <w:r>
                    <w:rPr>
                      <w:rFonts w:eastAsia="宋体"/>
                      <w:bCs/>
                      <w:sz w:val="21"/>
                      <w:szCs w:val="21"/>
                      <w:u w:val="single"/>
                    </w:rPr>
                    <w:t>颗粒物</w:t>
                  </w:r>
                </w:p>
              </w:tc>
              <w:tc>
                <w:tcPr>
                  <w:tcW w:w="1032" w:type="pct"/>
                  <w:shd w:val="clear" w:color="auto" w:fill="auto"/>
                  <w:noWrap w:val="0"/>
                  <w:vAlign w:val="center"/>
                </w:tcPr>
                <w:p w14:paraId="7F9E80E8">
                  <w:pPr>
                    <w:kinsoku w:val="0"/>
                    <w:overflowPunct w:val="0"/>
                    <w:jc w:val="center"/>
                    <w:rPr>
                      <w:rFonts w:eastAsia="宋体"/>
                      <w:bCs/>
                      <w:sz w:val="21"/>
                      <w:u w:val="single"/>
                    </w:rPr>
                  </w:pPr>
                  <w:r>
                    <w:rPr>
                      <w:rFonts w:eastAsia="宋体"/>
                      <w:bCs/>
                      <w:sz w:val="21"/>
                      <w:szCs w:val="21"/>
                      <w:u w:val="single"/>
                    </w:rPr>
                    <w:t>布袋除尘</w:t>
                  </w:r>
                </w:p>
              </w:tc>
              <w:tc>
                <w:tcPr>
                  <w:tcW w:w="905" w:type="pct"/>
                  <w:shd w:val="clear" w:color="auto" w:fill="auto"/>
                  <w:noWrap w:val="0"/>
                  <w:vAlign w:val="center"/>
                </w:tcPr>
                <w:p w14:paraId="1F473AF3">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49AD0241">
                  <w:pPr>
                    <w:kinsoku w:val="0"/>
                    <w:overflowPunct w:val="0"/>
                    <w:jc w:val="center"/>
                    <w:rPr>
                      <w:rFonts w:eastAsia="宋体"/>
                      <w:bCs/>
                      <w:sz w:val="21"/>
                      <w:szCs w:val="21"/>
                      <w:u w:val="single"/>
                    </w:rPr>
                  </w:pPr>
                  <w:r>
                    <w:rPr>
                      <w:rFonts w:hint="eastAsia" w:eastAsia="宋体"/>
                      <w:bCs/>
                      <w:sz w:val="21"/>
                      <w:szCs w:val="21"/>
                      <w:u w:val="single"/>
                    </w:rPr>
                    <w:t>否</w:t>
                  </w:r>
                </w:p>
              </w:tc>
            </w:tr>
            <w:tr w14:paraId="10488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25993B00">
                  <w:pPr>
                    <w:kinsoku w:val="0"/>
                    <w:overflowPunct w:val="0"/>
                    <w:jc w:val="center"/>
                    <w:rPr>
                      <w:rFonts w:eastAsia="宋体"/>
                      <w:bCs/>
                      <w:sz w:val="21"/>
                      <w:u w:val="single"/>
                    </w:rPr>
                  </w:pPr>
                </w:p>
              </w:tc>
              <w:tc>
                <w:tcPr>
                  <w:tcW w:w="1050" w:type="pct"/>
                  <w:shd w:val="clear" w:color="auto" w:fill="auto"/>
                  <w:noWrap w:val="0"/>
                  <w:vAlign w:val="center"/>
                </w:tcPr>
                <w:p w14:paraId="5E66BF8D">
                  <w:pPr>
                    <w:kinsoku w:val="0"/>
                    <w:overflowPunct w:val="0"/>
                    <w:jc w:val="center"/>
                    <w:rPr>
                      <w:rFonts w:eastAsia="宋体"/>
                      <w:bCs/>
                      <w:sz w:val="21"/>
                      <w:u w:val="single"/>
                    </w:rPr>
                  </w:pPr>
                  <w:r>
                    <w:rPr>
                      <w:rFonts w:eastAsia="宋体"/>
                      <w:bCs/>
                      <w:sz w:val="21"/>
                      <w:szCs w:val="21"/>
                      <w:u w:val="single"/>
                    </w:rPr>
                    <w:t>颗粒物</w:t>
                  </w:r>
                </w:p>
              </w:tc>
              <w:tc>
                <w:tcPr>
                  <w:tcW w:w="1032" w:type="pct"/>
                  <w:shd w:val="clear" w:color="auto" w:fill="auto"/>
                  <w:noWrap w:val="0"/>
                  <w:vAlign w:val="center"/>
                </w:tcPr>
                <w:p w14:paraId="0EA0E98F">
                  <w:pPr>
                    <w:kinsoku w:val="0"/>
                    <w:overflowPunct w:val="0"/>
                    <w:jc w:val="center"/>
                    <w:rPr>
                      <w:rFonts w:eastAsia="宋体"/>
                      <w:bCs/>
                      <w:sz w:val="21"/>
                      <w:u w:val="single"/>
                    </w:rPr>
                  </w:pPr>
                  <w:r>
                    <w:rPr>
                      <w:rFonts w:eastAsia="宋体"/>
                      <w:bCs/>
                      <w:sz w:val="21"/>
                      <w:szCs w:val="21"/>
                      <w:u w:val="single"/>
                    </w:rPr>
                    <w:t>布袋除尘</w:t>
                  </w:r>
                </w:p>
              </w:tc>
              <w:tc>
                <w:tcPr>
                  <w:tcW w:w="905" w:type="pct"/>
                  <w:shd w:val="clear" w:color="auto" w:fill="auto"/>
                  <w:noWrap w:val="0"/>
                  <w:vAlign w:val="center"/>
                </w:tcPr>
                <w:p w14:paraId="34794AC8">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6A1110F">
                  <w:pPr>
                    <w:kinsoku w:val="0"/>
                    <w:overflowPunct w:val="0"/>
                    <w:jc w:val="center"/>
                    <w:rPr>
                      <w:rFonts w:eastAsia="宋体"/>
                      <w:bCs/>
                      <w:sz w:val="21"/>
                      <w:szCs w:val="21"/>
                      <w:u w:val="single"/>
                    </w:rPr>
                  </w:pPr>
                </w:p>
              </w:tc>
            </w:tr>
            <w:tr w14:paraId="3ED16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5D60B0B5">
                  <w:pPr>
                    <w:kinsoku w:val="0"/>
                    <w:overflowPunct w:val="0"/>
                    <w:jc w:val="center"/>
                    <w:rPr>
                      <w:rFonts w:eastAsia="宋体"/>
                      <w:bCs/>
                      <w:sz w:val="21"/>
                      <w:u w:val="single"/>
                    </w:rPr>
                  </w:pPr>
                </w:p>
              </w:tc>
              <w:tc>
                <w:tcPr>
                  <w:tcW w:w="1050" w:type="pct"/>
                  <w:shd w:val="clear" w:color="auto" w:fill="auto"/>
                  <w:noWrap w:val="0"/>
                  <w:vAlign w:val="center"/>
                </w:tcPr>
                <w:p w14:paraId="14F7DA26">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66BB0A0C">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3ED233B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031DE8F7">
                  <w:pPr>
                    <w:kinsoku w:val="0"/>
                    <w:overflowPunct w:val="0"/>
                    <w:jc w:val="center"/>
                    <w:rPr>
                      <w:rFonts w:eastAsia="宋体"/>
                      <w:bCs/>
                      <w:sz w:val="21"/>
                      <w:szCs w:val="21"/>
                      <w:u w:val="single"/>
                    </w:rPr>
                  </w:pPr>
                  <w:r>
                    <w:rPr>
                      <w:rFonts w:hint="eastAsia" w:eastAsia="宋体"/>
                      <w:bCs/>
                      <w:sz w:val="21"/>
                      <w:szCs w:val="21"/>
                      <w:u w:val="single"/>
                    </w:rPr>
                    <w:t>否</w:t>
                  </w:r>
                </w:p>
              </w:tc>
            </w:tr>
            <w:tr w14:paraId="28854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4EE12955">
                  <w:pPr>
                    <w:kinsoku w:val="0"/>
                    <w:overflowPunct w:val="0"/>
                    <w:jc w:val="center"/>
                    <w:rPr>
                      <w:rFonts w:eastAsia="宋体"/>
                      <w:bCs/>
                      <w:sz w:val="21"/>
                      <w:u w:val="single"/>
                    </w:rPr>
                  </w:pPr>
                </w:p>
              </w:tc>
              <w:tc>
                <w:tcPr>
                  <w:tcW w:w="1050" w:type="pct"/>
                  <w:shd w:val="clear" w:color="auto" w:fill="auto"/>
                  <w:noWrap w:val="0"/>
                  <w:vAlign w:val="center"/>
                </w:tcPr>
                <w:p w14:paraId="448C618F">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5DC623E9">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6DAA724E">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727E3C69">
                  <w:pPr>
                    <w:kinsoku w:val="0"/>
                    <w:overflowPunct w:val="0"/>
                    <w:jc w:val="center"/>
                    <w:rPr>
                      <w:rFonts w:eastAsia="宋体"/>
                      <w:bCs/>
                      <w:sz w:val="21"/>
                      <w:szCs w:val="21"/>
                      <w:u w:val="single"/>
                    </w:rPr>
                  </w:pPr>
                </w:p>
              </w:tc>
            </w:tr>
            <w:tr w14:paraId="42C4E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245C634D">
                  <w:pPr>
                    <w:kinsoku w:val="0"/>
                    <w:overflowPunct w:val="0"/>
                    <w:jc w:val="center"/>
                    <w:rPr>
                      <w:rFonts w:eastAsia="宋体"/>
                      <w:bCs/>
                      <w:sz w:val="21"/>
                      <w:u w:val="single"/>
                    </w:rPr>
                  </w:pPr>
                </w:p>
              </w:tc>
              <w:tc>
                <w:tcPr>
                  <w:tcW w:w="1050" w:type="pct"/>
                  <w:shd w:val="clear" w:color="auto" w:fill="auto"/>
                  <w:noWrap w:val="0"/>
                  <w:vAlign w:val="center"/>
                </w:tcPr>
                <w:p w14:paraId="313F2EEB">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366945C0">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0F971482">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7B68CDD4">
                  <w:pPr>
                    <w:kinsoku w:val="0"/>
                    <w:overflowPunct w:val="0"/>
                    <w:jc w:val="center"/>
                    <w:rPr>
                      <w:rFonts w:eastAsia="宋体"/>
                      <w:bCs/>
                      <w:sz w:val="21"/>
                      <w:szCs w:val="21"/>
                      <w:u w:val="single"/>
                    </w:rPr>
                  </w:pPr>
                </w:p>
              </w:tc>
            </w:tr>
            <w:tr w14:paraId="75331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6C9F89FD">
                  <w:pPr>
                    <w:kinsoku w:val="0"/>
                    <w:overflowPunct w:val="0"/>
                    <w:jc w:val="center"/>
                    <w:rPr>
                      <w:rFonts w:eastAsia="宋体"/>
                      <w:bCs/>
                      <w:sz w:val="21"/>
                      <w:u w:val="single"/>
                    </w:rPr>
                  </w:pPr>
                </w:p>
              </w:tc>
              <w:tc>
                <w:tcPr>
                  <w:tcW w:w="1050" w:type="pct"/>
                  <w:shd w:val="clear" w:color="auto" w:fill="auto"/>
                  <w:noWrap w:val="0"/>
                  <w:vAlign w:val="center"/>
                </w:tcPr>
                <w:p w14:paraId="7C0E996A">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12510B23">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463DF83B">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17FFA02E">
                  <w:pPr>
                    <w:kinsoku w:val="0"/>
                    <w:overflowPunct w:val="0"/>
                    <w:jc w:val="center"/>
                    <w:rPr>
                      <w:rFonts w:eastAsia="宋体"/>
                      <w:bCs/>
                      <w:sz w:val="21"/>
                      <w:szCs w:val="21"/>
                      <w:u w:val="single"/>
                    </w:rPr>
                  </w:pPr>
                </w:p>
              </w:tc>
            </w:tr>
            <w:tr w14:paraId="5424E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42D92946">
                  <w:pPr>
                    <w:kinsoku w:val="0"/>
                    <w:overflowPunct w:val="0"/>
                    <w:jc w:val="center"/>
                    <w:rPr>
                      <w:rFonts w:eastAsia="宋体"/>
                      <w:bCs/>
                      <w:sz w:val="21"/>
                      <w:u w:val="single"/>
                    </w:rPr>
                  </w:pPr>
                </w:p>
              </w:tc>
              <w:tc>
                <w:tcPr>
                  <w:tcW w:w="1050" w:type="pct"/>
                  <w:shd w:val="clear" w:color="auto" w:fill="auto"/>
                  <w:noWrap w:val="0"/>
                  <w:vAlign w:val="center"/>
                </w:tcPr>
                <w:p w14:paraId="1EC2BB10">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7D9FFE07">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ED27260">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01D71B7">
                  <w:pPr>
                    <w:kinsoku w:val="0"/>
                    <w:overflowPunct w:val="0"/>
                    <w:jc w:val="center"/>
                    <w:rPr>
                      <w:rFonts w:eastAsia="宋体"/>
                      <w:bCs/>
                      <w:sz w:val="21"/>
                      <w:szCs w:val="21"/>
                      <w:u w:val="single"/>
                    </w:rPr>
                  </w:pPr>
                </w:p>
              </w:tc>
            </w:tr>
            <w:tr w14:paraId="099C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7EDE5AC8">
                  <w:pPr>
                    <w:kinsoku w:val="0"/>
                    <w:overflowPunct w:val="0"/>
                    <w:jc w:val="center"/>
                    <w:rPr>
                      <w:rFonts w:eastAsia="宋体"/>
                      <w:bCs/>
                      <w:sz w:val="21"/>
                      <w:u w:val="single"/>
                    </w:rPr>
                  </w:pPr>
                </w:p>
              </w:tc>
              <w:tc>
                <w:tcPr>
                  <w:tcW w:w="1050" w:type="pct"/>
                  <w:shd w:val="clear" w:color="auto" w:fill="auto"/>
                  <w:noWrap w:val="0"/>
                  <w:vAlign w:val="center"/>
                </w:tcPr>
                <w:p w14:paraId="2521DCA6">
                  <w:pPr>
                    <w:kinsoku w:val="0"/>
                    <w:overflowPunct w:val="0"/>
                    <w:jc w:val="center"/>
                    <w:rPr>
                      <w:rFonts w:eastAsia="宋体"/>
                      <w:bCs/>
                      <w:sz w:val="21"/>
                      <w:szCs w:val="21"/>
                      <w:u w:val="single"/>
                    </w:rPr>
                  </w:pPr>
                  <w:r>
                    <w:rPr>
                      <w:rFonts w:eastAsia="宋体"/>
                      <w:bCs/>
                      <w:sz w:val="21"/>
                      <w:szCs w:val="21"/>
                      <w:u w:val="single"/>
                    </w:rPr>
                    <w:t>颗粒物、氮氧化物</w:t>
                  </w:r>
                </w:p>
              </w:tc>
              <w:tc>
                <w:tcPr>
                  <w:tcW w:w="1032" w:type="pct"/>
                  <w:shd w:val="clear" w:color="auto" w:fill="auto"/>
                  <w:noWrap w:val="0"/>
                  <w:vAlign w:val="center"/>
                </w:tcPr>
                <w:p w14:paraId="4910C91B">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A9422C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26CED3CE">
                  <w:pPr>
                    <w:kinsoku w:val="0"/>
                    <w:overflowPunct w:val="0"/>
                    <w:jc w:val="center"/>
                    <w:rPr>
                      <w:rFonts w:eastAsia="宋体"/>
                      <w:bCs/>
                      <w:sz w:val="21"/>
                      <w:szCs w:val="21"/>
                      <w:u w:val="single"/>
                    </w:rPr>
                  </w:pPr>
                </w:p>
              </w:tc>
            </w:tr>
            <w:tr w14:paraId="7E47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42BAAAA1">
                  <w:pPr>
                    <w:kinsoku w:val="0"/>
                    <w:overflowPunct w:val="0"/>
                    <w:jc w:val="center"/>
                    <w:rPr>
                      <w:rFonts w:eastAsia="宋体"/>
                      <w:bCs/>
                      <w:sz w:val="21"/>
                      <w:u w:val="single"/>
                    </w:rPr>
                  </w:pPr>
                  <w:r>
                    <w:rPr>
                      <w:rFonts w:eastAsia="宋体"/>
                      <w:bCs/>
                      <w:sz w:val="21"/>
                      <w:szCs w:val="21"/>
                      <w:u w:val="single"/>
                    </w:rPr>
                    <w:t>煤加压</w:t>
                  </w:r>
                </w:p>
              </w:tc>
              <w:tc>
                <w:tcPr>
                  <w:tcW w:w="1050" w:type="pct"/>
                  <w:shd w:val="clear" w:color="auto" w:fill="auto"/>
                  <w:noWrap w:val="0"/>
                  <w:vAlign w:val="center"/>
                </w:tcPr>
                <w:p w14:paraId="4348A6E9">
                  <w:pPr>
                    <w:kinsoku w:val="0"/>
                    <w:overflowPunct w:val="0"/>
                    <w:jc w:val="center"/>
                    <w:rPr>
                      <w:rFonts w:eastAsia="宋体"/>
                      <w:bCs/>
                      <w:sz w:val="21"/>
                      <w:szCs w:val="21"/>
                      <w:u w:val="single"/>
                    </w:rPr>
                  </w:pPr>
                  <w:r>
                    <w:rPr>
                      <w:rFonts w:eastAsia="宋体"/>
                      <w:bCs/>
                      <w:sz w:val="21"/>
                      <w:szCs w:val="21"/>
                      <w:u w:val="single"/>
                    </w:rPr>
                    <w:t>颗粒物、甲醇、硫化氢</w:t>
                  </w:r>
                </w:p>
              </w:tc>
              <w:tc>
                <w:tcPr>
                  <w:tcW w:w="1032" w:type="pct"/>
                  <w:shd w:val="clear" w:color="auto" w:fill="auto"/>
                  <w:noWrap w:val="0"/>
                  <w:vAlign w:val="center"/>
                </w:tcPr>
                <w:p w14:paraId="7956C1AD">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78BB509C">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71BA46FE">
                  <w:pPr>
                    <w:kinsoku w:val="0"/>
                    <w:overflowPunct w:val="0"/>
                    <w:jc w:val="center"/>
                    <w:rPr>
                      <w:rFonts w:eastAsia="宋体"/>
                      <w:bCs/>
                      <w:sz w:val="21"/>
                      <w:szCs w:val="21"/>
                      <w:u w:val="single"/>
                    </w:rPr>
                  </w:pPr>
                  <w:r>
                    <w:rPr>
                      <w:rFonts w:hint="eastAsia" w:eastAsia="宋体"/>
                      <w:bCs/>
                      <w:sz w:val="21"/>
                      <w:szCs w:val="21"/>
                      <w:u w:val="single"/>
                    </w:rPr>
                    <w:t>否</w:t>
                  </w:r>
                </w:p>
              </w:tc>
            </w:tr>
            <w:tr w14:paraId="42DDC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3BC098D4">
                  <w:pPr>
                    <w:kinsoku w:val="0"/>
                    <w:overflowPunct w:val="0"/>
                    <w:jc w:val="center"/>
                    <w:rPr>
                      <w:rFonts w:eastAsia="宋体"/>
                      <w:bCs/>
                      <w:sz w:val="21"/>
                      <w:u w:val="single"/>
                    </w:rPr>
                  </w:pPr>
                </w:p>
              </w:tc>
              <w:tc>
                <w:tcPr>
                  <w:tcW w:w="1050" w:type="pct"/>
                  <w:shd w:val="clear" w:color="auto" w:fill="auto"/>
                  <w:noWrap w:val="0"/>
                  <w:vAlign w:val="center"/>
                </w:tcPr>
                <w:p w14:paraId="799D096F">
                  <w:pPr>
                    <w:kinsoku w:val="0"/>
                    <w:overflowPunct w:val="0"/>
                    <w:jc w:val="center"/>
                    <w:rPr>
                      <w:rFonts w:eastAsia="宋体"/>
                      <w:bCs/>
                      <w:sz w:val="21"/>
                      <w:szCs w:val="21"/>
                      <w:u w:val="single"/>
                    </w:rPr>
                  </w:pPr>
                  <w:r>
                    <w:rPr>
                      <w:rFonts w:eastAsia="宋体"/>
                      <w:bCs/>
                      <w:sz w:val="21"/>
                      <w:szCs w:val="21"/>
                      <w:u w:val="single"/>
                    </w:rPr>
                    <w:t>颗粒物、甲醇、硫化氢</w:t>
                  </w:r>
                </w:p>
              </w:tc>
              <w:tc>
                <w:tcPr>
                  <w:tcW w:w="1032" w:type="pct"/>
                  <w:shd w:val="clear" w:color="auto" w:fill="auto"/>
                  <w:noWrap w:val="0"/>
                  <w:vAlign w:val="center"/>
                </w:tcPr>
                <w:p w14:paraId="7FAC07DB">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16184253">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57B8DA3E">
                  <w:pPr>
                    <w:kinsoku w:val="0"/>
                    <w:overflowPunct w:val="0"/>
                    <w:jc w:val="center"/>
                    <w:rPr>
                      <w:rFonts w:eastAsia="宋体"/>
                      <w:bCs/>
                      <w:sz w:val="21"/>
                      <w:szCs w:val="21"/>
                      <w:u w:val="single"/>
                    </w:rPr>
                  </w:pPr>
                </w:p>
              </w:tc>
            </w:tr>
            <w:tr w14:paraId="5FA6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4B1F2E93">
                  <w:pPr>
                    <w:kinsoku w:val="0"/>
                    <w:overflowPunct w:val="0"/>
                    <w:jc w:val="center"/>
                    <w:rPr>
                      <w:rFonts w:eastAsia="宋体"/>
                      <w:bCs/>
                      <w:sz w:val="21"/>
                      <w:u w:val="single"/>
                    </w:rPr>
                  </w:pPr>
                </w:p>
              </w:tc>
              <w:tc>
                <w:tcPr>
                  <w:tcW w:w="1050" w:type="pct"/>
                  <w:shd w:val="clear" w:color="auto" w:fill="auto"/>
                  <w:noWrap w:val="0"/>
                  <w:vAlign w:val="center"/>
                </w:tcPr>
                <w:p w14:paraId="46D6399E">
                  <w:pPr>
                    <w:kinsoku w:val="0"/>
                    <w:overflowPunct w:val="0"/>
                    <w:jc w:val="center"/>
                    <w:rPr>
                      <w:rFonts w:eastAsia="宋体"/>
                      <w:bCs/>
                      <w:sz w:val="21"/>
                      <w:szCs w:val="21"/>
                      <w:u w:val="single"/>
                    </w:rPr>
                  </w:pPr>
                  <w:r>
                    <w:rPr>
                      <w:rFonts w:eastAsia="宋体"/>
                      <w:bCs/>
                      <w:sz w:val="21"/>
                      <w:szCs w:val="21"/>
                      <w:u w:val="single"/>
                    </w:rPr>
                    <w:t>颗粒物、甲醇、硫化氢</w:t>
                  </w:r>
                </w:p>
              </w:tc>
              <w:tc>
                <w:tcPr>
                  <w:tcW w:w="1032" w:type="pct"/>
                  <w:shd w:val="clear" w:color="auto" w:fill="auto"/>
                  <w:noWrap w:val="0"/>
                  <w:vAlign w:val="center"/>
                </w:tcPr>
                <w:p w14:paraId="0D95E74D">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3FCE658B">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116D24CE">
                  <w:pPr>
                    <w:kinsoku w:val="0"/>
                    <w:overflowPunct w:val="0"/>
                    <w:jc w:val="center"/>
                    <w:rPr>
                      <w:rFonts w:eastAsia="宋体"/>
                      <w:bCs/>
                      <w:sz w:val="21"/>
                      <w:szCs w:val="21"/>
                      <w:u w:val="single"/>
                    </w:rPr>
                  </w:pPr>
                </w:p>
              </w:tc>
            </w:tr>
            <w:tr w14:paraId="4397E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78CC5281">
                  <w:pPr>
                    <w:kinsoku w:val="0"/>
                    <w:overflowPunct w:val="0"/>
                    <w:jc w:val="center"/>
                    <w:rPr>
                      <w:rFonts w:eastAsia="宋体"/>
                      <w:bCs/>
                      <w:sz w:val="21"/>
                      <w:u w:val="single"/>
                    </w:rPr>
                  </w:pPr>
                </w:p>
              </w:tc>
              <w:tc>
                <w:tcPr>
                  <w:tcW w:w="1050" w:type="pct"/>
                  <w:shd w:val="clear" w:color="auto" w:fill="auto"/>
                  <w:noWrap w:val="0"/>
                  <w:vAlign w:val="center"/>
                </w:tcPr>
                <w:p w14:paraId="5572ACAC">
                  <w:pPr>
                    <w:kinsoku w:val="0"/>
                    <w:overflowPunct w:val="0"/>
                    <w:jc w:val="center"/>
                    <w:rPr>
                      <w:rFonts w:eastAsia="宋体"/>
                      <w:bCs/>
                      <w:sz w:val="21"/>
                      <w:szCs w:val="21"/>
                      <w:u w:val="single"/>
                    </w:rPr>
                  </w:pPr>
                  <w:r>
                    <w:rPr>
                      <w:rFonts w:eastAsia="宋体"/>
                      <w:bCs/>
                      <w:sz w:val="21"/>
                      <w:szCs w:val="21"/>
                      <w:u w:val="single"/>
                    </w:rPr>
                    <w:t>颗粒物、甲醇、硫化氢</w:t>
                  </w:r>
                </w:p>
              </w:tc>
              <w:tc>
                <w:tcPr>
                  <w:tcW w:w="1032" w:type="pct"/>
                  <w:shd w:val="clear" w:color="auto" w:fill="auto"/>
                  <w:noWrap w:val="0"/>
                  <w:vAlign w:val="center"/>
                </w:tcPr>
                <w:p w14:paraId="101FF69A">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5E0E62D8">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748A296">
                  <w:pPr>
                    <w:kinsoku w:val="0"/>
                    <w:overflowPunct w:val="0"/>
                    <w:jc w:val="center"/>
                    <w:rPr>
                      <w:rFonts w:eastAsia="宋体"/>
                      <w:bCs/>
                      <w:sz w:val="21"/>
                      <w:szCs w:val="21"/>
                      <w:u w:val="single"/>
                    </w:rPr>
                  </w:pPr>
                </w:p>
              </w:tc>
            </w:tr>
            <w:tr w14:paraId="6FFAC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029E3711">
                  <w:pPr>
                    <w:kinsoku w:val="0"/>
                    <w:overflowPunct w:val="0"/>
                    <w:jc w:val="center"/>
                    <w:rPr>
                      <w:rFonts w:eastAsia="宋体"/>
                      <w:bCs/>
                      <w:sz w:val="21"/>
                      <w:u w:val="single"/>
                    </w:rPr>
                  </w:pPr>
                </w:p>
              </w:tc>
              <w:tc>
                <w:tcPr>
                  <w:tcW w:w="1050" w:type="pct"/>
                  <w:shd w:val="clear" w:color="auto" w:fill="auto"/>
                  <w:noWrap w:val="0"/>
                  <w:vAlign w:val="center"/>
                </w:tcPr>
                <w:p w14:paraId="4F43A87E">
                  <w:pPr>
                    <w:kinsoku w:val="0"/>
                    <w:overflowPunct w:val="0"/>
                    <w:jc w:val="center"/>
                    <w:rPr>
                      <w:rFonts w:eastAsia="宋体"/>
                      <w:bCs/>
                      <w:sz w:val="21"/>
                      <w:szCs w:val="21"/>
                      <w:u w:val="single"/>
                    </w:rPr>
                  </w:pPr>
                  <w:r>
                    <w:rPr>
                      <w:rFonts w:eastAsia="宋体"/>
                      <w:bCs/>
                      <w:sz w:val="21"/>
                      <w:szCs w:val="21"/>
                      <w:u w:val="single"/>
                    </w:rPr>
                    <w:t>颗粒物、甲醇、硫化氢</w:t>
                  </w:r>
                </w:p>
              </w:tc>
              <w:tc>
                <w:tcPr>
                  <w:tcW w:w="1032" w:type="pct"/>
                  <w:shd w:val="clear" w:color="auto" w:fill="auto"/>
                  <w:noWrap w:val="0"/>
                  <w:vAlign w:val="center"/>
                </w:tcPr>
                <w:p w14:paraId="7F822650">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341644B0">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309BBA9D">
                  <w:pPr>
                    <w:kinsoku w:val="0"/>
                    <w:overflowPunct w:val="0"/>
                    <w:jc w:val="center"/>
                    <w:rPr>
                      <w:rFonts w:eastAsia="宋体"/>
                      <w:bCs/>
                      <w:sz w:val="21"/>
                      <w:szCs w:val="21"/>
                      <w:u w:val="single"/>
                    </w:rPr>
                  </w:pPr>
                </w:p>
              </w:tc>
            </w:tr>
            <w:tr w14:paraId="7EEF6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4F8EA647">
                  <w:pPr>
                    <w:kinsoku w:val="0"/>
                    <w:overflowPunct w:val="0"/>
                    <w:jc w:val="center"/>
                    <w:rPr>
                      <w:rFonts w:eastAsia="宋体"/>
                      <w:bCs/>
                      <w:sz w:val="21"/>
                      <w:u w:val="single"/>
                    </w:rPr>
                  </w:pPr>
                </w:p>
              </w:tc>
              <w:tc>
                <w:tcPr>
                  <w:tcW w:w="1050" w:type="pct"/>
                  <w:shd w:val="clear" w:color="auto" w:fill="auto"/>
                  <w:noWrap w:val="0"/>
                  <w:vAlign w:val="center"/>
                </w:tcPr>
                <w:p w14:paraId="51827F6F">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5D70E7D9">
                  <w:pPr>
                    <w:kinsoku w:val="0"/>
                    <w:overflowPunct w:val="0"/>
                    <w:jc w:val="center"/>
                    <w:rPr>
                      <w:rFonts w:eastAsia="宋体"/>
                      <w:bCs/>
                      <w:sz w:val="21"/>
                      <w:szCs w:val="21"/>
                      <w:u w:val="single"/>
                    </w:rPr>
                  </w:pPr>
                  <w:r>
                    <w:rPr>
                      <w:rFonts w:eastAsia="宋体"/>
                      <w:bCs/>
                      <w:sz w:val="21"/>
                      <w:szCs w:val="21"/>
                      <w:u w:val="single"/>
                    </w:rPr>
                    <w:t>布袋除尘</w:t>
                  </w:r>
                </w:p>
              </w:tc>
              <w:tc>
                <w:tcPr>
                  <w:tcW w:w="905" w:type="pct"/>
                  <w:shd w:val="clear" w:color="auto" w:fill="auto"/>
                  <w:noWrap w:val="0"/>
                  <w:vAlign w:val="center"/>
                </w:tcPr>
                <w:p w14:paraId="0A2E3CA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6D96ACFC">
                  <w:pPr>
                    <w:kinsoku w:val="0"/>
                    <w:overflowPunct w:val="0"/>
                    <w:jc w:val="center"/>
                    <w:rPr>
                      <w:rFonts w:eastAsia="宋体"/>
                      <w:bCs/>
                      <w:sz w:val="21"/>
                      <w:szCs w:val="21"/>
                      <w:u w:val="single"/>
                    </w:rPr>
                  </w:pPr>
                  <w:r>
                    <w:rPr>
                      <w:rFonts w:hint="eastAsia" w:eastAsia="宋体"/>
                      <w:bCs/>
                      <w:sz w:val="21"/>
                      <w:szCs w:val="21"/>
                      <w:u w:val="single"/>
                    </w:rPr>
                    <w:t>否</w:t>
                  </w:r>
                </w:p>
              </w:tc>
            </w:tr>
            <w:tr w14:paraId="6F4EF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7E847552">
                  <w:pPr>
                    <w:kinsoku w:val="0"/>
                    <w:overflowPunct w:val="0"/>
                    <w:jc w:val="center"/>
                    <w:rPr>
                      <w:rFonts w:eastAsia="宋体"/>
                      <w:bCs/>
                      <w:sz w:val="21"/>
                      <w:u w:val="single"/>
                    </w:rPr>
                  </w:pPr>
                </w:p>
              </w:tc>
              <w:tc>
                <w:tcPr>
                  <w:tcW w:w="1050" w:type="pct"/>
                  <w:shd w:val="clear" w:color="auto" w:fill="auto"/>
                  <w:noWrap w:val="0"/>
                  <w:vAlign w:val="center"/>
                </w:tcPr>
                <w:p w14:paraId="2D369A97">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2D7DA1E9">
                  <w:pPr>
                    <w:kinsoku w:val="0"/>
                    <w:overflowPunct w:val="0"/>
                    <w:jc w:val="center"/>
                    <w:rPr>
                      <w:rFonts w:eastAsia="宋体"/>
                      <w:bCs/>
                      <w:sz w:val="21"/>
                      <w:u w:val="single"/>
                    </w:rPr>
                  </w:pPr>
                  <w:r>
                    <w:rPr>
                      <w:rFonts w:eastAsia="宋体"/>
                      <w:bCs/>
                      <w:sz w:val="21"/>
                      <w:szCs w:val="21"/>
                      <w:u w:val="single"/>
                    </w:rPr>
                    <w:t>布袋除尘</w:t>
                  </w:r>
                </w:p>
              </w:tc>
              <w:tc>
                <w:tcPr>
                  <w:tcW w:w="905" w:type="pct"/>
                  <w:shd w:val="clear" w:color="auto" w:fill="auto"/>
                  <w:noWrap w:val="0"/>
                  <w:vAlign w:val="center"/>
                </w:tcPr>
                <w:p w14:paraId="00AEA03A">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5EE2C1DE">
                  <w:pPr>
                    <w:kinsoku w:val="0"/>
                    <w:overflowPunct w:val="0"/>
                    <w:jc w:val="center"/>
                    <w:rPr>
                      <w:rFonts w:eastAsia="宋体"/>
                      <w:bCs/>
                      <w:sz w:val="21"/>
                      <w:szCs w:val="21"/>
                      <w:u w:val="single"/>
                    </w:rPr>
                  </w:pPr>
                </w:p>
              </w:tc>
            </w:tr>
            <w:tr w14:paraId="5FAD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shd w:val="clear" w:color="auto" w:fill="auto"/>
                  <w:noWrap w:val="0"/>
                  <w:vAlign w:val="center"/>
                </w:tcPr>
                <w:p w14:paraId="1CA68342">
                  <w:pPr>
                    <w:kinsoku w:val="0"/>
                    <w:overflowPunct w:val="0"/>
                    <w:jc w:val="center"/>
                    <w:rPr>
                      <w:rFonts w:eastAsia="宋体"/>
                      <w:bCs/>
                      <w:sz w:val="21"/>
                      <w:u w:val="single"/>
                    </w:rPr>
                  </w:pPr>
                  <w:r>
                    <w:rPr>
                      <w:rFonts w:eastAsia="宋体"/>
                      <w:bCs/>
                      <w:sz w:val="21"/>
                      <w:szCs w:val="21"/>
                      <w:u w:val="single"/>
                    </w:rPr>
                    <w:t>灰渣干燥</w:t>
                  </w:r>
                </w:p>
              </w:tc>
              <w:tc>
                <w:tcPr>
                  <w:tcW w:w="1050" w:type="pct"/>
                  <w:shd w:val="clear" w:color="auto" w:fill="auto"/>
                  <w:noWrap w:val="0"/>
                  <w:vAlign w:val="center"/>
                </w:tcPr>
                <w:p w14:paraId="1537DA54">
                  <w:pPr>
                    <w:kinsoku w:val="0"/>
                    <w:overflowPunct w:val="0"/>
                    <w:jc w:val="center"/>
                    <w:rPr>
                      <w:rFonts w:eastAsia="宋体"/>
                      <w:bCs/>
                      <w:sz w:val="21"/>
                      <w:szCs w:val="21"/>
                      <w:u w:val="single"/>
                    </w:rPr>
                  </w:pPr>
                  <w:r>
                    <w:rPr>
                      <w:rFonts w:eastAsia="宋体"/>
                      <w:bCs/>
                      <w:sz w:val="21"/>
                      <w:szCs w:val="21"/>
                      <w:u w:val="single"/>
                    </w:rPr>
                    <w:t>颗粒物</w:t>
                  </w:r>
                </w:p>
              </w:tc>
              <w:tc>
                <w:tcPr>
                  <w:tcW w:w="1032" w:type="pct"/>
                  <w:shd w:val="clear" w:color="auto" w:fill="auto"/>
                  <w:noWrap w:val="0"/>
                  <w:vAlign w:val="center"/>
                </w:tcPr>
                <w:p w14:paraId="33737F4A">
                  <w:pPr>
                    <w:kinsoku w:val="0"/>
                    <w:overflowPunct w:val="0"/>
                    <w:jc w:val="center"/>
                    <w:rPr>
                      <w:rFonts w:eastAsia="宋体"/>
                      <w:bCs/>
                      <w:sz w:val="21"/>
                      <w:szCs w:val="21"/>
                      <w:u w:val="single"/>
                    </w:rPr>
                  </w:pPr>
                  <w:r>
                    <w:rPr>
                      <w:rFonts w:hint="eastAsia" w:eastAsia="宋体"/>
                      <w:bCs/>
                      <w:sz w:val="21"/>
                      <w:szCs w:val="21"/>
                      <w:u w:val="single"/>
                    </w:rPr>
                    <w:t>水洗</w:t>
                  </w:r>
                  <w:r>
                    <w:rPr>
                      <w:rFonts w:eastAsia="宋体"/>
                      <w:bCs/>
                      <w:sz w:val="21"/>
                      <w:szCs w:val="21"/>
                      <w:u w:val="single"/>
                    </w:rPr>
                    <w:t>除尘</w:t>
                  </w:r>
                </w:p>
              </w:tc>
              <w:tc>
                <w:tcPr>
                  <w:tcW w:w="905" w:type="pct"/>
                  <w:shd w:val="clear" w:color="auto" w:fill="auto"/>
                  <w:noWrap w:val="0"/>
                  <w:vAlign w:val="center"/>
                </w:tcPr>
                <w:p w14:paraId="24CB2389">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408DB013">
                  <w:pPr>
                    <w:kinsoku w:val="0"/>
                    <w:overflowPunct w:val="0"/>
                    <w:jc w:val="center"/>
                    <w:rPr>
                      <w:rFonts w:eastAsia="宋体"/>
                      <w:bCs/>
                      <w:sz w:val="21"/>
                      <w:szCs w:val="21"/>
                      <w:u w:val="single"/>
                    </w:rPr>
                  </w:pPr>
                  <w:r>
                    <w:rPr>
                      <w:rFonts w:hint="eastAsia" w:eastAsia="宋体"/>
                      <w:bCs/>
                      <w:sz w:val="21"/>
                      <w:szCs w:val="21"/>
                      <w:u w:val="single"/>
                    </w:rPr>
                    <w:t>否</w:t>
                  </w:r>
                </w:p>
              </w:tc>
            </w:tr>
            <w:tr w14:paraId="4CF14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tcBorders>
                    <w:bottom w:val="single" w:color="000000" w:sz="4" w:space="0"/>
                  </w:tcBorders>
                  <w:shd w:val="clear" w:color="auto" w:fill="auto"/>
                  <w:noWrap w:val="0"/>
                  <w:vAlign w:val="center"/>
                </w:tcPr>
                <w:p w14:paraId="5ECB3D77">
                  <w:pPr>
                    <w:kinsoku w:val="0"/>
                    <w:overflowPunct w:val="0"/>
                    <w:jc w:val="center"/>
                    <w:rPr>
                      <w:rFonts w:eastAsia="宋体"/>
                      <w:bCs/>
                      <w:sz w:val="21"/>
                      <w:u w:val="single"/>
                    </w:rPr>
                  </w:pPr>
                  <w:r>
                    <w:rPr>
                      <w:rFonts w:eastAsia="宋体"/>
                      <w:bCs/>
                      <w:sz w:val="21"/>
                      <w:szCs w:val="21"/>
                      <w:u w:val="single"/>
                    </w:rPr>
                    <w:t>变换加热炉</w:t>
                  </w:r>
                </w:p>
              </w:tc>
              <w:tc>
                <w:tcPr>
                  <w:tcW w:w="1050" w:type="pct"/>
                  <w:tcBorders>
                    <w:bottom w:val="single" w:color="000000" w:sz="4" w:space="0"/>
                  </w:tcBorders>
                  <w:shd w:val="clear" w:color="auto" w:fill="auto"/>
                  <w:noWrap w:val="0"/>
                  <w:vAlign w:val="center"/>
                </w:tcPr>
                <w:p w14:paraId="2721C598">
                  <w:pPr>
                    <w:kinsoku w:val="0"/>
                    <w:overflowPunct w:val="0"/>
                    <w:jc w:val="center"/>
                    <w:rPr>
                      <w:rFonts w:eastAsia="宋体"/>
                      <w:bCs/>
                      <w:sz w:val="21"/>
                      <w:szCs w:val="21"/>
                      <w:u w:val="single"/>
                    </w:rPr>
                  </w:pPr>
                  <w:r>
                    <w:rPr>
                      <w:rFonts w:eastAsia="宋体"/>
                      <w:bCs/>
                      <w:sz w:val="21"/>
                      <w:szCs w:val="21"/>
                      <w:u w:val="single"/>
                    </w:rPr>
                    <w:t>二氧化硫、氮氧化物、颗粒物</w:t>
                  </w:r>
                </w:p>
              </w:tc>
              <w:tc>
                <w:tcPr>
                  <w:tcW w:w="1032" w:type="pct"/>
                  <w:tcBorders>
                    <w:bottom w:val="single" w:color="000000" w:sz="4" w:space="0"/>
                  </w:tcBorders>
                  <w:shd w:val="clear" w:color="auto" w:fill="auto"/>
                  <w:noWrap w:val="0"/>
                  <w:vAlign w:val="center"/>
                </w:tcPr>
                <w:p w14:paraId="3C06E277">
                  <w:pPr>
                    <w:kinsoku w:val="0"/>
                    <w:overflowPunct w:val="0"/>
                    <w:jc w:val="center"/>
                    <w:rPr>
                      <w:rFonts w:eastAsia="宋体"/>
                      <w:bCs/>
                      <w:sz w:val="21"/>
                      <w:szCs w:val="21"/>
                      <w:u w:val="single"/>
                    </w:rPr>
                  </w:pPr>
                  <w:r>
                    <w:rPr>
                      <w:rFonts w:hint="eastAsia" w:eastAsia="宋体"/>
                      <w:bCs/>
                      <w:sz w:val="21"/>
                      <w:szCs w:val="21"/>
                      <w:u w:val="single"/>
                    </w:rPr>
                    <w:t>低氮燃烧+</w:t>
                  </w:r>
                  <w:r>
                    <w:rPr>
                      <w:rFonts w:eastAsia="宋体"/>
                      <w:bCs/>
                      <w:sz w:val="21"/>
                      <w:szCs w:val="21"/>
                      <w:u w:val="single"/>
                    </w:rPr>
                    <w:t>SCR脱硝</w:t>
                  </w:r>
                </w:p>
              </w:tc>
              <w:tc>
                <w:tcPr>
                  <w:tcW w:w="905" w:type="pct"/>
                  <w:tcBorders>
                    <w:bottom w:val="single" w:color="000000" w:sz="4" w:space="0"/>
                  </w:tcBorders>
                  <w:shd w:val="clear" w:color="auto" w:fill="auto"/>
                  <w:noWrap w:val="0"/>
                  <w:vAlign w:val="center"/>
                </w:tcPr>
                <w:p w14:paraId="2D85F7C4">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tcBorders>
                    <w:bottom w:val="single" w:color="000000" w:sz="4" w:space="0"/>
                  </w:tcBorders>
                  <w:shd w:val="clear" w:color="auto" w:fill="auto"/>
                  <w:noWrap w:val="0"/>
                  <w:vAlign w:val="center"/>
                </w:tcPr>
                <w:p w14:paraId="61A2ACDF">
                  <w:pPr>
                    <w:kinsoku w:val="0"/>
                    <w:overflowPunct w:val="0"/>
                    <w:jc w:val="center"/>
                    <w:rPr>
                      <w:rFonts w:eastAsia="宋体"/>
                      <w:bCs/>
                      <w:sz w:val="21"/>
                      <w:szCs w:val="21"/>
                      <w:u w:val="single"/>
                    </w:rPr>
                  </w:pPr>
                  <w:r>
                    <w:rPr>
                      <w:rFonts w:hint="eastAsia" w:eastAsia="宋体"/>
                      <w:bCs/>
                      <w:sz w:val="21"/>
                      <w:szCs w:val="21"/>
                      <w:u w:val="single"/>
                    </w:rPr>
                    <w:t>否</w:t>
                  </w:r>
                </w:p>
              </w:tc>
            </w:tr>
            <w:tr w14:paraId="64EAE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79E4AA84">
                  <w:pPr>
                    <w:kinsoku w:val="0"/>
                    <w:overflowPunct w:val="0"/>
                    <w:jc w:val="center"/>
                    <w:rPr>
                      <w:rFonts w:eastAsia="宋体"/>
                      <w:bCs/>
                      <w:sz w:val="21"/>
                      <w:u w:val="single"/>
                    </w:rPr>
                  </w:pPr>
                  <w:r>
                    <w:rPr>
                      <w:rFonts w:eastAsia="宋体"/>
                      <w:bCs/>
                      <w:sz w:val="21"/>
                      <w:szCs w:val="21"/>
                      <w:u w:val="single"/>
                    </w:rPr>
                    <w:t>甲醇加热炉</w:t>
                  </w:r>
                </w:p>
              </w:tc>
              <w:tc>
                <w:tcPr>
                  <w:tcW w:w="1050" w:type="pct"/>
                  <w:shd w:val="clear" w:color="auto" w:fill="auto"/>
                  <w:noWrap w:val="0"/>
                  <w:vAlign w:val="center"/>
                </w:tcPr>
                <w:p w14:paraId="44682837">
                  <w:pPr>
                    <w:kinsoku w:val="0"/>
                    <w:overflowPunct w:val="0"/>
                    <w:jc w:val="center"/>
                    <w:rPr>
                      <w:rFonts w:eastAsia="宋体"/>
                      <w:bCs/>
                      <w:sz w:val="21"/>
                      <w:szCs w:val="21"/>
                      <w:u w:val="single"/>
                    </w:rPr>
                  </w:pPr>
                  <w:r>
                    <w:rPr>
                      <w:rFonts w:eastAsia="宋体"/>
                      <w:bCs/>
                      <w:sz w:val="21"/>
                      <w:szCs w:val="21"/>
                      <w:u w:val="single"/>
                    </w:rPr>
                    <w:t>二氧化硫、氮氧化物、颗粒物</w:t>
                  </w:r>
                </w:p>
              </w:tc>
              <w:tc>
                <w:tcPr>
                  <w:tcW w:w="1032" w:type="pct"/>
                  <w:shd w:val="clear" w:color="auto" w:fill="auto"/>
                  <w:noWrap w:val="0"/>
                  <w:vAlign w:val="center"/>
                </w:tcPr>
                <w:p w14:paraId="1EAB1B4A">
                  <w:pPr>
                    <w:kinsoku w:val="0"/>
                    <w:overflowPunct w:val="0"/>
                    <w:jc w:val="center"/>
                    <w:rPr>
                      <w:rFonts w:eastAsia="宋体"/>
                      <w:bCs/>
                      <w:sz w:val="21"/>
                      <w:szCs w:val="21"/>
                      <w:u w:val="single"/>
                    </w:rPr>
                  </w:pPr>
                  <w:r>
                    <w:rPr>
                      <w:rFonts w:hint="eastAsia" w:eastAsia="宋体"/>
                      <w:bCs/>
                      <w:sz w:val="21"/>
                      <w:szCs w:val="21"/>
                      <w:u w:val="single"/>
                    </w:rPr>
                    <w:t>低氮燃烧+</w:t>
                  </w:r>
                  <w:r>
                    <w:rPr>
                      <w:rFonts w:eastAsia="宋体"/>
                      <w:bCs/>
                      <w:sz w:val="21"/>
                      <w:szCs w:val="21"/>
                      <w:u w:val="single"/>
                    </w:rPr>
                    <w:t>SCR脱硝</w:t>
                  </w:r>
                </w:p>
              </w:tc>
              <w:tc>
                <w:tcPr>
                  <w:tcW w:w="905" w:type="pct"/>
                  <w:shd w:val="clear" w:color="auto" w:fill="auto"/>
                  <w:noWrap w:val="0"/>
                  <w:vAlign w:val="center"/>
                </w:tcPr>
                <w:p w14:paraId="3665E6A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577CD170">
                  <w:pPr>
                    <w:kinsoku w:val="0"/>
                    <w:overflowPunct w:val="0"/>
                    <w:jc w:val="center"/>
                    <w:rPr>
                      <w:rFonts w:eastAsia="宋体"/>
                      <w:bCs/>
                      <w:sz w:val="21"/>
                      <w:szCs w:val="21"/>
                      <w:u w:val="single"/>
                    </w:rPr>
                  </w:pPr>
                  <w:r>
                    <w:rPr>
                      <w:rFonts w:hint="eastAsia" w:eastAsia="宋体"/>
                      <w:bCs/>
                      <w:sz w:val="21"/>
                      <w:szCs w:val="21"/>
                      <w:u w:val="single"/>
                    </w:rPr>
                    <w:t>否</w:t>
                  </w:r>
                </w:p>
              </w:tc>
            </w:tr>
            <w:tr w14:paraId="2BD08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7F6A7C8A">
                  <w:pPr>
                    <w:kinsoku w:val="0"/>
                    <w:overflowPunct w:val="0"/>
                    <w:jc w:val="center"/>
                    <w:rPr>
                      <w:rFonts w:eastAsia="宋体"/>
                      <w:bCs/>
                      <w:sz w:val="21"/>
                      <w:szCs w:val="21"/>
                      <w:u w:val="single"/>
                    </w:rPr>
                  </w:pPr>
                </w:p>
              </w:tc>
              <w:tc>
                <w:tcPr>
                  <w:tcW w:w="1050" w:type="pct"/>
                  <w:shd w:val="clear" w:color="auto" w:fill="auto"/>
                  <w:noWrap w:val="0"/>
                  <w:vAlign w:val="center"/>
                </w:tcPr>
                <w:p w14:paraId="02D7FED1">
                  <w:pPr>
                    <w:kinsoku w:val="0"/>
                    <w:overflowPunct w:val="0"/>
                    <w:jc w:val="center"/>
                    <w:rPr>
                      <w:rFonts w:eastAsia="宋体"/>
                      <w:bCs/>
                      <w:sz w:val="21"/>
                      <w:szCs w:val="21"/>
                      <w:u w:val="single"/>
                    </w:rPr>
                  </w:pPr>
                  <w:r>
                    <w:rPr>
                      <w:rFonts w:eastAsia="宋体"/>
                      <w:bCs/>
                      <w:sz w:val="21"/>
                      <w:szCs w:val="21"/>
                      <w:u w:val="single"/>
                    </w:rPr>
                    <w:t>二氧化硫、氮氧化物、颗粒物</w:t>
                  </w:r>
                </w:p>
              </w:tc>
              <w:tc>
                <w:tcPr>
                  <w:tcW w:w="1032" w:type="pct"/>
                  <w:shd w:val="clear" w:color="auto" w:fill="auto"/>
                  <w:noWrap w:val="0"/>
                  <w:vAlign w:val="center"/>
                </w:tcPr>
                <w:p w14:paraId="71DE4637">
                  <w:pPr>
                    <w:kinsoku w:val="0"/>
                    <w:overflowPunct w:val="0"/>
                    <w:jc w:val="center"/>
                    <w:rPr>
                      <w:rFonts w:eastAsia="宋体"/>
                      <w:bCs/>
                      <w:sz w:val="21"/>
                      <w:szCs w:val="21"/>
                      <w:u w:val="single"/>
                    </w:rPr>
                  </w:pPr>
                  <w:r>
                    <w:rPr>
                      <w:rFonts w:hint="eastAsia" w:eastAsia="宋体"/>
                      <w:bCs/>
                      <w:sz w:val="21"/>
                      <w:szCs w:val="21"/>
                      <w:u w:val="single"/>
                    </w:rPr>
                    <w:t>低氮燃烧+</w:t>
                  </w:r>
                  <w:r>
                    <w:rPr>
                      <w:rFonts w:eastAsia="宋体"/>
                      <w:bCs/>
                      <w:sz w:val="21"/>
                      <w:szCs w:val="21"/>
                      <w:u w:val="single"/>
                    </w:rPr>
                    <w:t>SCR脱硝</w:t>
                  </w:r>
                </w:p>
              </w:tc>
              <w:tc>
                <w:tcPr>
                  <w:tcW w:w="905" w:type="pct"/>
                  <w:shd w:val="clear" w:color="auto" w:fill="auto"/>
                  <w:noWrap w:val="0"/>
                  <w:vAlign w:val="center"/>
                </w:tcPr>
                <w:p w14:paraId="32BD91E6">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57B7A8F2">
                  <w:pPr>
                    <w:kinsoku w:val="0"/>
                    <w:overflowPunct w:val="0"/>
                    <w:jc w:val="center"/>
                    <w:rPr>
                      <w:rFonts w:eastAsia="宋体"/>
                      <w:bCs/>
                      <w:sz w:val="21"/>
                      <w:szCs w:val="21"/>
                      <w:u w:val="single"/>
                    </w:rPr>
                  </w:pPr>
                  <w:r>
                    <w:rPr>
                      <w:rFonts w:hint="eastAsia" w:eastAsia="宋体"/>
                      <w:bCs/>
                      <w:sz w:val="21"/>
                      <w:szCs w:val="21"/>
                      <w:u w:val="single"/>
                    </w:rPr>
                    <w:t>否</w:t>
                  </w:r>
                </w:p>
              </w:tc>
            </w:tr>
            <w:tr w14:paraId="135B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312DF460">
                  <w:pPr>
                    <w:kinsoku w:val="0"/>
                    <w:overflowPunct w:val="0"/>
                    <w:jc w:val="center"/>
                    <w:rPr>
                      <w:rFonts w:eastAsia="宋体"/>
                      <w:bCs/>
                      <w:sz w:val="21"/>
                      <w:szCs w:val="21"/>
                      <w:u w:val="single"/>
                    </w:rPr>
                  </w:pPr>
                  <w:r>
                    <w:rPr>
                      <w:rFonts w:eastAsia="宋体"/>
                      <w:bCs/>
                      <w:sz w:val="21"/>
                      <w:szCs w:val="21"/>
                      <w:u w:val="single"/>
                    </w:rPr>
                    <w:t>甲醇精馏</w:t>
                  </w:r>
                </w:p>
              </w:tc>
              <w:tc>
                <w:tcPr>
                  <w:tcW w:w="1050" w:type="pct"/>
                  <w:shd w:val="clear" w:color="auto" w:fill="auto"/>
                  <w:noWrap w:val="0"/>
                  <w:vAlign w:val="center"/>
                </w:tcPr>
                <w:p w14:paraId="7A7A9311">
                  <w:pPr>
                    <w:kinsoku w:val="0"/>
                    <w:overflowPunct w:val="0"/>
                    <w:jc w:val="center"/>
                    <w:rPr>
                      <w:rFonts w:eastAsia="宋体"/>
                      <w:bCs/>
                      <w:sz w:val="21"/>
                      <w:szCs w:val="21"/>
                      <w:u w:val="single"/>
                    </w:rPr>
                  </w:pPr>
                  <w:r>
                    <w:rPr>
                      <w:rFonts w:eastAsia="宋体"/>
                      <w:bCs/>
                      <w:sz w:val="21"/>
                      <w:szCs w:val="21"/>
                      <w:u w:val="single"/>
                    </w:rPr>
                    <w:t>甲醇</w:t>
                  </w:r>
                </w:p>
              </w:tc>
              <w:tc>
                <w:tcPr>
                  <w:tcW w:w="1032" w:type="pct"/>
                  <w:shd w:val="clear" w:color="auto" w:fill="auto"/>
                  <w:noWrap w:val="0"/>
                  <w:vAlign w:val="center"/>
                </w:tcPr>
                <w:p w14:paraId="5AC47AF3">
                  <w:pPr>
                    <w:kinsoku w:val="0"/>
                    <w:overflowPunct w:val="0"/>
                    <w:jc w:val="center"/>
                    <w:rPr>
                      <w:rFonts w:eastAsia="宋体"/>
                      <w:bCs/>
                      <w:sz w:val="21"/>
                      <w:szCs w:val="21"/>
                      <w:u w:val="single"/>
                    </w:rPr>
                  </w:pPr>
                  <w:r>
                    <w:rPr>
                      <w:rFonts w:eastAsia="宋体"/>
                      <w:bCs/>
                      <w:sz w:val="21"/>
                      <w:szCs w:val="21"/>
                      <w:u w:val="single"/>
                    </w:rPr>
                    <w:t>洗涤塔</w:t>
                  </w:r>
                </w:p>
              </w:tc>
              <w:tc>
                <w:tcPr>
                  <w:tcW w:w="905" w:type="pct"/>
                  <w:shd w:val="clear" w:color="auto" w:fill="auto"/>
                  <w:noWrap w:val="0"/>
                  <w:vAlign w:val="center"/>
                </w:tcPr>
                <w:p w14:paraId="4A198415">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318AB98E">
                  <w:pPr>
                    <w:kinsoku w:val="0"/>
                    <w:overflowPunct w:val="0"/>
                    <w:jc w:val="center"/>
                    <w:rPr>
                      <w:rFonts w:hint="eastAsia" w:eastAsia="宋体"/>
                      <w:bCs/>
                      <w:sz w:val="21"/>
                      <w:szCs w:val="21"/>
                      <w:u w:val="single"/>
                    </w:rPr>
                  </w:pPr>
                  <w:r>
                    <w:rPr>
                      <w:rFonts w:hint="eastAsia" w:eastAsia="宋体"/>
                      <w:bCs/>
                      <w:sz w:val="21"/>
                      <w:szCs w:val="21"/>
                      <w:u w:val="single"/>
                    </w:rPr>
                    <w:t xml:space="preserve">否 </w:t>
                  </w:r>
                </w:p>
              </w:tc>
            </w:tr>
            <w:tr w14:paraId="6DC0C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shd w:val="clear" w:color="auto" w:fill="auto"/>
                  <w:noWrap w:val="0"/>
                  <w:vAlign w:val="center"/>
                </w:tcPr>
                <w:p w14:paraId="5A347CF8">
                  <w:pPr>
                    <w:kinsoku w:val="0"/>
                    <w:overflowPunct w:val="0"/>
                    <w:jc w:val="center"/>
                    <w:rPr>
                      <w:rFonts w:eastAsia="宋体"/>
                      <w:bCs/>
                      <w:sz w:val="21"/>
                      <w:u w:val="single"/>
                    </w:rPr>
                  </w:pPr>
                </w:p>
              </w:tc>
              <w:tc>
                <w:tcPr>
                  <w:tcW w:w="1050" w:type="pct"/>
                  <w:shd w:val="clear" w:color="auto" w:fill="auto"/>
                  <w:noWrap w:val="0"/>
                  <w:vAlign w:val="center"/>
                </w:tcPr>
                <w:p w14:paraId="3E5C0AB8">
                  <w:pPr>
                    <w:kinsoku w:val="0"/>
                    <w:overflowPunct w:val="0"/>
                    <w:jc w:val="center"/>
                    <w:rPr>
                      <w:rFonts w:eastAsia="宋体"/>
                      <w:bCs/>
                      <w:sz w:val="21"/>
                      <w:szCs w:val="21"/>
                      <w:u w:val="single"/>
                    </w:rPr>
                  </w:pPr>
                  <w:r>
                    <w:rPr>
                      <w:rFonts w:eastAsia="宋体"/>
                      <w:bCs/>
                      <w:sz w:val="21"/>
                      <w:szCs w:val="21"/>
                      <w:u w:val="single"/>
                    </w:rPr>
                    <w:t>甲醇</w:t>
                  </w:r>
                </w:p>
              </w:tc>
              <w:tc>
                <w:tcPr>
                  <w:tcW w:w="1032" w:type="pct"/>
                  <w:shd w:val="clear" w:color="auto" w:fill="auto"/>
                  <w:noWrap w:val="0"/>
                  <w:vAlign w:val="center"/>
                </w:tcPr>
                <w:p w14:paraId="573EA52D">
                  <w:pPr>
                    <w:kinsoku w:val="0"/>
                    <w:overflowPunct w:val="0"/>
                    <w:jc w:val="center"/>
                    <w:rPr>
                      <w:rFonts w:eastAsia="宋体"/>
                      <w:bCs/>
                      <w:sz w:val="21"/>
                      <w:szCs w:val="21"/>
                      <w:u w:val="single"/>
                    </w:rPr>
                  </w:pPr>
                  <w:r>
                    <w:rPr>
                      <w:rFonts w:eastAsia="宋体"/>
                      <w:bCs/>
                      <w:sz w:val="21"/>
                      <w:szCs w:val="21"/>
                      <w:u w:val="single"/>
                    </w:rPr>
                    <w:t>洗涤塔</w:t>
                  </w:r>
                </w:p>
              </w:tc>
              <w:tc>
                <w:tcPr>
                  <w:tcW w:w="905" w:type="pct"/>
                  <w:shd w:val="clear" w:color="auto" w:fill="auto"/>
                  <w:noWrap w:val="0"/>
                  <w:vAlign w:val="center"/>
                </w:tcPr>
                <w:p w14:paraId="1911FC1C">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shd w:val="clear" w:color="auto" w:fill="auto"/>
                  <w:noWrap w:val="0"/>
                  <w:vAlign w:val="center"/>
                </w:tcPr>
                <w:p w14:paraId="78FF5ECE">
                  <w:pPr>
                    <w:kinsoku w:val="0"/>
                    <w:overflowPunct w:val="0"/>
                    <w:jc w:val="center"/>
                    <w:rPr>
                      <w:rFonts w:eastAsia="宋体"/>
                      <w:bCs/>
                      <w:sz w:val="21"/>
                      <w:szCs w:val="21"/>
                      <w:u w:val="single"/>
                    </w:rPr>
                  </w:pPr>
                </w:p>
              </w:tc>
            </w:tr>
            <w:tr w14:paraId="3CB21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restart"/>
                  <w:shd w:val="clear" w:color="auto" w:fill="auto"/>
                  <w:noWrap w:val="0"/>
                  <w:vAlign w:val="center"/>
                </w:tcPr>
                <w:p w14:paraId="3633AE24">
                  <w:pPr>
                    <w:kinsoku w:val="0"/>
                    <w:overflowPunct w:val="0"/>
                    <w:jc w:val="center"/>
                    <w:rPr>
                      <w:rFonts w:eastAsia="宋体"/>
                      <w:bCs/>
                      <w:sz w:val="21"/>
                      <w:u w:val="single"/>
                    </w:rPr>
                  </w:pPr>
                  <w:r>
                    <w:rPr>
                      <w:rFonts w:eastAsia="宋体"/>
                      <w:bCs/>
                      <w:sz w:val="21"/>
                      <w:szCs w:val="21"/>
                      <w:u w:val="single"/>
                    </w:rPr>
                    <w:t>脱硫脱碳</w:t>
                  </w:r>
                </w:p>
              </w:tc>
              <w:tc>
                <w:tcPr>
                  <w:tcW w:w="1050" w:type="pct"/>
                  <w:shd w:val="clear" w:color="auto" w:fill="auto"/>
                  <w:noWrap w:val="0"/>
                  <w:vAlign w:val="center"/>
                </w:tcPr>
                <w:p w14:paraId="5FB1E532">
                  <w:pPr>
                    <w:kinsoku w:val="0"/>
                    <w:overflowPunct w:val="0"/>
                    <w:jc w:val="center"/>
                    <w:rPr>
                      <w:rFonts w:eastAsia="宋体"/>
                      <w:bCs/>
                      <w:sz w:val="21"/>
                      <w:szCs w:val="21"/>
                      <w:u w:val="single"/>
                    </w:rPr>
                  </w:pPr>
                  <w:r>
                    <w:rPr>
                      <w:rFonts w:eastAsia="宋体"/>
                      <w:bCs/>
                      <w:sz w:val="21"/>
                      <w:szCs w:val="21"/>
                      <w:u w:val="single"/>
                    </w:rPr>
                    <w:t>非甲烷总烃、甲醇、硫化氢</w:t>
                  </w:r>
                </w:p>
              </w:tc>
              <w:tc>
                <w:tcPr>
                  <w:tcW w:w="1032" w:type="pct"/>
                  <w:shd w:val="clear" w:color="auto" w:fill="auto"/>
                  <w:noWrap w:val="0"/>
                  <w:vAlign w:val="center"/>
                </w:tcPr>
                <w:p w14:paraId="09D64E90">
                  <w:pPr>
                    <w:kinsoku w:val="0"/>
                    <w:overflowPunct w:val="0"/>
                    <w:jc w:val="center"/>
                    <w:rPr>
                      <w:rFonts w:eastAsia="宋体"/>
                      <w:bCs/>
                      <w:sz w:val="21"/>
                      <w:szCs w:val="21"/>
                      <w:u w:val="single"/>
                    </w:rPr>
                  </w:pPr>
                  <w:r>
                    <w:rPr>
                      <w:rFonts w:eastAsia="宋体"/>
                      <w:bCs/>
                      <w:sz w:val="21"/>
                      <w:szCs w:val="21"/>
                      <w:u w:val="single"/>
                    </w:rPr>
                    <w:t>低温甲醇洗</w:t>
                  </w:r>
                </w:p>
              </w:tc>
              <w:tc>
                <w:tcPr>
                  <w:tcW w:w="905" w:type="pct"/>
                  <w:shd w:val="clear" w:color="auto" w:fill="auto"/>
                  <w:noWrap w:val="0"/>
                  <w:vAlign w:val="center"/>
                </w:tcPr>
                <w:p w14:paraId="3BB0AE60">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restart"/>
                  <w:shd w:val="clear" w:color="auto" w:fill="auto"/>
                  <w:noWrap w:val="0"/>
                  <w:vAlign w:val="center"/>
                </w:tcPr>
                <w:p w14:paraId="2C490CC0">
                  <w:pPr>
                    <w:kinsoku w:val="0"/>
                    <w:overflowPunct w:val="0"/>
                    <w:jc w:val="center"/>
                    <w:rPr>
                      <w:rFonts w:hint="eastAsia" w:eastAsia="宋体"/>
                      <w:bCs/>
                      <w:sz w:val="21"/>
                      <w:szCs w:val="21"/>
                      <w:u w:val="single"/>
                    </w:rPr>
                  </w:pPr>
                  <w:r>
                    <w:rPr>
                      <w:rFonts w:hint="eastAsia" w:eastAsia="宋体"/>
                      <w:bCs/>
                      <w:sz w:val="21"/>
                      <w:szCs w:val="21"/>
                      <w:u w:val="single"/>
                    </w:rPr>
                    <w:t>否</w:t>
                  </w:r>
                </w:p>
              </w:tc>
            </w:tr>
            <w:tr w14:paraId="38A99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vMerge w:val="continue"/>
                  <w:tcBorders>
                    <w:bottom w:val="single" w:color="000000" w:sz="4" w:space="0"/>
                  </w:tcBorders>
                  <w:shd w:val="clear" w:color="auto" w:fill="auto"/>
                  <w:noWrap w:val="0"/>
                  <w:vAlign w:val="center"/>
                </w:tcPr>
                <w:p w14:paraId="0F6021E2">
                  <w:pPr>
                    <w:kinsoku w:val="0"/>
                    <w:overflowPunct w:val="0"/>
                    <w:jc w:val="center"/>
                    <w:rPr>
                      <w:rFonts w:eastAsia="宋体"/>
                      <w:bCs/>
                      <w:sz w:val="21"/>
                      <w:u w:val="single"/>
                    </w:rPr>
                  </w:pPr>
                </w:p>
              </w:tc>
              <w:tc>
                <w:tcPr>
                  <w:tcW w:w="1050" w:type="pct"/>
                  <w:tcBorders>
                    <w:bottom w:val="single" w:color="000000" w:sz="4" w:space="0"/>
                  </w:tcBorders>
                  <w:shd w:val="clear" w:color="auto" w:fill="auto"/>
                  <w:noWrap w:val="0"/>
                  <w:vAlign w:val="center"/>
                </w:tcPr>
                <w:p w14:paraId="1400E7A4">
                  <w:pPr>
                    <w:kinsoku w:val="0"/>
                    <w:overflowPunct w:val="0"/>
                    <w:jc w:val="center"/>
                    <w:rPr>
                      <w:rFonts w:eastAsia="宋体"/>
                      <w:bCs/>
                      <w:sz w:val="21"/>
                      <w:szCs w:val="21"/>
                      <w:u w:val="single"/>
                    </w:rPr>
                  </w:pPr>
                  <w:r>
                    <w:rPr>
                      <w:rFonts w:eastAsia="宋体"/>
                      <w:bCs/>
                      <w:sz w:val="21"/>
                      <w:szCs w:val="21"/>
                      <w:u w:val="single"/>
                    </w:rPr>
                    <w:t>非甲烷总烃、甲醇、硫化氢</w:t>
                  </w:r>
                </w:p>
              </w:tc>
              <w:tc>
                <w:tcPr>
                  <w:tcW w:w="1032" w:type="pct"/>
                  <w:tcBorders>
                    <w:bottom w:val="single" w:color="000000" w:sz="4" w:space="0"/>
                  </w:tcBorders>
                  <w:shd w:val="clear" w:color="auto" w:fill="auto"/>
                  <w:noWrap w:val="0"/>
                  <w:vAlign w:val="center"/>
                </w:tcPr>
                <w:p w14:paraId="7963C4D9">
                  <w:pPr>
                    <w:kinsoku w:val="0"/>
                    <w:overflowPunct w:val="0"/>
                    <w:jc w:val="center"/>
                    <w:rPr>
                      <w:rFonts w:eastAsia="宋体"/>
                      <w:bCs/>
                      <w:sz w:val="21"/>
                      <w:szCs w:val="21"/>
                      <w:u w:val="single"/>
                    </w:rPr>
                  </w:pPr>
                  <w:r>
                    <w:rPr>
                      <w:rFonts w:eastAsia="宋体"/>
                      <w:bCs/>
                      <w:sz w:val="21"/>
                      <w:szCs w:val="21"/>
                      <w:u w:val="single"/>
                    </w:rPr>
                    <w:t>低温甲醇洗</w:t>
                  </w:r>
                </w:p>
              </w:tc>
              <w:tc>
                <w:tcPr>
                  <w:tcW w:w="905" w:type="pct"/>
                  <w:tcBorders>
                    <w:bottom w:val="single" w:color="000000" w:sz="4" w:space="0"/>
                  </w:tcBorders>
                  <w:shd w:val="clear" w:color="auto" w:fill="auto"/>
                  <w:noWrap w:val="0"/>
                  <w:vAlign w:val="center"/>
                </w:tcPr>
                <w:p w14:paraId="0A1F0505">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vMerge w:val="continue"/>
                  <w:tcBorders>
                    <w:bottom w:val="single" w:color="000000" w:sz="4" w:space="0"/>
                  </w:tcBorders>
                  <w:shd w:val="clear" w:color="auto" w:fill="auto"/>
                  <w:noWrap w:val="0"/>
                  <w:vAlign w:val="center"/>
                </w:tcPr>
                <w:p w14:paraId="466F96C4">
                  <w:pPr>
                    <w:kinsoku w:val="0"/>
                    <w:overflowPunct w:val="0"/>
                    <w:jc w:val="center"/>
                    <w:rPr>
                      <w:rFonts w:eastAsia="宋体"/>
                      <w:bCs/>
                      <w:sz w:val="21"/>
                      <w:szCs w:val="21"/>
                      <w:u w:val="single"/>
                    </w:rPr>
                  </w:pPr>
                </w:p>
              </w:tc>
            </w:tr>
            <w:tr w14:paraId="70A86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shd w:val="clear" w:color="auto" w:fill="auto"/>
                  <w:noWrap w:val="0"/>
                  <w:vAlign w:val="center"/>
                </w:tcPr>
                <w:p w14:paraId="506AA097">
                  <w:pPr>
                    <w:kinsoku w:val="0"/>
                    <w:overflowPunct w:val="0"/>
                    <w:jc w:val="center"/>
                    <w:rPr>
                      <w:rFonts w:eastAsia="宋体"/>
                      <w:bCs/>
                      <w:sz w:val="21"/>
                      <w:u w:val="single"/>
                    </w:rPr>
                  </w:pPr>
                  <w:r>
                    <w:rPr>
                      <w:rFonts w:eastAsia="宋体"/>
                      <w:bCs/>
                      <w:sz w:val="21"/>
                      <w:szCs w:val="21"/>
                      <w:u w:val="single"/>
                    </w:rPr>
                    <w:t>硫回收</w:t>
                  </w:r>
                </w:p>
              </w:tc>
              <w:tc>
                <w:tcPr>
                  <w:tcW w:w="1050" w:type="pct"/>
                  <w:shd w:val="clear" w:color="auto" w:fill="auto"/>
                  <w:noWrap w:val="0"/>
                  <w:vAlign w:val="center"/>
                </w:tcPr>
                <w:p w14:paraId="3E5C3C89">
                  <w:pPr>
                    <w:kinsoku w:val="0"/>
                    <w:overflowPunct w:val="0"/>
                    <w:jc w:val="center"/>
                    <w:rPr>
                      <w:rFonts w:eastAsia="宋体"/>
                      <w:bCs/>
                      <w:sz w:val="21"/>
                      <w:szCs w:val="21"/>
                      <w:u w:val="single"/>
                    </w:rPr>
                  </w:pPr>
                  <w:r>
                    <w:rPr>
                      <w:rFonts w:eastAsia="宋体"/>
                      <w:bCs/>
                      <w:sz w:val="21"/>
                      <w:szCs w:val="21"/>
                      <w:u w:val="single"/>
                    </w:rPr>
                    <w:t>二氧化硫、氮氧化物、颗粒物、硫化氢</w:t>
                  </w:r>
                </w:p>
              </w:tc>
              <w:tc>
                <w:tcPr>
                  <w:tcW w:w="1032" w:type="pct"/>
                  <w:shd w:val="clear" w:color="auto" w:fill="auto"/>
                  <w:noWrap w:val="0"/>
                  <w:vAlign w:val="center"/>
                </w:tcPr>
                <w:p w14:paraId="25CB0F34">
                  <w:pPr>
                    <w:kinsoku w:val="0"/>
                    <w:overflowPunct w:val="0"/>
                    <w:jc w:val="center"/>
                    <w:rPr>
                      <w:rFonts w:eastAsia="宋体"/>
                      <w:bCs/>
                      <w:sz w:val="21"/>
                      <w:szCs w:val="21"/>
                      <w:u w:val="single"/>
                    </w:rPr>
                  </w:pPr>
                  <w:r>
                    <w:rPr>
                      <w:rFonts w:eastAsia="宋体"/>
                      <w:bCs/>
                      <w:sz w:val="21"/>
                      <w:szCs w:val="21"/>
                      <w:u w:val="single"/>
                    </w:rPr>
                    <w:t>二级克劳斯+超级克劳斯+SCR脱硝+碱洗</w:t>
                  </w:r>
                </w:p>
              </w:tc>
              <w:tc>
                <w:tcPr>
                  <w:tcW w:w="905" w:type="pct"/>
                  <w:shd w:val="clear" w:color="auto" w:fill="auto"/>
                  <w:noWrap w:val="0"/>
                  <w:vAlign w:val="center"/>
                </w:tcPr>
                <w:p w14:paraId="47597C1E">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5D3DBAF7">
                  <w:pPr>
                    <w:kinsoku w:val="0"/>
                    <w:overflowPunct w:val="0"/>
                    <w:jc w:val="center"/>
                    <w:rPr>
                      <w:rFonts w:eastAsia="宋体"/>
                      <w:bCs/>
                      <w:sz w:val="21"/>
                      <w:szCs w:val="21"/>
                      <w:u w:val="single"/>
                    </w:rPr>
                  </w:pPr>
                  <w:r>
                    <w:rPr>
                      <w:rFonts w:hint="eastAsia" w:eastAsia="宋体"/>
                      <w:bCs/>
                      <w:sz w:val="21"/>
                      <w:szCs w:val="21"/>
                      <w:u w:val="single"/>
                    </w:rPr>
                    <w:t>否</w:t>
                  </w:r>
                </w:p>
              </w:tc>
            </w:tr>
            <w:tr w14:paraId="0239B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tcBorders>
                    <w:bottom w:val="single" w:color="000000" w:sz="4" w:space="0"/>
                  </w:tcBorders>
                  <w:shd w:val="clear" w:color="auto" w:fill="auto"/>
                  <w:noWrap w:val="0"/>
                  <w:vAlign w:val="center"/>
                </w:tcPr>
                <w:p w14:paraId="60659F10">
                  <w:pPr>
                    <w:kinsoku w:val="0"/>
                    <w:overflowPunct w:val="0"/>
                    <w:jc w:val="center"/>
                    <w:rPr>
                      <w:rFonts w:eastAsia="宋体"/>
                      <w:bCs/>
                      <w:sz w:val="21"/>
                      <w:u w:val="single"/>
                    </w:rPr>
                  </w:pPr>
                  <w:r>
                    <w:rPr>
                      <w:rFonts w:eastAsia="宋体"/>
                      <w:bCs/>
                      <w:sz w:val="21"/>
                      <w:szCs w:val="21"/>
                      <w:u w:val="single"/>
                    </w:rPr>
                    <w:t>甲醇中间罐区</w:t>
                  </w:r>
                </w:p>
              </w:tc>
              <w:tc>
                <w:tcPr>
                  <w:tcW w:w="1050" w:type="pct"/>
                  <w:tcBorders>
                    <w:bottom w:val="single" w:color="000000" w:sz="4" w:space="0"/>
                  </w:tcBorders>
                  <w:shd w:val="clear" w:color="auto" w:fill="auto"/>
                  <w:noWrap w:val="0"/>
                  <w:vAlign w:val="center"/>
                </w:tcPr>
                <w:p w14:paraId="17D56A83">
                  <w:pPr>
                    <w:kinsoku w:val="0"/>
                    <w:overflowPunct w:val="0"/>
                    <w:jc w:val="center"/>
                    <w:rPr>
                      <w:rFonts w:eastAsia="宋体"/>
                      <w:bCs/>
                      <w:sz w:val="21"/>
                      <w:szCs w:val="21"/>
                      <w:u w:val="single"/>
                    </w:rPr>
                  </w:pPr>
                  <w:r>
                    <w:rPr>
                      <w:rFonts w:eastAsia="宋体"/>
                      <w:bCs/>
                      <w:sz w:val="21"/>
                      <w:szCs w:val="21"/>
                      <w:u w:val="single"/>
                    </w:rPr>
                    <w:t>甲醇</w:t>
                  </w:r>
                </w:p>
              </w:tc>
              <w:tc>
                <w:tcPr>
                  <w:tcW w:w="1032" w:type="pct"/>
                  <w:tcBorders>
                    <w:bottom w:val="single" w:color="000000" w:sz="4" w:space="0"/>
                  </w:tcBorders>
                  <w:shd w:val="clear" w:color="auto" w:fill="auto"/>
                  <w:noWrap w:val="0"/>
                  <w:vAlign w:val="center"/>
                </w:tcPr>
                <w:p w14:paraId="02731AE6">
                  <w:pPr>
                    <w:kinsoku w:val="0"/>
                    <w:overflowPunct w:val="0"/>
                    <w:jc w:val="center"/>
                    <w:rPr>
                      <w:rFonts w:eastAsia="宋体"/>
                      <w:bCs/>
                      <w:sz w:val="21"/>
                      <w:szCs w:val="21"/>
                      <w:u w:val="single"/>
                    </w:rPr>
                  </w:pPr>
                  <w:r>
                    <w:rPr>
                      <w:rFonts w:eastAsia="宋体"/>
                      <w:bCs/>
                      <w:sz w:val="21"/>
                      <w:szCs w:val="21"/>
                      <w:u w:val="single"/>
                    </w:rPr>
                    <w:t>水洗喷淋</w:t>
                  </w:r>
                </w:p>
              </w:tc>
              <w:tc>
                <w:tcPr>
                  <w:tcW w:w="905" w:type="pct"/>
                  <w:tcBorders>
                    <w:bottom w:val="single" w:color="000000" w:sz="4" w:space="0"/>
                  </w:tcBorders>
                  <w:shd w:val="clear" w:color="auto" w:fill="auto"/>
                  <w:noWrap w:val="0"/>
                  <w:vAlign w:val="center"/>
                </w:tcPr>
                <w:p w14:paraId="42BB91CB">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tcBorders>
                    <w:bottom w:val="single" w:color="000000" w:sz="4" w:space="0"/>
                  </w:tcBorders>
                  <w:shd w:val="clear" w:color="auto" w:fill="auto"/>
                  <w:noWrap w:val="0"/>
                  <w:vAlign w:val="center"/>
                </w:tcPr>
                <w:p w14:paraId="00237E78">
                  <w:pPr>
                    <w:kinsoku w:val="0"/>
                    <w:overflowPunct w:val="0"/>
                    <w:jc w:val="center"/>
                    <w:rPr>
                      <w:rFonts w:eastAsia="宋体"/>
                      <w:bCs/>
                      <w:sz w:val="21"/>
                      <w:szCs w:val="21"/>
                      <w:u w:val="single"/>
                    </w:rPr>
                  </w:pPr>
                  <w:r>
                    <w:rPr>
                      <w:rFonts w:hint="eastAsia" w:eastAsia="宋体"/>
                      <w:bCs/>
                      <w:sz w:val="21"/>
                      <w:szCs w:val="21"/>
                      <w:u w:val="single"/>
                    </w:rPr>
                    <w:t>否</w:t>
                  </w:r>
                </w:p>
              </w:tc>
            </w:tr>
            <w:tr w14:paraId="69ED5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shd w:val="clear" w:color="auto" w:fill="auto"/>
                  <w:noWrap w:val="0"/>
                  <w:vAlign w:val="center"/>
                </w:tcPr>
                <w:p w14:paraId="6B1066F0">
                  <w:pPr>
                    <w:kinsoku w:val="0"/>
                    <w:overflowPunct w:val="0"/>
                    <w:jc w:val="center"/>
                    <w:rPr>
                      <w:rFonts w:eastAsia="宋体"/>
                      <w:bCs/>
                      <w:sz w:val="21"/>
                      <w:u w:val="single"/>
                    </w:rPr>
                  </w:pPr>
                  <w:r>
                    <w:rPr>
                      <w:rFonts w:eastAsia="宋体"/>
                      <w:bCs/>
                      <w:sz w:val="21"/>
                      <w:u w:val="single"/>
                    </w:rPr>
                    <w:t>DMO精馏</w:t>
                  </w:r>
                </w:p>
              </w:tc>
              <w:tc>
                <w:tcPr>
                  <w:tcW w:w="1050" w:type="pct"/>
                  <w:shd w:val="clear" w:color="auto" w:fill="auto"/>
                  <w:noWrap w:val="0"/>
                  <w:vAlign w:val="center"/>
                </w:tcPr>
                <w:p w14:paraId="7D4C790D">
                  <w:pPr>
                    <w:kinsoku w:val="0"/>
                    <w:overflowPunct w:val="0"/>
                    <w:jc w:val="center"/>
                    <w:rPr>
                      <w:rFonts w:eastAsia="宋体"/>
                      <w:bCs/>
                      <w:sz w:val="21"/>
                      <w:szCs w:val="21"/>
                      <w:u w:val="single"/>
                    </w:rPr>
                  </w:pPr>
                  <w:r>
                    <w:rPr>
                      <w:rFonts w:eastAsia="宋体"/>
                      <w:bCs/>
                      <w:sz w:val="21"/>
                      <w:szCs w:val="21"/>
                      <w:u w:val="single"/>
                    </w:rPr>
                    <w:t>甲醇</w:t>
                  </w:r>
                </w:p>
              </w:tc>
              <w:tc>
                <w:tcPr>
                  <w:tcW w:w="1032" w:type="pct"/>
                  <w:shd w:val="clear" w:color="auto" w:fill="auto"/>
                  <w:noWrap w:val="0"/>
                  <w:vAlign w:val="center"/>
                </w:tcPr>
                <w:p w14:paraId="7A7FA2C2">
                  <w:pPr>
                    <w:kinsoku w:val="0"/>
                    <w:overflowPunct w:val="0"/>
                    <w:jc w:val="center"/>
                    <w:rPr>
                      <w:rFonts w:eastAsia="宋体"/>
                      <w:bCs/>
                      <w:sz w:val="21"/>
                      <w:szCs w:val="21"/>
                      <w:u w:val="single"/>
                    </w:rPr>
                  </w:pPr>
                  <w:r>
                    <w:rPr>
                      <w:rFonts w:eastAsia="宋体"/>
                      <w:bCs/>
                      <w:sz w:val="21"/>
                      <w:szCs w:val="21"/>
                      <w:u w:val="single"/>
                    </w:rPr>
                    <w:t>水洗喷淋</w:t>
                  </w:r>
                </w:p>
              </w:tc>
              <w:tc>
                <w:tcPr>
                  <w:tcW w:w="905" w:type="pct"/>
                  <w:shd w:val="clear" w:color="auto" w:fill="auto"/>
                  <w:noWrap w:val="0"/>
                  <w:vAlign w:val="center"/>
                </w:tcPr>
                <w:p w14:paraId="789A564B">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64BEA64F">
                  <w:pPr>
                    <w:kinsoku w:val="0"/>
                    <w:overflowPunct w:val="0"/>
                    <w:jc w:val="center"/>
                    <w:rPr>
                      <w:rFonts w:eastAsia="宋体"/>
                      <w:bCs/>
                      <w:sz w:val="21"/>
                      <w:szCs w:val="21"/>
                      <w:u w:val="single"/>
                    </w:rPr>
                  </w:pPr>
                  <w:r>
                    <w:rPr>
                      <w:rFonts w:hint="eastAsia" w:eastAsia="宋体"/>
                      <w:bCs/>
                      <w:sz w:val="21"/>
                      <w:szCs w:val="21"/>
                      <w:u w:val="single"/>
                    </w:rPr>
                    <w:t>否</w:t>
                  </w:r>
                </w:p>
              </w:tc>
            </w:tr>
            <w:tr w14:paraId="1BF33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tcBorders>
                    <w:bottom w:val="single" w:color="000000" w:sz="4" w:space="0"/>
                  </w:tcBorders>
                  <w:shd w:val="clear" w:color="auto" w:fill="auto"/>
                  <w:noWrap w:val="0"/>
                  <w:vAlign w:val="center"/>
                </w:tcPr>
                <w:p w14:paraId="27DCC2BF">
                  <w:pPr>
                    <w:kinsoku w:val="0"/>
                    <w:overflowPunct w:val="0"/>
                    <w:jc w:val="center"/>
                    <w:rPr>
                      <w:rFonts w:eastAsia="宋体"/>
                      <w:bCs/>
                      <w:sz w:val="21"/>
                      <w:u w:val="single"/>
                    </w:rPr>
                  </w:pPr>
                  <w:r>
                    <w:rPr>
                      <w:rFonts w:eastAsia="宋体"/>
                      <w:bCs/>
                      <w:sz w:val="21"/>
                      <w:u w:val="single"/>
                    </w:rPr>
                    <w:t>EG精馏</w:t>
                  </w:r>
                </w:p>
              </w:tc>
              <w:tc>
                <w:tcPr>
                  <w:tcW w:w="1050" w:type="pct"/>
                  <w:tcBorders>
                    <w:bottom w:val="single" w:color="000000" w:sz="4" w:space="0"/>
                  </w:tcBorders>
                  <w:shd w:val="clear" w:color="auto" w:fill="auto"/>
                  <w:noWrap w:val="0"/>
                  <w:vAlign w:val="center"/>
                </w:tcPr>
                <w:p w14:paraId="7C419B18">
                  <w:pPr>
                    <w:kinsoku w:val="0"/>
                    <w:overflowPunct w:val="0"/>
                    <w:jc w:val="center"/>
                    <w:rPr>
                      <w:rFonts w:eastAsia="宋体"/>
                      <w:bCs/>
                      <w:sz w:val="21"/>
                      <w:szCs w:val="21"/>
                      <w:u w:val="single"/>
                    </w:rPr>
                  </w:pPr>
                  <w:r>
                    <w:rPr>
                      <w:rFonts w:eastAsia="宋体"/>
                      <w:bCs/>
                      <w:sz w:val="21"/>
                      <w:szCs w:val="21"/>
                      <w:u w:val="single"/>
                    </w:rPr>
                    <w:t>乙二醇</w:t>
                  </w:r>
                </w:p>
              </w:tc>
              <w:tc>
                <w:tcPr>
                  <w:tcW w:w="1032" w:type="pct"/>
                  <w:tcBorders>
                    <w:bottom w:val="single" w:color="000000" w:sz="4" w:space="0"/>
                  </w:tcBorders>
                  <w:shd w:val="clear" w:color="auto" w:fill="auto"/>
                  <w:noWrap w:val="0"/>
                  <w:vAlign w:val="center"/>
                </w:tcPr>
                <w:p w14:paraId="047D5748">
                  <w:pPr>
                    <w:kinsoku w:val="0"/>
                    <w:overflowPunct w:val="0"/>
                    <w:jc w:val="center"/>
                    <w:rPr>
                      <w:rFonts w:eastAsia="宋体"/>
                      <w:bCs/>
                      <w:sz w:val="21"/>
                      <w:szCs w:val="21"/>
                      <w:u w:val="single"/>
                    </w:rPr>
                  </w:pPr>
                  <w:r>
                    <w:rPr>
                      <w:rFonts w:eastAsia="宋体"/>
                      <w:bCs/>
                      <w:sz w:val="21"/>
                      <w:szCs w:val="21"/>
                      <w:u w:val="single"/>
                    </w:rPr>
                    <w:t>水洗喷淋</w:t>
                  </w:r>
                </w:p>
              </w:tc>
              <w:tc>
                <w:tcPr>
                  <w:tcW w:w="905" w:type="pct"/>
                  <w:tcBorders>
                    <w:bottom w:val="single" w:color="000000" w:sz="4" w:space="0"/>
                  </w:tcBorders>
                  <w:shd w:val="clear" w:color="auto" w:fill="auto"/>
                  <w:noWrap w:val="0"/>
                  <w:vAlign w:val="center"/>
                </w:tcPr>
                <w:p w14:paraId="18843577">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tcBorders>
                    <w:bottom w:val="single" w:color="000000" w:sz="4" w:space="0"/>
                  </w:tcBorders>
                  <w:shd w:val="clear" w:color="auto" w:fill="auto"/>
                  <w:noWrap w:val="0"/>
                  <w:vAlign w:val="center"/>
                </w:tcPr>
                <w:p w14:paraId="2114E7C8">
                  <w:pPr>
                    <w:kinsoku w:val="0"/>
                    <w:overflowPunct w:val="0"/>
                    <w:jc w:val="center"/>
                    <w:rPr>
                      <w:rFonts w:eastAsia="宋体"/>
                      <w:bCs/>
                      <w:sz w:val="21"/>
                      <w:szCs w:val="21"/>
                      <w:u w:val="single"/>
                    </w:rPr>
                  </w:pPr>
                  <w:r>
                    <w:rPr>
                      <w:rFonts w:hint="eastAsia" w:eastAsia="宋体"/>
                      <w:bCs/>
                      <w:sz w:val="21"/>
                      <w:szCs w:val="21"/>
                      <w:u w:val="single"/>
                    </w:rPr>
                    <w:t>否</w:t>
                  </w:r>
                </w:p>
              </w:tc>
            </w:tr>
            <w:tr w14:paraId="45635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shd w:val="clear" w:color="auto" w:fill="auto"/>
                  <w:noWrap w:val="0"/>
                  <w:vAlign w:val="center"/>
                </w:tcPr>
                <w:p w14:paraId="01EE5BD8">
                  <w:pPr>
                    <w:kinsoku w:val="0"/>
                    <w:overflowPunct w:val="0"/>
                    <w:jc w:val="center"/>
                    <w:rPr>
                      <w:rFonts w:eastAsia="宋体"/>
                      <w:bCs/>
                      <w:sz w:val="21"/>
                      <w:u w:val="single"/>
                    </w:rPr>
                  </w:pPr>
                  <w:r>
                    <w:rPr>
                      <w:rFonts w:eastAsia="宋体"/>
                      <w:bCs/>
                      <w:sz w:val="21"/>
                      <w:u w:val="single"/>
                    </w:rPr>
                    <w:t>乙二醇储存</w:t>
                  </w:r>
                </w:p>
              </w:tc>
              <w:tc>
                <w:tcPr>
                  <w:tcW w:w="1050" w:type="pct"/>
                  <w:shd w:val="clear" w:color="auto" w:fill="auto"/>
                  <w:noWrap w:val="0"/>
                  <w:vAlign w:val="center"/>
                </w:tcPr>
                <w:p w14:paraId="6C743ACB">
                  <w:pPr>
                    <w:kinsoku w:val="0"/>
                    <w:overflowPunct w:val="0"/>
                    <w:jc w:val="center"/>
                    <w:rPr>
                      <w:rFonts w:eastAsia="宋体"/>
                      <w:bCs/>
                      <w:sz w:val="21"/>
                      <w:szCs w:val="21"/>
                      <w:u w:val="single"/>
                    </w:rPr>
                  </w:pPr>
                  <w:r>
                    <w:rPr>
                      <w:rFonts w:eastAsia="宋体"/>
                      <w:bCs/>
                      <w:sz w:val="21"/>
                      <w:szCs w:val="21"/>
                      <w:u w:val="single"/>
                    </w:rPr>
                    <w:t>甲醇</w:t>
                  </w:r>
                </w:p>
              </w:tc>
              <w:tc>
                <w:tcPr>
                  <w:tcW w:w="1032" w:type="pct"/>
                  <w:shd w:val="clear" w:color="auto" w:fill="auto"/>
                  <w:noWrap w:val="0"/>
                  <w:vAlign w:val="center"/>
                </w:tcPr>
                <w:p w14:paraId="52F2CB54">
                  <w:pPr>
                    <w:kinsoku w:val="0"/>
                    <w:overflowPunct w:val="0"/>
                    <w:jc w:val="center"/>
                    <w:rPr>
                      <w:rFonts w:eastAsia="宋体"/>
                      <w:bCs/>
                      <w:sz w:val="21"/>
                      <w:szCs w:val="21"/>
                      <w:u w:val="single"/>
                    </w:rPr>
                  </w:pPr>
                  <w:r>
                    <w:rPr>
                      <w:rFonts w:eastAsia="宋体"/>
                      <w:bCs/>
                      <w:sz w:val="21"/>
                      <w:szCs w:val="21"/>
                      <w:u w:val="single"/>
                    </w:rPr>
                    <w:t>水洗喷淋</w:t>
                  </w:r>
                </w:p>
              </w:tc>
              <w:tc>
                <w:tcPr>
                  <w:tcW w:w="905" w:type="pct"/>
                  <w:shd w:val="clear" w:color="auto" w:fill="auto"/>
                  <w:noWrap w:val="0"/>
                  <w:vAlign w:val="center"/>
                </w:tcPr>
                <w:p w14:paraId="35228010">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5AF31A82">
                  <w:pPr>
                    <w:kinsoku w:val="0"/>
                    <w:overflowPunct w:val="0"/>
                    <w:jc w:val="center"/>
                    <w:rPr>
                      <w:rFonts w:eastAsia="宋体"/>
                      <w:bCs/>
                      <w:sz w:val="21"/>
                      <w:szCs w:val="21"/>
                      <w:u w:val="single"/>
                    </w:rPr>
                  </w:pPr>
                  <w:r>
                    <w:rPr>
                      <w:rFonts w:hint="eastAsia" w:eastAsia="宋体"/>
                      <w:bCs/>
                      <w:sz w:val="21"/>
                      <w:szCs w:val="21"/>
                      <w:u w:val="single"/>
                    </w:rPr>
                    <w:t>否</w:t>
                  </w:r>
                </w:p>
              </w:tc>
            </w:tr>
            <w:tr w14:paraId="3D96C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jc w:val="center"/>
              </w:trPr>
              <w:tc>
                <w:tcPr>
                  <w:tcW w:w="635" w:type="pct"/>
                  <w:shd w:val="clear" w:color="auto" w:fill="auto"/>
                  <w:noWrap w:val="0"/>
                  <w:vAlign w:val="center"/>
                </w:tcPr>
                <w:p w14:paraId="516091C1">
                  <w:pPr>
                    <w:kinsoku w:val="0"/>
                    <w:overflowPunct w:val="0"/>
                    <w:jc w:val="center"/>
                    <w:rPr>
                      <w:rFonts w:eastAsia="宋体"/>
                      <w:bCs/>
                      <w:sz w:val="21"/>
                      <w:u w:val="single"/>
                    </w:rPr>
                  </w:pPr>
                  <w:r>
                    <w:rPr>
                      <w:rFonts w:eastAsia="宋体"/>
                      <w:bCs/>
                      <w:sz w:val="21"/>
                      <w:u w:val="single"/>
                    </w:rPr>
                    <w:t>乙二醇储存</w:t>
                  </w:r>
                </w:p>
              </w:tc>
              <w:tc>
                <w:tcPr>
                  <w:tcW w:w="1050" w:type="pct"/>
                  <w:shd w:val="clear" w:color="auto" w:fill="auto"/>
                  <w:noWrap w:val="0"/>
                  <w:vAlign w:val="center"/>
                </w:tcPr>
                <w:p w14:paraId="2BE68599">
                  <w:pPr>
                    <w:kinsoku w:val="0"/>
                    <w:overflowPunct w:val="0"/>
                    <w:jc w:val="center"/>
                    <w:rPr>
                      <w:rFonts w:eastAsia="宋体"/>
                      <w:bCs/>
                      <w:sz w:val="21"/>
                      <w:szCs w:val="21"/>
                      <w:u w:val="single"/>
                    </w:rPr>
                  </w:pPr>
                  <w:r>
                    <w:rPr>
                      <w:rFonts w:eastAsia="宋体"/>
                      <w:bCs/>
                      <w:sz w:val="21"/>
                      <w:szCs w:val="21"/>
                      <w:u w:val="single"/>
                    </w:rPr>
                    <w:t>乙二醇</w:t>
                  </w:r>
                </w:p>
              </w:tc>
              <w:tc>
                <w:tcPr>
                  <w:tcW w:w="1032" w:type="pct"/>
                  <w:shd w:val="clear" w:color="auto" w:fill="auto"/>
                  <w:noWrap w:val="0"/>
                  <w:vAlign w:val="center"/>
                </w:tcPr>
                <w:p w14:paraId="3F6B18C7">
                  <w:pPr>
                    <w:kinsoku w:val="0"/>
                    <w:overflowPunct w:val="0"/>
                    <w:jc w:val="center"/>
                    <w:rPr>
                      <w:rFonts w:eastAsia="宋体"/>
                      <w:bCs/>
                      <w:sz w:val="21"/>
                      <w:szCs w:val="21"/>
                      <w:u w:val="single"/>
                    </w:rPr>
                  </w:pPr>
                  <w:r>
                    <w:rPr>
                      <w:rFonts w:eastAsia="宋体"/>
                      <w:bCs/>
                      <w:sz w:val="21"/>
                      <w:szCs w:val="21"/>
                      <w:u w:val="single"/>
                    </w:rPr>
                    <w:t>水洗喷淋</w:t>
                  </w:r>
                </w:p>
              </w:tc>
              <w:tc>
                <w:tcPr>
                  <w:tcW w:w="905" w:type="pct"/>
                  <w:shd w:val="clear" w:color="auto" w:fill="auto"/>
                  <w:noWrap w:val="0"/>
                  <w:vAlign w:val="center"/>
                </w:tcPr>
                <w:p w14:paraId="04179D6C">
                  <w:pPr>
                    <w:kinsoku w:val="0"/>
                    <w:overflowPunct w:val="0"/>
                    <w:jc w:val="center"/>
                    <w:rPr>
                      <w:rFonts w:eastAsia="宋体"/>
                      <w:bCs/>
                      <w:sz w:val="21"/>
                      <w:szCs w:val="21"/>
                      <w:u w:val="single"/>
                    </w:rPr>
                  </w:pPr>
                  <w:r>
                    <w:rPr>
                      <w:rFonts w:hint="eastAsia" w:eastAsia="宋体"/>
                      <w:bCs/>
                      <w:sz w:val="21"/>
                      <w:szCs w:val="21"/>
                      <w:u w:val="single"/>
                    </w:rPr>
                    <w:t>是</w:t>
                  </w:r>
                </w:p>
              </w:tc>
              <w:tc>
                <w:tcPr>
                  <w:tcW w:w="1378" w:type="pct"/>
                  <w:shd w:val="clear" w:color="auto" w:fill="auto"/>
                  <w:noWrap w:val="0"/>
                  <w:vAlign w:val="center"/>
                </w:tcPr>
                <w:p w14:paraId="45C235EB">
                  <w:pPr>
                    <w:kinsoku w:val="0"/>
                    <w:overflowPunct w:val="0"/>
                    <w:jc w:val="center"/>
                    <w:rPr>
                      <w:rFonts w:eastAsia="宋体"/>
                      <w:bCs/>
                      <w:sz w:val="21"/>
                      <w:szCs w:val="21"/>
                      <w:u w:val="single"/>
                    </w:rPr>
                  </w:pPr>
                  <w:r>
                    <w:rPr>
                      <w:rFonts w:hint="eastAsia" w:eastAsia="宋体"/>
                      <w:bCs/>
                      <w:sz w:val="21"/>
                      <w:szCs w:val="21"/>
                      <w:u w:val="single"/>
                    </w:rPr>
                    <w:t>否</w:t>
                  </w:r>
                </w:p>
              </w:tc>
            </w:tr>
          </w:tbl>
          <w:p w14:paraId="6CB89A2A">
            <w:pPr>
              <w:spacing w:line="500" w:lineRule="atLeast"/>
              <w:ind w:firstLine="480" w:firstLineChars="200"/>
              <w:jc w:val="left"/>
              <w:rPr>
                <w:rFonts w:hint="default" w:ascii="Times New Roman" w:hAnsi="Times New Roman" w:eastAsia="宋体" w:cs="Times New Roman"/>
                <w:bCs/>
                <w:sz w:val="24"/>
              </w:rPr>
            </w:pPr>
            <w:r>
              <w:rPr>
                <w:rFonts w:hint="default" w:ascii="Times New Roman" w:hAnsi="Times New Roman" w:eastAsia="宋体" w:cs="Times New Roman"/>
                <w:bCs/>
                <w:sz w:val="24"/>
              </w:rPr>
              <w:t>根据表</w:t>
            </w:r>
            <w:r>
              <w:rPr>
                <w:rFonts w:hint="eastAsia" w:cs="Times New Roman"/>
                <w:bCs/>
                <w:sz w:val="24"/>
                <w:lang w:val="en-US" w:eastAsia="zh-CN"/>
              </w:rPr>
              <w:t>2-17</w:t>
            </w:r>
            <w:r>
              <w:rPr>
                <w:rFonts w:hint="default" w:ascii="Times New Roman" w:hAnsi="Times New Roman" w:eastAsia="宋体" w:cs="Times New Roman"/>
                <w:bCs/>
                <w:sz w:val="24"/>
              </w:rPr>
              <w:t>可知，现有工程各废气污染防治措施属于污染防治可行技术，不属于</w:t>
            </w:r>
            <w:r>
              <w:rPr>
                <w:rFonts w:hint="eastAsia" w:cs="Times New Roman"/>
                <w:bCs/>
                <w:sz w:val="24"/>
                <w:lang w:eastAsia="zh-CN"/>
              </w:rPr>
              <w:t>《国家污染防治技术指导目录（2025年）》</w:t>
            </w:r>
            <w:r>
              <w:rPr>
                <w:rFonts w:hint="default" w:ascii="Times New Roman" w:hAnsi="Times New Roman" w:eastAsia="宋体" w:cs="Times New Roman"/>
                <w:bCs/>
                <w:sz w:val="24"/>
              </w:rPr>
              <w:t>中的低效类技术。</w:t>
            </w:r>
          </w:p>
          <w:p w14:paraId="44F5A629">
            <w:pPr>
              <w:spacing w:line="500" w:lineRule="atLeast"/>
              <w:ind w:firstLine="480" w:firstLineChars="200"/>
              <w:jc w:val="left"/>
              <w:rPr>
                <w:bCs/>
                <w:sz w:val="24"/>
              </w:rPr>
            </w:pPr>
            <w:r>
              <w:rPr>
                <w:rFonts w:hint="eastAsia" w:ascii="宋体" w:hAnsi="宋体" w:eastAsia="宋体" w:cs="宋体"/>
                <w:bCs/>
                <w:sz w:val="24"/>
              </w:rPr>
              <w:t>④</w:t>
            </w:r>
            <w:r>
              <w:rPr>
                <w:rFonts w:hint="eastAsia"/>
                <w:bCs/>
                <w:sz w:val="24"/>
              </w:rPr>
              <w:t>无组织废气</w:t>
            </w:r>
          </w:p>
          <w:p w14:paraId="3EF0D216">
            <w:pPr>
              <w:spacing w:line="500" w:lineRule="atLeast"/>
              <w:ind w:firstLine="480" w:firstLineChars="200"/>
              <w:jc w:val="left"/>
              <w:rPr>
                <w:rFonts w:hint="eastAsia"/>
                <w:bCs/>
                <w:sz w:val="24"/>
              </w:rPr>
            </w:pPr>
            <w:r>
              <w:rPr>
                <w:rFonts w:hint="eastAsia"/>
                <w:bCs/>
                <w:sz w:val="24"/>
                <w:lang w:val="en-US" w:eastAsia="zh-CN"/>
              </w:rPr>
              <w:t>根据广西弘远环境监测有限公司出具的监测报告（HY（综合）〔2023〕086、2023年2月6日~2023年2月11日）、《广西华谊能源化工有限公司DMC 回收项目竣工环境保护验收监测报告表》，无组织废气监测结果及达标情况见表2-18</w:t>
            </w:r>
            <w:r>
              <w:rPr>
                <w:rFonts w:hint="eastAsia"/>
                <w:bCs/>
                <w:sz w:val="24"/>
              </w:rPr>
              <w:t>。</w:t>
            </w:r>
          </w:p>
          <w:p w14:paraId="5F7EC2F9">
            <w:pPr>
              <w:pStyle w:val="51"/>
              <w:numPr>
                <w:ilvl w:val="2"/>
                <w:numId w:val="3"/>
              </w:numPr>
              <w:spacing w:line="500" w:lineRule="atLeast"/>
              <w:ind w:firstLineChars="0"/>
              <w:jc w:val="center"/>
              <w:rPr>
                <w:b/>
                <w:sz w:val="24"/>
              </w:rPr>
            </w:pPr>
            <w:r>
              <w:rPr>
                <w:rFonts w:hint="eastAsia"/>
                <w:b/>
                <w:sz w:val="24"/>
              </w:rPr>
              <w:t>厂界无组织废气监测结果一览表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27"/>
              <w:gridCol w:w="1274"/>
              <w:gridCol w:w="1324"/>
              <w:gridCol w:w="1481"/>
              <w:gridCol w:w="10"/>
              <w:gridCol w:w="865"/>
              <w:gridCol w:w="10"/>
              <w:gridCol w:w="838"/>
            </w:tblGrid>
            <w:tr w14:paraId="5FDC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1" w:type="pct"/>
                  <w:noWrap w:val="0"/>
                  <w:vAlign w:val="center"/>
                </w:tcPr>
                <w:p w14:paraId="00E731F5">
                  <w:pPr>
                    <w:jc w:val="center"/>
                    <w:rPr>
                      <w:rFonts w:eastAsia="宋体"/>
                      <w:sz w:val="21"/>
                      <w:szCs w:val="21"/>
                    </w:rPr>
                  </w:pPr>
                  <w:r>
                    <w:rPr>
                      <w:rFonts w:eastAsia="宋体"/>
                      <w:sz w:val="21"/>
                      <w:szCs w:val="21"/>
                    </w:rPr>
                    <w:t>项目</w:t>
                  </w:r>
                </w:p>
              </w:tc>
              <w:tc>
                <w:tcPr>
                  <w:tcW w:w="729" w:type="pct"/>
                  <w:noWrap w:val="0"/>
                  <w:vAlign w:val="center"/>
                </w:tcPr>
                <w:p w14:paraId="271CA354">
                  <w:pPr>
                    <w:jc w:val="center"/>
                    <w:rPr>
                      <w:rFonts w:eastAsia="宋体"/>
                      <w:sz w:val="21"/>
                      <w:szCs w:val="21"/>
                    </w:rPr>
                  </w:pPr>
                  <w:r>
                    <w:rPr>
                      <w:rFonts w:eastAsia="宋体"/>
                      <w:sz w:val="21"/>
                      <w:szCs w:val="21"/>
                    </w:rPr>
                    <w:t>上风向</w:t>
                  </w:r>
                </w:p>
              </w:tc>
              <w:tc>
                <w:tcPr>
                  <w:tcW w:w="757" w:type="pct"/>
                  <w:noWrap w:val="0"/>
                  <w:vAlign w:val="center"/>
                </w:tcPr>
                <w:p w14:paraId="0DD4F536">
                  <w:pPr>
                    <w:jc w:val="center"/>
                    <w:rPr>
                      <w:rFonts w:eastAsia="宋体"/>
                      <w:sz w:val="21"/>
                      <w:szCs w:val="21"/>
                    </w:rPr>
                  </w:pPr>
                  <w:r>
                    <w:rPr>
                      <w:rFonts w:eastAsia="宋体"/>
                      <w:sz w:val="21"/>
                      <w:szCs w:val="21"/>
                    </w:rPr>
                    <w:t>下风向</w:t>
                  </w:r>
                </w:p>
              </w:tc>
              <w:tc>
                <w:tcPr>
                  <w:tcW w:w="787" w:type="pct"/>
                  <w:noWrap w:val="0"/>
                  <w:vAlign w:val="center"/>
                </w:tcPr>
                <w:p w14:paraId="6C2EEC54">
                  <w:pPr>
                    <w:jc w:val="center"/>
                    <w:rPr>
                      <w:rFonts w:eastAsia="宋体"/>
                      <w:sz w:val="21"/>
                      <w:szCs w:val="21"/>
                    </w:rPr>
                  </w:pPr>
                  <w:r>
                    <w:rPr>
                      <w:rFonts w:eastAsia="宋体"/>
                      <w:sz w:val="21"/>
                      <w:szCs w:val="21"/>
                    </w:rPr>
                    <w:t>下风向</w:t>
                  </w:r>
                </w:p>
              </w:tc>
              <w:tc>
                <w:tcPr>
                  <w:tcW w:w="886" w:type="pct"/>
                  <w:gridSpan w:val="2"/>
                  <w:noWrap w:val="0"/>
                  <w:vAlign w:val="center"/>
                </w:tcPr>
                <w:p w14:paraId="6BB8A55D">
                  <w:pPr>
                    <w:jc w:val="center"/>
                    <w:rPr>
                      <w:rFonts w:eastAsia="宋体"/>
                      <w:sz w:val="21"/>
                      <w:szCs w:val="21"/>
                    </w:rPr>
                  </w:pPr>
                  <w:r>
                    <w:rPr>
                      <w:rFonts w:eastAsia="宋体"/>
                      <w:sz w:val="21"/>
                      <w:szCs w:val="21"/>
                    </w:rPr>
                    <w:t>下风向</w:t>
                  </w:r>
                </w:p>
              </w:tc>
              <w:tc>
                <w:tcPr>
                  <w:tcW w:w="520" w:type="pct"/>
                  <w:gridSpan w:val="2"/>
                  <w:noWrap w:val="0"/>
                  <w:vAlign w:val="center"/>
                </w:tcPr>
                <w:p w14:paraId="0216A8B0">
                  <w:pPr>
                    <w:jc w:val="center"/>
                    <w:rPr>
                      <w:rFonts w:eastAsia="宋体"/>
                      <w:sz w:val="21"/>
                      <w:szCs w:val="21"/>
                    </w:rPr>
                  </w:pPr>
                  <w:r>
                    <w:rPr>
                      <w:rFonts w:eastAsia="宋体"/>
                      <w:sz w:val="21"/>
                      <w:szCs w:val="21"/>
                    </w:rPr>
                    <w:t>厂界</w:t>
                  </w:r>
                </w:p>
                <w:p w14:paraId="0F336A46">
                  <w:pPr>
                    <w:jc w:val="center"/>
                    <w:rPr>
                      <w:rFonts w:eastAsia="宋体"/>
                      <w:sz w:val="21"/>
                      <w:szCs w:val="21"/>
                    </w:rPr>
                  </w:pPr>
                  <w:r>
                    <w:rPr>
                      <w:rFonts w:eastAsia="宋体"/>
                      <w:sz w:val="21"/>
                      <w:szCs w:val="21"/>
                    </w:rPr>
                    <w:t>标准</w:t>
                  </w:r>
                </w:p>
              </w:tc>
              <w:tc>
                <w:tcPr>
                  <w:tcW w:w="500" w:type="pct"/>
                  <w:noWrap w:val="0"/>
                  <w:vAlign w:val="center"/>
                </w:tcPr>
                <w:p w14:paraId="5127A5F9">
                  <w:pPr>
                    <w:jc w:val="center"/>
                    <w:rPr>
                      <w:rFonts w:eastAsia="宋体"/>
                      <w:sz w:val="21"/>
                      <w:szCs w:val="21"/>
                    </w:rPr>
                  </w:pPr>
                  <w:r>
                    <w:rPr>
                      <w:rFonts w:eastAsia="宋体"/>
                      <w:sz w:val="21"/>
                      <w:szCs w:val="21"/>
                    </w:rPr>
                    <w:t>是否</w:t>
                  </w:r>
                </w:p>
                <w:p w14:paraId="5C4B783D">
                  <w:pPr>
                    <w:jc w:val="center"/>
                    <w:rPr>
                      <w:rFonts w:eastAsia="宋体"/>
                      <w:sz w:val="21"/>
                      <w:szCs w:val="21"/>
                    </w:rPr>
                  </w:pPr>
                  <w:r>
                    <w:rPr>
                      <w:rFonts w:eastAsia="宋体"/>
                      <w:sz w:val="21"/>
                      <w:szCs w:val="21"/>
                    </w:rPr>
                    <w:t>达标</w:t>
                  </w:r>
                </w:p>
              </w:tc>
            </w:tr>
            <w:tr w14:paraId="4AB4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noWrap w:val="0"/>
                  <w:vAlign w:val="center"/>
                </w:tcPr>
                <w:p w14:paraId="0A9F0D43">
                  <w:pPr>
                    <w:jc w:val="center"/>
                    <w:rPr>
                      <w:rFonts w:hint="eastAsia" w:eastAsia="宋体"/>
                      <w:sz w:val="21"/>
                      <w:szCs w:val="21"/>
                    </w:rPr>
                  </w:pPr>
                  <w:r>
                    <w:rPr>
                      <w:rFonts w:eastAsia="宋体"/>
                      <w:sz w:val="21"/>
                      <w:szCs w:val="21"/>
                    </w:rPr>
                    <w:t>202</w:t>
                  </w:r>
                  <w:r>
                    <w:rPr>
                      <w:rFonts w:hint="eastAsia" w:eastAsia="宋体"/>
                      <w:sz w:val="21"/>
                      <w:szCs w:val="21"/>
                    </w:rPr>
                    <w:t>4</w:t>
                  </w:r>
                  <w:r>
                    <w:rPr>
                      <w:rFonts w:eastAsia="宋体"/>
                      <w:sz w:val="21"/>
                      <w:szCs w:val="21"/>
                    </w:rPr>
                    <w:t>.</w:t>
                  </w:r>
                  <w:r>
                    <w:rPr>
                      <w:rFonts w:hint="eastAsia" w:eastAsia="宋体"/>
                      <w:sz w:val="21"/>
                      <w:szCs w:val="21"/>
                    </w:rPr>
                    <w:t>12</w:t>
                  </w:r>
                  <w:r>
                    <w:rPr>
                      <w:rFonts w:eastAsia="宋体"/>
                      <w:sz w:val="21"/>
                      <w:szCs w:val="21"/>
                    </w:rPr>
                    <w:t>.</w:t>
                  </w:r>
                  <w:r>
                    <w:rPr>
                      <w:rFonts w:hint="eastAsia" w:eastAsia="宋体"/>
                      <w:sz w:val="21"/>
                      <w:szCs w:val="21"/>
                    </w:rPr>
                    <w:t>23</w:t>
                  </w:r>
                  <w:r>
                    <w:rPr>
                      <w:rFonts w:eastAsia="宋体"/>
                      <w:sz w:val="21"/>
                      <w:szCs w:val="21"/>
                    </w:rPr>
                    <w:t>~</w:t>
                  </w:r>
                  <w:r>
                    <w:rPr>
                      <w:rFonts w:hint="eastAsia" w:eastAsia="宋体"/>
                      <w:sz w:val="21"/>
                      <w:szCs w:val="21"/>
                    </w:rPr>
                    <w:t>12</w:t>
                  </w:r>
                  <w:r>
                    <w:rPr>
                      <w:rFonts w:eastAsia="宋体"/>
                      <w:sz w:val="21"/>
                      <w:szCs w:val="21"/>
                    </w:rPr>
                    <w:t>.</w:t>
                  </w:r>
                  <w:r>
                    <w:rPr>
                      <w:rFonts w:hint="eastAsia" w:eastAsia="宋体"/>
                      <w:sz w:val="21"/>
                      <w:szCs w:val="21"/>
                    </w:rPr>
                    <w:t>24</w:t>
                  </w:r>
                </w:p>
              </w:tc>
            </w:tr>
            <w:tr w14:paraId="79ED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14:paraId="13AC1F2A">
                  <w:pPr>
                    <w:jc w:val="center"/>
                    <w:rPr>
                      <w:rFonts w:eastAsia="宋体"/>
                      <w:sz w:val="21"/>
                      <w:szCs w:val="21"/>
                    </w:rPr>
                  </w:pPr>
                  <w:r>
                    <w:rPr>
                      <w:rFonts w:eastAsia="宋体"/>
                      <w:sz w:val="21"/>
                      <w:szCs w:val="21"/>
                    </w:rPr>
                    <w:t>甲醇</w:t>
                  </w:r>
                </w:p>
              </w:tc>
              <w:tc>
                <w:tcPr>
                  <w:tcW w:w="729" w:type="pct"/>
                  <w:noWrap w:val="0"/>
                  <w:vAlign w:val="center"/>
                </w:tcPr>
                <w:p w14:paraId="36B52117">
                  <w:pPr>
                    <w:jc w:val="center"/>
                    <w:rPr>
                      <w:rFonts w:eastAsia="宋体"/>
                      <w:sz w:val="21"/>
                      <w:szCs w:val="21"/>
                    </w:rPr>
                  </w:pPr>
                  <w:r>
                    <w:rPr>
                      <w:rFonts w:eastAsia="宋体"/>
                      <w:sz w:val="21"/>
                      <w:szCs w:val="21"/>
                    </w:rPr>
                    <w:t>ND</w:t>
                  </w:r>
                </w:p>
              </w:tc>
              <w:tc>
                <w:tcPr>
                  <w:tcW w:w="757" w:type="pct"/>
                  <w:noWrap w:val="0"/>
                  <w:vAlign w:val="center"/>
                </w:tcPr>
                <w:p w14:paraId="48CDDAA9">
                  <w:pPr>
                    <w:jc w:val="center"/>
                    <w:rPr>
                      <w:rFonts w:eastAsia="宋体"/>
                      <w:sz w:val="21"/>
                      <w:szCs w:val="21"/>
                    </w:rPr>
                  </w:pPr>
                  <w:r>
                    <w:rPr>
                      <w:rFonts w:eastAsia="宋体"/>
                      <w:sz w:val="21"/>
                      <w:szCs w:val="21"/>
                    </w:rPr>
                    <w:t>ND</w:t>
                  </w:r>
                </w:p>
              </w:tc>
              <w:tc>
                <w:tcPr>
                  <w:tcW w:w="787" w:type="pct"/>
                  <w:noWrap w:val="0"/>
                  <w:vAlign w:val="center"/>
                </w:tcPr>
                <w:p w14:paraId="5B8C7BD8">
                  <w:pPr>
                    <w:jc w:val="center"/>
                    <w:rPr>
                      <w:rFonts w:eastAsia="宋体"/>
                      <w:sz w:val="21"/>
                      <w:szCs w:val="21"/>
                    </w:rPr>
                  </w:pPr>
                  <w:r>
                    <w:rPr>
                      <w:rFonts w:eastAsia="宋体"/>
                      <w:sz w:val="21"/>
                      <w:szCs w:val="21"/>
                    </w:rPr>
                    <w:t>ND</w:t>
                  </w:r>
                </w:p>
              </w:tc>
              <w:tc>
                <w:tcPr>
                  <w:tcW w:w="886" w:type="pct"/>
                  <w:gridSpan w:val="2"/>
                  <w:noWrap w:val="0"/>
                  <w:vAlign w:val="center"/>
                </w:tcPr>
                <w:p w14:paraId="783791EF">
                  <w:pPr>
                    <w:jc w:val="center"/>
                    <w:rPr>
                      <w:rFonts w:eastAsia="宋体"/>
                      <w:sz w:val="21"/>
                      <w:szCs w:val="21"/>
                    </w:rPr>
                  </w:pPr>
                  <w:r>
                    <w:rPr>
                      <w:rFonts w:eastAsia="宋体"/>
                      <w:sz w:val="21"/>
                      <w:szCs w:val="21"/>
                    </w:rPr>
                    <w:t>ND</w:t>
                  </w:r>
                </w:p>
              </w:tc>
              <w:tc>
                <w:tcPr>
                  <w:tcW w:w="520" w:type="pct"/>
                  <w:gridSpan w:val="2"/>
                  <w:noWrap w:val="0"/>
                  <w:vAlign w:val="center"/>
                </w:tcPr>
                <w:p w14:paraId="336CCE1B">
                  <w:pPr>
                    <w:jc w:val="center"/>
                    <w:rPr>
                      <w:rFonts w:eastAsia="宋体"/>
                      <w:sz w:val="21"/>
                      <w:szCs w:val="21"/>
                    </w:rPr>
                  </w:pPr>
                  <w:r>
                    <w:rPr>
                      <w:rFonts w:eastAsia="宋体"/>
                      <w:sz w:val="21"/>
                      <w:szCs w:val="21"/>
                    </w:rPr>
                    <w:t>12</w:t>
                  </w:r>
                </w:p>
              </w:tc>
              <w:tc>
                <w:tcPr>
                  <w:tcW w:w="500" w:type="pct"/>
                  <w:noWrap w:val="0"/>
                  <w:vAlign w:val="center"/>
                </w:tcPr>
                <w:p w14:paraId="409111B0">
                  <w:pPr>
                    <w:jc w:val="center"/>
                    <w:rPr>
                      <w:rFonts w:eastAsia="宋体"/>
                      <w:sz w:val="21"/>
                      <w:szCs w:val="21"/>
                    </w:rPr>
                  </w:pPr>
                  <w:r>
                    <w:rPr>
                      <w:rFonts w:eastAsia="宋体"/>
                      <w:sz w:val="21"/>
                      <w:szCs w:val="21"/>
                    </w:rPr>
                    <w:t>是</w:t>
                  </w:r>
                </w:p>
              </w:tc>
            </w:tr>
            <w:tr w14:paraId="01E2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pct"/>
                  <w:noWrap w:val="0"/>
                  <w:vAlign w:val="center"/>
                </w:tcPr>
                <w:p w14:paraId="624682A5">
                  <w:pPr>
                    <w:jc w:val="center"/>
                    <w:rPr>
                      <w:rFonts w:eastAsia="宋体"/>
                      <w:sz w:val="21"/>
                      <w:szCs w:val="21"/>
                    </w:rPr>
                  </w:pPr>
                  <w:r>
                    <w:rPr>
                      <w:rFonts w:eastAsia="宋体"/>
                      <w:sz w:val="21"/>
                      <w:szCs w:val="21"/>
                    </w:rPr>
                    <w:t>非甲烷总烃</w:t>
                  </w:r>
                </w:p>
              </w:tc>
              <w:tc>
                <w:tcPr>
                  <w:tcW w:w="729" w:type="pct"/>
                  <w:noWrap w:val="0"/>
                  <w:vAlign w:val="center"/>
                </w:tcPr>
                <w:p w14:paraId="4C33473A">
                  <w:pPr>
                    <w:jc w:val="center"/>
                    <w:rPr>
                      <w:rFonts w:hint="eastAsia" w:eastAsia="宋体"/>
                      <w:sz w:val="21"/>
                      <w:szCs w:val="21"/>
                    </w:rPr>
                  </w:pPr>
                  <w:r>
                    <w:rPr>
                      <w:rFonts w:eastAsia="宋体"/>
                      <w:sz w:val="21"/>
                      <w:szCs w:val="21"/>
                    </w:rPr>
                    <w:t>0.</w:t>
                  </w:r>
                  <w:r>
                    <w:rPr>
                      <w:rFonts w:hint="eastAsia" w:eastAsia="宋体"/>
                      <w:sz w:val="21"/>
                      <w:szCs w:val="21"/>
                    </w:rPr>
                    <w:t>62</w:t>
                  </w:r>
                  <w:r>
                    <w:rPr>
                      <w:rFonts w:eastAsia="宋体"/>
                      <w:sz w:val="21"/>
                      <w:szCs w:val="21"/>
                    </w:rPr>
                    <w:t>~</w:t>
                  </w:r>
                  <w:r>
                    <w:rPr>
                      <w:rFonts w:hint="eastAsia" w:eastAsia="宋体"/>
                      <w:sz w:val="21"/>
                      <w:szCs w:val="21"/>
                    </w:rPr>
                    <w:t>1.01</w:t>
                  </w:r>
                </w:p>
              </w:tc>
              <w:tc>
                <w:tcPr>
                  <w:tcW w:w="757" w:type="pct"/>
                  <w:noWrap w:val="0"/>
                  <w:vAlign w:val="center"/>
                </w:tcPr>
                <w:p w14:paraId="471BEB23">
                  <w:pPr>
                    <w:jc w:val="center"/>
                    <w:rPr>
                      <w:rFonts w:hint="eastAsia" w:eastAsia="宋体"/>
                      <w:sz w:val="21"/>
                      <w:szCs w:val="21"/>
                    </w:rPr>
                  </w:pPr>
                  <w:r>
                    <w:rPr>
                      <w:rFonts w:hint="eastAsia" w:eastAsia="宋体"/>
                      <w:sz w:val="21"/>
                      <w:szCs w:val="21"/>
                    </w:rPr>
                    <w:t>2.91</w:t>
                  </w:r>
                  <w:r>
                    <w:rPr>
                      <w:rFonts w:eastAsia="宋体"/>
                      <w:sz w:val="21"/>
                      <w:szCs w:val="21"/>
                    </w:rPr>
                    <w:t>~</w:t>
                  </w:r>
                  <w:r>
                    <w:rPr>
                      <w:rFonts w:hint="eastAsia" w:eastAsia="宋体"/>
                      <w:sz w:val="21"/>
                      <w:szCs w:val="21"/>
                    </w:rPr>
                    <w:t>3.54</w:t>
                  </w:r>
                </w:p>
              </w:tc>
              <w:tc>
                <w:tcPr>
                  <w:tcW w:w="787" w:type="pct"/>
                  <w:noWrap w:val="0"/>
                  <w:vAlign w:val="center"/>
                </w:tcPr>
                <w:p w14:paraId="0524C116">
                  <w:pPr>
                    <w:jc w:val="center"/>
                    <w:rPr>
                      <w:rFonts w:hint="eastAsia" w:eastAsia="宋体"/>
                      <w:sz w:val="21"/>
                      <w:szCs w:val="21"/>
                    </w:rPr>
                  </w:pPr>
                  <w:r>
                    <w:rPr>
                      <w:rFonts w:hint="eastAsia" w:eastAsia="宋体"/>
                      <w:sz w:val="21"/>
                      <w:szCs w:val="21"/>
                    </w:rPr>
                    <w:t>3.48~3.89</w:t>
                  </w:r>
                </w:p>
              </w:tc>
              <w:tc>
                <w:tcPr>
                  <w:tcW w:w="886" w:type="pct"/>
                  <w:gridSpan w:val="2"/>
                  <w:noWrap w:val="0"/>
                  <w:vAlign w:val="center"/>
                </w:tcPr>
                <w:p w14:paraId="5760462C">
                  <w:pPr>
                    <w:jc w:val="center"/>
                    <w:rPr>
                      <w:rFonts w:hint="eastAsia" w:eastAsia="宋体"/>
                      <w:sz w:val="21"/>
                      <w:szCs w:val="21"/>
                    </w:rPr>
                  </w:pPr>
                  <w:r>
                    <w:rPr>
                      <w:rFonts w:hint="eastAsia" w:eastAsia="宋体"/>
                      <w:sz w:val="21"/>
                      <w:szCs w:val="21"/>
                    </w:rPr>
                    <w:t>3.06</w:t>
                  </w:r>
                  <w:r>
                    <w:rPr>
                      <w:rFonts w:eastAsia="宋体"/>
                      <w:sz w:val="21"/>
                      <w:szCs w:val="21"/>
                    </w:rPr>
                    <w:t>~</w:t>
                  </w:r>
                  <w:r>
                    <w:rPr>
                      <w:rFonts w:hint="eastAsia" w:eastAsia="宋体"/>
                      <w:sz w:val="21"/>
                      <w:szCs w:val="21"/>
                    </w:rPr>
                    <w:t>3.72</w:t>
                  </w:r>
                </w:p>
              </w:tc>
              <w:tc>
                <w:tcPr>
                  <w:tcW w:w="520" w:type="pct"/>
                  <w:gridSpan w:val="2"/>
                  <w:noWrap w:val="0"/>
                  <w:vAlign w:val="center"/>
                </w:tcPr>
                <w:p w14:paraId="74B3ED96">
                  <w:pPr>
                    <w:jc w:val="center"/>
                    <w:rPr>
                      <w:rFonts w:eastAsia="宋体"/>
                      <w:sz w:val="21"/>
                      <w:szCs w:val="21"/>
                    </w:rPr>
                  </w:pPr>
                  <w:r>
                    <w:rPr>
                      <w:rFonts w:eastAsia="宋体"/>
                      <w:sz w:val="21"/>
                      <w:szCs w:val="21"/>
                    </w:rPr>
                    <w:t>4</w:t>
                  </w:r>
                </w:p>
              </w:tc>
              <w:tc>
                <w:tcPr>
                  <w:tcW w:w="500" w:type="pct"/>
                  <w:noWrap w:val="0"/>
                  <w:vAlign w:val="center"/>
                </w:tcPr>
                <w:p w14:paraId="649669B3">
                  <w:pPr>
                    <w:jc w:val="center"/>
                    <w:rPr>
                      <w:rFonts w:eastAsia="宋体"/>
                      <w:sz w:val="21"/>
                      <w:szCs w:val="21"/>
                    </w:rPr>
                  </w:pPr>
                  <w:r>
                    <w:rPr>
                      <w:rFonts w:eastAsia="宋体"/>
                      <w:sz w:val="21"/>
                      <w:szCs w:val="21"/>
                    </w:rPr>
                    <w:t>是</w:t>
                  </w:r>
                </w:p>
              </w:tc>
            </w:tr>
            <w:tr w14:paraId="4F32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noWrap w:val="0"/>
                  <w:vAlign w:val="center"/>
                </w:tcPr>
                <w:p w14:paraId="77A79938">
                  <w:pPr>
                    <w:jc w:val="center"/>
                    <w:rPr>
                      <w:rFonts w:hint="eastAsia" w:eastAsia="宋体"/>
                      <w:sz w:val="21"/>
                      <w:szCs w:val="21"/>
                    </w:rPr>
                  </w:pPr>
                  <w:r>
                    <w:rPr>
                      <w:rFonts w:eastAsia="宋体"/>
                      <w:sz w:val="21"/>
                      <w:szCs w:val="21"/>
                    </w:rPr>
                    <w:t>2023.2.6~2.11</w:t>
                  </w:r>
                </w:p>
              </w:tc>
            </w:tr>
            <w:tr w14:paraId="64A5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3CC76E62">
                  <w:pPr>
                    <w:jc w:val="center"/>
                    <w:rPr>
                      <w:rFonts w:eastAsia="宋体"/>
                      <w:sz w:val="21"/>
                      <w:szCs w:val="21"/>
                    </w:rPr>
                  </w:pPr>
                  <w:r>
                    <w:rPr>
                      <w:rFonts w:eastAsia="宋体"/>
                      <w:sz w:val="21"/>
                      <w:szCs w:val="21"/>
                    </w:rPr>
                    <w:t>总悬浮颗粒物（TSP）</w:t>
                  </w:r>
                </w:p>
              </w:tc>
              <w:tc>
                <w:tcPr>
                  <w:tcW w:w="729" w:type="pct"/>
                  <w:noWrap w:val="0"/>
                  <w:vAlign w:val="center"/>
                </w:tcPr>
                <w:p w14:paraId="11CBA1DF">
                  <w:pPr>
                    <w:jc w:val="center"/>
                    <w:rPr>
                      <w:rFonts w:eastAsia="宋体"/>
                      <w:sz w:val="21"/>
                      <w:szCs w:val="21"/>
                    </w:rPr>
                  </w:pPr>
                  <w:r>
                    <w:rPr>
                      <w:rFonts w:eastAsia="宋体"/>
                      <w:sz w:val="21"/>
                      <w:szCs w:val="21"/>
                    </w:rPr>
                    <w:t>0.148~0.171</w:t>
                  </w:r>
                </w:p>
              </w:tc>
              <w:tc>
                <w:tcPr>
                  <w:tcW w:w="757" w:type="pct"/>
                  <w:noWrap w:val="0"/>
                  <w:vAlign w:val="center"/>
                </w:tcPr>
                <w:p w14:paraId="2BD1A781">
                  <w:pPr>
                    <w:jc w:val="center"/>
                    <w:rPr>
                      <w:rFonts w:eastAsia="宋体"/>
                      <w:sz w:val="21"/>
                      <w:szCs w:val="21"/>
                    </w:rPr>
                  </w:pPr>
                  <w:r>
                    <w:rPr>
                      <w:rFonts w:eastAsia="宋体"/>
                      <w:sz w:val="21"/>
                      <w:szCs w:val="21"/>
                    </w:rPr>
                    <w:t>0.352~0.397</w:t>
                  </w:r>
                </w:p>
              </w:tc>
              <w:tc>
                <w:tcPr>
                  <w:tcW w:w="786" w:type="pct"/>
                  <w:noWrap w:val="0"/>
                  <w:vAlign w:val="center"/>
                </w:tcPr>
                <w:p w14:paraId="22090775">
                  <w:pPr>
                    <w:jc w:val="center"/>
                    <w:rPr>
                      <w:rFonts w:eastAsia="宋体"/>
                      <w:sz w:val="21"/>
                      <w:szCs w:val="21"/>
                    </w:rPr>
                  </w:pPr>
                  <w:r>
                    <w:rPr>
                      <w:rFonts w:eastAsia="宋体"/>
                      <w:sz w:val="21"/>
                      <w:szCs w:val="21"/>
                    </w:rPr>
                    <w:t>0.424~0.440</w:t>
                  </w:r>
                </w:p>
              </w:tc>
              <w:tc>
                <w:tcPr>
                  <w:tcW w:w="880" w:type="pct"/>
                  <w:noWrap w:val="0"/>
                  <w:vAlign w:val="center"/>
                </w:tcPr>
                <w:p w14:paraId="3CCDE44D">
                  <w:pPr>
                    <w:jc w:val="center"/>
                    <w:rPr>
                      <w:rFonts w:eastAsia="宋体"/>
                      <w:sz w:val="21"/>
                      <w:szCs w:val="21"/>
                    </w:rPr>
                  </w:pPr>
                  <w:r>
                    <w:rPr>
                      <w:rFonts w:eastAsia="宋体"/>
                      <w:sz w:val="21"/>
                      <w:szCs w:val="21"/>
                    </w:rPr>
                    <w:t>0.398~0.449</w:t>
                  </w:r>
                </w:p>
              </w:tc>
              <w:tc>
                <w:tcPr>
                  <w:tcW w:w="520" w:type="pct"/>
                  <w:gridSpan w:val="2"/>
                  <w:noWrap w:val="0"/>
                  <w:vAlign w:val="center"/>
                </w:tcPr>
                <w:p w14:paraId="6E9CFA34">
                  <w:pPr>
                    <w:jc w:val="center"/>
                    <w:rPr>
                      <w:rFonts w:eastAsia="宋体"/>
                      <w:sz w:val="21"/>
                      <w:szCs w:val="21"/>
                    </w:rPr>
                  </w:pPr>
                  <w:r>
                    <w:rPr>
                      <w:rFonts w:eastAsia="宋体"/>
                      <w:sz w:val="21"/>
                      <w:szCs w:val="21"/>
                    </w:rPr>
                    <w:t>1.0</w:t>
                  </w:r>
                </w:p>
              </w:tc>
              <w:tc>
                <w:tcPr>
                  <w:tcW w:w="505" w:type="pct"/>
                  <w:gridSpan w:val="2"/>
                  <w:noWrap w:val="0"/>
                  <w:vAlign w:val="center"/>
                </w:tcPr>
                <w:p w14:paraId="05E03326">
                  <w:pPr>
                    <w:jc w:val="center"/>
                    <w:rPr>
                      <w:rFonts w:eastAsia="宋体"/>
                      <w:sz w:val="21"/>
                      <w:szCs w:val="21"/>
                    </w:rPr>
                  </w:pPr>
                  <w:r>
                    <w:rPr>
                      <w:rFonts w:eastAsia="宋体"/>
                      <w:sz w:val="21"/>
                      <w:szCs w:val="21"/>
                    </w:rPr>
                    <w:t>是</w:t>
                  </w:r>
                </w:p>
              </w:tc>
            </w:tr>
            <w:tr w14:paraId="6BE9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2ADC6B6B">
                  <w:pPr>
                    <w:jc w:val="center"/>
                    <w:rPr>
                      <w:rFonts w:eastAsia="宋体"/>
                      <w:sz w:val="21"/>
                      <w:szCs w:val="21"/>
                    </w:rPr>
                  </w:pPr>
                  <w:r>
                    <w:rPr>
                      <w:rFonts w:eastAsia="宋体"/>
                      <w:sz w:val="21"/>
                      <w:szCs w:val="21"/>
                    </w:rPr>
                    <w:t>氨</w:t>
                  </w:r>
                </w:p>
              </w:tc>
              <w:tc>
                <w:tcPr>
                  <w:tcW w:w="729" w:type="pct"/>
                  <w:noWrap w:val="0"/>
                  <w:vAlign w:val="center"/>
                </w:tcPr>
                <w:p w14:paraId="0EDE9FB7">
                  <w:pPr>
                    <w:jc w:val="center"/>
                    <w:rPr>
                      <w:rFonts w:eastAsia="宋体"/>
                      <w:sz w:val="21"/>
                      <w:szCs w:val="21"/>
                    </w:rPr>
                  </w:pPr>
                  <w:r>
                    <w:rPr>
                      <w:rFonts w:eastAsia="宋体"/>
                      <w:sz w:val="21"/>
                      <w:szCs w:val="21"/>
                    </w:rPr>
                    <w:t>0.05~0.06</w:t>
                  </w:r>
                </w:p>
              </w:tc>
              <w:tc>
                <w:tcPr>
                  <w:tcW w:w="757" w:type="pct"/>
                  <w:noWrap w:val="0"/>
                  <w:vAlign w:val="center"/>
                </w:tcPr>
                <w:p w14:paraId="7D241FC1">
                  <w:pPr>
                    <w:jc w:val="center"/>
                    <w:rPr>
                      <w:rFonts w:eastAsia="宋体"/>
                      <w:sz w:val="21"/>
                      <w:szCs w:val="21"/>
                    </w:rPr>
                  </w:pPr>
                  <w:r>
                    <w:rPr>
                      <w:rFonts w:eastAsia="宋体"/>
                      <w:sz w:val="21"/>
                      <w:szCs w:val="21"/>
                    </w:rPr>
                    <w:t>0.09~0.10</w:t>
                  </w:r>
                </w:p>
              </w:tc>
              <w:tc>
                <w:tcPr>
                  <w:tcW w:w="786" w:type="pct"/>
                  <w:noWrap w:val="0"/>
                  <w:vAlign w:val="center"/>
                </w:tcPr>
                <w:p w14:paraId="1E3D6090">
                  <w:pPr>
                    <w:jc w:val="center"/>
                    <w:rPr>
                      <w:rFonts w:eastAsia="宋体"/>
                      <w:sz w:val="21"/>
                      <w:szCs w:val="21"/>
                    </w:rPr>
                  </w:pPr>
                  <w:r>
                    <w:rPr>
                      <w:rFonts w:eastAsia="宋体"/>
                      <w:sz w:val="21"/>
                      <w:szCs w:val="21"/>
                    </w:rPr>
                    <w:t>0.12~0.14</w:t>
                  </w:r>
                </w:p>
              </w:tc>
              <w:tc>
                <w:tcPr>
                  <w:tcW w:w="880" w:type="pct"/>
                  <w:noWrap w:val="0"/>
                  <w:vAlign w:val="center"/>
                </w:tcPr>
                <w:p w14:paraId="35DD3977">
                  <w:pPr>
                    <w:jc w:val="center"/>
                    <w:rPr>
                      <w:rFonts w:eastAsia="宋体"/>
                      <w:sz w:val="21"/>
                      <w:szCs w:val="21"/>
                    </w:rPr>
                  </w:pPr>
                  <w:r>
                    <w:rPr>
                      <w:rFonts w:eastAsia="宋体"/>
                      <w:sz w:val="21"/>
                      <w:szCs w:val="21"/>
                    </w:rPr>
                    <w:t>0.11~0.12</w:t>
                  </w:r>
                </w:p>
              </w:tc>
              <w:tc>
                <w:tcPr>
                  <w:tcW w:w="520" w:type="pct"/>
                  <w:gridSpan w:val="2"/>
                  <w:noWrap w:val="0"/>
                  <w:vAlign w:val="center"/>
                </w:tcPr>
                <w:p w14:paraId="6176B420">
                  <w:pPr>
                    <w:jc w:val="center"/>
                    <w:rPr>
                      <w:rFonts w:eastAsia="宋体"/>
                      <w:sz w:val="21"/>
                      <w:szCs w:val="21"/>
                    </w:rPr>
                  </w:pPr>
                  <w:r>
                    <w:rPr>
                      <w:rFonts w:eastAsia="宋体"/>
                      <w:sz w:val="21"/>
                      <w:szCs w:val="21"/>
                    </w:rPr>
                    <w:t>1.5</w:t>
                  </w:r>
                </w:p>
              </w:tc>
              <w:tc>
                <w:tcPr>
                  <w:tcW w:w="505" w:type="pct"/>
                  <w:gridSpan w:val="2"/>
                  <w:noWrap w:val="0"/>
                  <w:vAlign w:val="center"/>
                </w:tcPr>
                <w:p w14:paraId="6042C2AA">
                  <w:pPr>
                    <w:jc w:val="center"/>
                    <w:rPr>
                      <w:rFonts w:eastAsia="宋体"/>
                      <w:sz w:val="21"/>
                      <w:szCs w:val="21"/>
                    </w:rPr>
                  </w:pPr>
                  <w:r>
                    <w:rPr>
                      <w:rFonts w:eastAsia="宋体"/>
                      <w:sz w:val="21"/>
                      <w:szCs w:val="21"/>
                    </w:rPr>
                    <w:t>是</w:t>
                  </w:r>
                </w:p>
              </w:tc>
            </w:tr>
            <w:tr w14:paraId="5BBE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71276174">
                  <w:pPr>
                    <w:jc w:val="center"/>
                    <w:rPr>
                      <w:rFonts w:eastAsia="宋体"/>
                      <w:sz w:val="21"/>
                      <w:szCs w:val="21"/>
                    </w:rPr>
                  </w:pPr>
                  <w:r>
                    <w:rPr>
                      <w:rFonts w:eastAsia="宋体"/>
                      <w:sz w:val="21"/>
                      <w:szCs w:val="21"/>
                    </w:rPr>
                    <w:t>硫化氢</w:t>
                  </w:r>
                </w:p>
              </w:tc>
              <w:tc>
                <w:tcPr>
                  <w:tcW w:w="729" w:type="pct"/>
                  <w:noWrap w:val="0"/>
                  <w:vAlign w:val="center"/>
                </w:tcPr>
                <w:p w14:paraId="46437416">
                  <w:pPr>
                    <w:jc w:val="center"/>
                    <w:rPr>
                      <w:rFonts w:eastAsia="宋体"/>
                      <w:sz w:val="21"/>
                      <w:szCs w:val="21"/>
                    </w:rPr>
                  </w:pPr>
                  <w:r>
                    <w:rPr>
                      <w:rFonts w:eastAsia="宋体"/>
                      <w:sz w:val="21"/>
                      <w:szCs w:val="21"/>
                    </w:rPr>
                    <w:t>ND</w:t>
                  </w:r>
                </w:p>
              </w:tc>
              <w:tc>
                <w:tcPr>
                  <w:tcW w:w="757" w:type="pct"/>
                  <w:noWrap w:val="0"/>
                  <w:vAlign w:val="center"/>
                </w:tcPr>
                <w:p w14:paraId="09B1866A">
                  <w:pPr>
                    <w:jc w:val="center"/>
                    <w:rPr>
                      <w:rFonts w:eastAsia="宋体"/>
                      <w:sz w:val="21"/>
                      <w:szCs w:val="21"/>
                    </w:rPr>
                  </w:pPr>
                  <w:r>
                    <w:rPr>
                      <w:rFonts w:eastAsia="宋体"/>
                      <w:sz w:val="21"/>
                      <w:szCs w:val="21"/>
                    </w:rPr>
                    <w:t>ND</w:t>
                  </w:r>
                </w:p>
              </w:tc>
              <w:tc>
                <w:tcPr>
                  <w:tcW w:w="786" w:type="pct"/>
                  <w:noWrap w:val="0"/>
                  <w:vAlign w:val="center"/>
                </w:tcPr>
                <w:p w14:paraId="0E60C5CE">
                  <w:pPr>
                    <w:jc w:val="center"/>
                    <w:rPr>
                      <w:rFonts w:eastAsia="宋体"/>
                      <w:sz w:val="21"/>
                      <w:szCs w:val="21"/>
                    </w:rPr>
                  </w:pPr>
                  <w:r>
                    <w:rPr>
                      <w:rFonts w:eastAsia="宋体"/>
                      <w:sz w:val="21"/>
                      <w:szCs w:val="21"/>
                    </w:rPr>
                    <w:t>0.001~0.002</w:t>
                  </w:r>
                </w:p>
              </w:tc>
              <w:tc>
                <w:tcPr>
                  <w:tcW w:w="880" w:type="pct"/>
                  <w:noWrap w:val="0"/>
                  <w:vAlign w:val="center"/>
                </w:tcPr>
                <w:p w14:paraId="7C6D798B">
                  <w:pPr>
                    <w:jc w:val="center"/>
                    <w:rPr>
                      <w:rFonts w:eastAsia="宋体"/>
                      <w:sz w:val="21"/>
                      <w:szCs w:val="21"/>
                    </w:rPr>
                  </w:pPr>
                  <w:r>
                    <w:rPr>
                      <w:rFonts w:eastAsia="宋体"/>
                      <w:sz w:val="21"/>
                      <w:szCs w:val="21"/>
                    </w:rPr>
                    <w:t>0.001~0.002</w:t>
                  </w:r>
                </w:p>
              </w:tc>
              <w:tc>
                <w:tcPr>
                  <w:tcW w:w="520" w:type="pct"/>
                  <w:gridSpan w:val="2"/>
                  <w:noWrap w:val="0"/>
                  <w:vAlign w:val="center"/>
                </w:tcPr>
                <w:p w14:paraId="5B378DA0">
                  <w:pPr>
                    <w:jc w:val="center"/>
                    <w:rPr>
                      <w:rFonts w:eastAsia="宋体"/>
                      <w:sz w:val="21"/>
                      <w:szCs w:val="21"/>
                    </w:rPr>
                  </w:pPr>
                  <w:r>
                    <w:rPr>
                      <w:rFonts w:eastAsia="宋体"/>
                      <w:sz w:val="21"/>
                      <w:szCs w:val="21"/>
                    </w:rPr>
                    <w:t>0.06</w:t>
                  </w:r>
                </w:p>
              </w:tc>
              <w:tc>
                <w:tcPr>
                  <w:tcW w:w="505" w:type="pct"/>
                  <w:gridSpan w:val="2"/>
                  <w:noWrap w:val="0"/>
                  <w:vAlign w:val="center"/>
                </w:tcPr>
                <w:p w14:paraId="71BCDF17">
                  <w:pPr>
                    <w:jc w:val="center"/>
                    <w:rPr>
                      <w:rFonts w:eastAsia="宋体"/>
                      <w:sz w:val="21"/>
                      <w:szCs w:val="21"/>
                    </w:rPr>
                  </w:pPr>
                  <w:r>
                    <w:rPr>
                      <w:rFonts w:eastAsia="宋体"/>
                      <w:sz w:val="21"/>
                      <w:szCs w:val="21"/>
                    </w:rPr>
                    <w:t>是</w:t>
                  </w:r>
                </w:p>
              </w:tc>
            </w:tr>
            <w:tr w14:paraId="1F8D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5091B0ED">
                  <w:pPr>
                    <w:jc w:val="center"/>
                    <w:rPr>
                      <w:rFonts w:eastAsia="宋体"/>
                      <w:sz w:val="21"/>
                      <w:szCs w:val="21"/>
                    </w:rPr>
                  </w:pPr>
                  <w:r>
                    <w:rPr>
                      <w:rFonts w:eastAsia="宋体"/>
                      <w:sz w:val="21"/>
                      <w:szCs w:val="21"/>
                    </w:rPr>
                    <w:t>臭气浓度</w:t>
                  </w:r>
                </w:p>
                <w:p w14:paraId="18616AAA">
                  <w:pPr>
                    <w:jc w:val="center"/>
                    <w:rPr>
                      <w:rFonts w:eastAsia="宋体"/>
                      <w:sz w:val="21"/>
                      <w:szCs w:val="21"/>
                    </w:rPr>
                  </w:pPr>
                  <w:r>
                    <w:rPr>
                      <w:rFonts w:eastAsia="宋体"/>
                      <w:sz w:val="21"/>
                      <w:szCs w:val="21"/>
                    </w:rPr>
                    <w:t>（无量纲）</w:t>
                  </w:r>
                </w:p>
              </w:tc>
              <w:tc>
                <w:tcPr>
                  <w:tcW w:w="729" w:type="pct"/>
                  <w:noWrap w:val="0"/>
                  <w:vAlign w:val="center"/>
                </w:tcPr>
                <w:p w14:paraId="06CF8B4B">
                  <w:pPr>
                    <w:jc w:val="center"/>
                    <w:rPr>
                      <w:rFonts w:eastAsia="宋体"/>
                      <w:sz w:val="21"/>
                      <w:szCs w:val="21"/>
                    </w:rPr>
                  </w:pPr>
                  <w:r>
                    <w:rPr>
                      <w:rFonts w:eastAsia="宋体"/>
                      <w:sz w:val="21"/>
                      <w:szCs w:val="21"/>
                    </w:rPr>
                    <w:t>ND</w:t>
                  </w:r>
                </w:p>
              </w:tc>
              <w:tc>
                <w:tcPr>
                  <w:tcW w:w="757" w:type="pct"/>
                  <w:noWrap w:val="0"/>
                  <w:vAlign w:val="center"/>
                </w:tcPr>
                <w:p w14:paraId="22017603">
                  <w:pPr>
                    <w:jc w:val="center"/>
                    <w:rPr>
                      <w:rFonts w:eastAsia="宋体"/>
                      <w:sz w:val="21"/>
                      <w:szCs w:val="21"/>
                    </w:rPr>
                  </w:pPr>
                  <w:r>
                    <w:rPr>
                      <w:rFonts w:eastAsia="宋体"/>
                      <w:sz w:val="21"/>
                      <w:szCs w:val="21"/>
                    </w:rPr>
                    <w:t>ND~11</w:t>
                  </w:r>
                </w:p>
              </w:tc>
              <w:tc>
                <w:tcPr>
                  <w:tcW w:w="786" w:type="pct"/>
                  <w:noWrap w:val="0"/>
                  <w:vAlign w:val="center"/>
                </w:tcPr>
                <w:p w14:paraId="3B0EAF0A">
                  <w:pPr>
                    <w:jc w:val="center"/>
                    <w:rPr>
                      <w:rFonts w:eastAsia="宋体"/>
                      <w:sz w:val="21"/>
                      <w:szCs w:val="21"/>
                    </w:rPr>
                  </w:pPr>
                  <w:r>
                    <w:rPr>
                      <w:rFonts w:eastAsia="宋体"/>
                      <w:sz w:val="21"/>
                      <w:szCs w:val="21"/>
                    </w:rPr>
                    <w:t>ND~12</w:t>
                  </w:r>
                </w:p>
              </w:tc>
              <w:tc>
                <w:tcPr>
                  <w:tcW w:w="880" w:type="pct"/>
                  <w:noWrap w:val="0"/>
                  <w:vAlign w:val="center"/>
                </w:tcPr>
                <w:p w14:paraId="45759F0C">
                  <w:pPr>
                    <w:jc w:val="center"/>
                    <w:rPr>
                      <w:rFonts w:eastAsia="宋体"/>
                      <w:sz w:val="21"/>
                      <w:szCs w:val="21"/>
                    </w:rPr>
                  </w:pPr>
                  <w:r>
                    <w:rPr>
                      <w:rFonts w:eastAsia="宋体"/>
                      <w:sz w:val="21"/>
                      <w:szCs w:val="21"/>
                    </w:rPr>
                    <w:t>ND~11</w:t>
                  </w:r>
                </w:p>
              </w:tc>
              <w:tc>
                <w:tcPr>
                  <w:tcW w:w="520" w:type="pct"/>
                  <w:gridSpan w:val="2"/>
                  <w:noWrap w:val="0"/>
                  <w:vAlign w:val="center"/>
                </w:tcPr>
                <w:p w14:paraId="026067DC">
                  <w:pPr>
                    <w:jc w:val="center"/>
                    <w:rPr>
                      <w:rFonts w:eastAsia="宋体"/>
                      <w:sz w:val="21"/>
                      <w:szCs w:val="21"/>
                    </w:rPr>
                  </w:pPr>
                  <w:r>
                    <w:rPr>
                      <w:rFonts w:eastAsia="宋体"/>
                      <w:sz w:val="21"/>
                      <w:szCs w:val="21"/>
                    </w:rPr>
                    <w:t>20</w:t>
                  </w:r>
                </w:p>
              </w:tc>
              <w:tc>
                <w:tcPr>
                  <w:tcW w:w="505" w:type="pct"/>
                  <w:gridSpan w:val="2"/>
                  <w:noWrap w:val="0"/>
                  <w:vAlign w:val="center"/>
                </w:tcPr>
                <w:p w14:paraId="64D3302F">
                  <w:pPr>
                    <w:jc w:val="center"/>
                    <w:rPr>
                      <w:rFonts w:eastAsia="宋体"/>
                      <w:sz w:val="21"/>
                      <w:szCs w:val="21"/>
                    </w:rPr>
                  </w:pPr>
                  <w:r>
                    <w:rPr>
                      <w:rFonts w:eastAsia="宋体"/>
                      <w:sz w:val="21"/>
                      <w:szCs w:val="21"/>
                    </w:rPr>
                    <w:t>是</w:t>
                  </w:r>
                </w:p>
              </w:tc>
            </w:tr>
          </w:tbl>
          <w:p w14:paraId="4A0F2868">
            <w:pPr>
              <w:spacing w:line="500" w:lineRule="atLeast"/>
              <w:ind w:firstLine="480" w:firstLineChars="200"/>
              <w:jc w:val="left"/>
              <w:rPr>
                <w:rFonts w:hint="eastAsia"/>
                <w:bCs/>
                <w:sz w:val="24"/>
              </w:rPr>
            </w:pPr>
            <w:r>
              <w:rPr>
                <w:rFonts w:hint="eastAsia"/>
                <w:bCs/>
                <w:sz w:val="24"/>
              </w:rPr>
              <w:t>根据上表监测结果表明：</w:t>
            </w:r>
            <w:r>
              <w:rPr>
                <w:rFonts w:hint="eastAsia"/>
                <w:bCs/>
                <w:sz w:val="24"/>
                <w:lang w:val="en-US" w:eastAsia="zh-CN"/>
              </w:rPr>
              <w:t>厂区</w:t>
            </w:r>
            <w:r>
              <w:rPr>
                <w:rFonts w:hint="eastAsia"/>
                <w:bCs/>
                <w:sz w:val="24"/>
              </w:rPr>
              <w:t>厂界</w:t>
            </w:r>
            <w:r>
              <w:rPr>
                <w:rFonts w:hint="eastAsia"/>
                <w:bCs/>
                <w:sz w:val="24"/>
                <w:lang w:val="en-US" w:eastAsia="zh-CN"/>
              </w:rPr>
              <w:t>颗粒物、非甲烷总烃</w:t>
            </w:r>
            <w:r>
              <w:rPr>
                <w:rFonts w:hint="eastAsia"/>
                <w:bCs/>
                <w:sz w:val="24"/>
              </w:rPr>
              <w:t>浓度均满足《石油化学工业污染物排放标准》（GB31571-2015）限值</w:t>
            </w:r>
            <w:r>
              <w:rPr>
                <w:rFonts w:hint="eastAsia"/>
                <w:bCs/>
                <w:sz w:val="24"/>
                <w:lang w:val="en-US" w:eastAsia="zh-CN"/>
              </w:rPr>
              <w:t>要求；甲醇满足《大气污染物综合排放标准》（GB16297-1996）限值要求；硫化氢、臭气浓度和氨满足《恶臭污染物排放标准》（GB14554-93）限值要求</w:t>
            </w:r>
            <w:r>
              <w:rPr>
                <w:rFonts w:hint="eastAsia"/>
                <w:bCs/>
                <w:sz w:val="24"/>
              </w:rPr>
              <w:t>。</w:t>
            </w:r>
          </w:p>
          <w:p w14:paraId="7E18D223">
            <w:pPr>
              <w:spacing w:line="500" w:lineRule="atLeast"/>
              <w:ind w:firstLine="482" w:firstLineChars="200"/>
              <w:jc w:val="left"/>
              <w:rPr>
                <w:b/>
                <w:bCs/>
                <w:sz w:val="24"/>
              </w:rPr>
            </w:pPr>
            <w:r>
              <w:rPr>
                <w:rFonts w:hint="eastAsia"/>
                <w:b/>
                <w:bCs/>
                <w:sz w:val="24"/>
              </w:rPr>
              <w:t>（2）废水</w:t>
            </w:r>
          </w:p>
          <w:p w14:paraId="5D4BEF96">
            <w:pPr>
              <w:spacing w:line="500" w:lineRule="atLeast"/>
              <w:ind w:firstLine="480" w:firstLineChars="200"/>
              <w:jc w:val="left"/>
              <w:rPr>
                <w:bCs/>
                <w:sz w:val="24"/>
              </w:rPr>
            </w:pPr>
            <w:r>
              <w:rPr>
                <w:rFonts w:hint="eastAsia"/>
                <w:bCs/>
                <w:sz w:val="24"/>
              </w:rPr>
              <w:t>项目运营期无</w:t>
            </w:r>
            <w:r>
              <w:rPr>
                <w:rFonts w:hint="eastAsia"/>
                <w:bCs/>
                <w:sz w:val="24"/>
                <w:lang w:val="en-US" w:eastAsia="zh-CN"/>
              </w:rPr>
              <w:t>新增</w:t>
            </w:r>
            <w:r>
              <w:rPr>
                <w:rFonts w:hint="eastAsia"/>
                <w:bCs/>
                <w:sz w:val="24"/>
              </w:rPr>
              <w:t>生活污水</w:t>
            </w:r>
            <w:r>
              <w:rPr>
                <w:rFonts w:hint="eastAsia"/>
                <w:bCs/>
                <w:sz w:val="24"/>
                <w:lang w:eastAsia="zh-CN"/>
              </w:rPr>
              <w:t>、</w:t>
            </w:r>
            <w:r>
              <w:rPr>
                <w:rFonts w:hint="eastAsia"/>
                <w:bCs/>
                <w:sz w:val="24"/>
                <w:lang w:val="en-US" w:eastAsia="zh-CN"/>
              </w:rPr>
              <w:t>生产废水</w:t>
            </w:r>
            <w:r>
              <w:rPr>
                <w:rFonts w:hint="eastAsia"/>
                <w:bCs/>
                <w:sz w:val="24"/>
              </w:rPr>
              <w:t>，</w:t>
            </w:r>
            <w:r>
              <w:rPr>
                <w:rFonts w:hint="eastAsia"/>
                <w:bCs/>
                <w:sz w:val="24"/>
                <w:lang w:val="en-US" w:eastAsia="zh-CN"/>
              </w:rPr>
              <w:t>现有工程</w:t>
            </w:r>
            <w:r>
              <w:rPr>
                <w:rFonts w:hint="eastAsia"/>
                <w:bCs/>
                <w:sz w:val="24"/>
              </w:rPr>
              <w:t>生产废水一同排入天宜污水处理厂（一期）进行处理，广西华谊能源化工有限公司与广西天宜环境科技有限公司签订的纳管协议详见附件</w:t>
            </w:r>
            <w:r>
              <w:rPr>
                <w:rFonts w:hint="eastAsia"/>
                <w:bCs/>
                <w:sz w:val="24"/>
                <w:lang w:val="en-US" w:eastAsia="zh-CN"/>
              </w:rPr>
              <w:t>13</w:t>
            </w:r>
            <w:r>
              <w:rPr>
                <w:rFonts w:hint="eastAsia"/>
                <w:bCs/>
                <w:sz w:val="24"/>
              </w:rPr>
              <w:t>。经处理后总排口满足《石油化学工业污染物排放标准》（GB31571-2015）排放标准和《污水综合排放标准》（GB 8978-1996）一级标准中较严标准值要求后排放。根据《广西天宜环境科技有限公司（一期）2024年9月自行监测》监测数据，现有工程生产期间废水监测结果详见下表。</w:t>
            </w:r>
          </w:p>
          <w:p w14:paraId="641F7745">
            <w:pPr>
              <w:pStyle w:val="51"/>
              <w:numPr>
                <w:ilvl w:val="2"/>
                <w:numId w:val="3"/>
              </w:numPr>
              <w:spacing w:line="500" w:lineRule="atLeast"/>
              <w:ind w:firstLineChars="0"/>
              <w:jc w:val="center"/>
              <w:rPr>
                <w:b/>
                <w:sz w:val="24"/>
              </w:rPr>
            </w:pPr>
            <w:r>
              <w:rPr>
                <w:rFonts w:hint="eastAsia"/>
                <w:b/>
                <w:sz w:val="24"/>
              </w:rPr>
              <w:t>废水监测结果一览表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418"/>
              <w:gridCol w:w="992"/>
              <w:gridCol w:w="1134"/>
              <w:gridCol w:w="1134"/>
              <w:gridCol w:w="850"/>
              <w:gridCol w:w="1134"/>
              <w:gridCol w:w="729"/>
            </w:tblGrid>
            <w:tr w14:paraId="3B9C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restart"/>
                  <w:vAlign w:val="center"/>
                </w:tcPr>
                <w:p w14:paraId="770CF23E">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采样日期</w:t>
                  </w:r>
                </w:p>
              </w:tc>
              <w:tc>
                <w:tcPr>
                  <w:tcW w:w="1418" w:type="dxa"/>
                  <w:vMerge w:val="restart"/>
                  <w:vAlign w:val="center"/>
                </w:tcPr>
                <w:p w14:paraId="296AEBD0">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监测项目</w:t>
                  </w:r>
                </w:p>
              </w:tc>
              <w:tc>
                <w:tcPr>
                  <w:tcW w:w="5244" w:type="dxa"/>
                  <w:gridSpan w:val="5"/>
                  <w:vAlign w:val="center"/>
                </w:tcPr>
                <w:p w14:paraId="33F1517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废水总排放口（一期）</w:t>
                  </w:r>
                </w:p>
              </w:tc>
              <w:tc>
                <w:tcPr>
                  <w:tcW w:w="729" w:type="dxa"/>
                  <w:vMerge w:val="restart"/>
                  <w:vAlign w:val="center"/>
                </w:tcPr>
                <w:p w14:paraId="096CF45D">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达标情况</w:t>
                  </w:r>
                </w:p>
              </w:tc>
            </w:tr>
            <w:tr w14:paraId="57FB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6723B55A">
                  <w:pPr>
                    <w:widowControl/>
                    <w:jc w:val="center"/>
                    <w:rPr>
                      <w:rFonts w:cs="宋体"/>
                      <w:color w:val="000000" w:themeColor="text1"/>
                      <w:kern w:val="0"/>
                      <w:szCs w:val="22"/>
                      <w14:textFill>
                        <w14:solidFill>
                          <w14:schemeClr w14:val="tx1"/>
                        </w14:solidFill>
                      </w14:textFill>
                    </w:rPr>
                  </w:pPr>
                </w:p>
              </w:tc>
              <w:tc>
                <w:tcPr>
                  <w:tcW w:w="1418" w:type="dxa"/>
                  <w:vMerge w:val="continue"/>
                  <w:vAlign w:val="center"/>
                </w:tcPr>
                <w:p w14:paraId="48FD482D">
                  <w:pPr>
                    <w:widowControl/>
                    <w:jc w:val="center"/>
                    <w:rPr>
                      <w:rFonts w:cs="宋体"/>
                      <w:color w:val="000000" w:themeColor="text1"/>
                      <w:kern w:val="0"/>
                      <w:szCs w:val="22"/>
                      <w14:textFill>
                        <w14:solidFill>
                          <w14:schemeClr w14:val="tx1"/>
                        </w14:solidFill>
                      </w14:textFill>
                    </w:rPr>
                  </w:pPr>
                </w:p>
              </w:tc>
              <w:tc>
                <w:tcPr>
                  <w:tcW w:w="992" w:type="dxa"/>
                  <w:vAlign w:val="center"/>
                </w:tcPr>
                <w:p w14:paraId="076CE8B0">
                  <w:pPr>
                    <w:widowControl/>
                    <w:jc w:val="center"/>
                    <w:rPr>
                      <w:rFonts w:cs="宋体"/>
                      <w:color w:val="000000" w:themeColor="text1"/>
                      <w:kern w:val="0"/>
                      <w:szCs w:val="22"/>
                      <w14:textFill>
                        <w14:solidFill>
                          <w14:schemeClr w14:val="tx1"/>
                        </w14:solidFill>
                      </w14:textFill>
                    </w:rPr>
                  </w:pPr>
                  <w:r>
                    <w:rPr>
                      <w:rFonts w:cs="宋体"/>
                      <w:color w:val="000000" w:themeColor="text1"/>
                      <w:kern w:val="0"/>
                      <w:szCs w:val="22"/>
                      <w14:textFill>
                        <w14:solidFill>
                          <w14:schemeClr w14:val="tx1"/>
                        </w14:solidFill>
                      </w14:textFill>
                    </w:rPr>
                    <w:t>第</w:t>
                  </w:r>
                  <w:r>
                    <w:rPr>
                      <w:rFonts w:hint="eastAsia" w:cs="宋体"/>
                      <w:color w:val="000000" w:themeColor="text1"/>
                      <w:kern w:val="0"/>
                      <w:szCs w:val="22"/>
                      <w14:textFill>
                        <w14:solidFill>
                          <w14:schemeClr w14:val="tx1"/>
                        </w14:solidFill>
                      </w14:textFill>
                    </w:rPr>
                    <w:t>1</w:t>
                  </w:r>
                  <w:r>
                    <w:rPr>
                      <w:rFonts w:cs="宋体"/>
                      <w:color w:val="000000" w:themeColor="text1"/>
                      <w:kern w:val="0"/>
                      <w:szCs w:val="22"/>
                      <w14:textFill>
                        <w14:solidFill>
                          <w14:schemeClr w14:val="tx1"/>
                        </w14:solidFill>
                      </w14:textFill>
                    </w:rPr>
                    <w:t>次</w:t>
                  </w:r>
                </w:p>
              </w:tc>
              <w:tc>
                <w:tcPr>
                  <w:tcW w:w="1134" w:type="dxa"/>
                  <w:vAlign w:val="center"/>
                </w:tcPr>
                <w:p w14:paraId="6989154E">
                  <w:pPr>
                    <w:widowControl/>
                    <w:jc w:val="center"/>
                    <w:rPr>
                      <w:rFonts w:cs="宋体"/>
                      <w:color w:val="000000" w:themeColor="text1"/>
                      <w:kern w:val="0"/>
                      <w:szCs w:val="22"/>
                      <w14:textFill>
                        <w14:solidFill>
                          <w14:schemeClr w14:val="tx1"/>
                        </w14:solidFill>
                      </w14:textFill>
                    </w:rPr>
                  </w:pPr>
                  <w:r>
                    <w:rPr>
                      <w:rFonts w:cs="宋体"/>
                      <w:color w:val="000000" w:themeColor="text1"/>
                      <w:kern w:val="0"/>
                      <w:szCs w:val="22"/>
                      <w14:textFill>
                        <w14:solidFill>
                          <w14:schemeClr w14:val="tx1"/>
                        </w14:solidFill>
                      </w14:textFill>
                    </w:rPr>
                    <w:t>第</w:t>
                  </w:r>
                  <w:r>
                    <w:rPr>
                      <w:rFonts w:hint="eastAsia" w:cs="宋体"/>
                      <w:color w:val="000000" w:themeColor="text1"/>
                      <w:kern w:val="0"/>
                      <w:szCs w:val="22"/>
                      <w14:textFill>
                        <w14:solidFill>
                          <w14:schemeClr w14:val="tx1"/>
                        </w14:solidFill>
                      </w14:textFill>
                    </w:rPr>
                    <w:t>2</w:t>
                  </w:r>
                  <w:r>
                    <w:rPr>
                      <w:rFonts w:cs="宋体"/>
                      <w:color w:val="000000" w:themeColor="text1"/>
                      <w:kern w:val="0"/>
                      <w:szCs w:val="22"/>
                      <w14:textFill>
                        <w14:solidFill>
                          <w14:schemeClr w14:val="tx1"/>
                        </w14:solidFill>
                      </w14:textFill>
                    </w:rPr>
                    <w:t>次</w:t>
                  </w:r>
                </w:p>
              </w:tc>
              <w:tc>
                <w:tcPr>
                  <w:tcW w:w="1134" w:type="dxa"/>
                  <w:vAlign w:val="center"/>
                </w:tcPr>
                <w:p w14:paraId="1A8A3191">
                  <w:pPr>
                    <w:widowControl/>
                    <w:jc w:val="center"/>
                    <w:rPr>
                      <w:rFonts w:cs="宋体"/>
                      <w:color w:val="000000" w:themeColor="text1"/>
                      <w:kern w:val="0"/>
                      <w:szCs w:val="22"/>
                      <w14:textFill>
                        <w14:solidFill>
                          <w14:schemeClr w14:val="tx1"/>
                        </w14:solidFill>
                      </w14:textFill>
                    </w:rPr>
                  </w:pPr>
                  <w:r>
                    <w:rPr>
                      <w:rFonts w:cs="宋体"/>
                      <w:color w:val="000000" w:themeColor="text1"/>
                      <w:kern w:val="0"/>
                      <w:szCs w:val="22"/>
                      <w14:textFill>
                        <w14:solidFill>
                          <w14:schemeClr w14:val="tx1"/>
                        </w14:solidFill>
                      </w14:textFill>
                    </w:rPr>
                    <w:t>第</w:t>
                  </w:r>
                  <w:r>
                    <w:rPr>
                      <w:rFonts w:hint="eastAsia" w:cs="宋体"/>
                      <w:color w:val="000000" w:themeColor="text1"/>
                      <w:kern w:val="0"/>
                      <w:szCs w:val="22"/>
                      <w14:textFill>
                        <w14:solidFill>
                          <w14:schemeClr w14:val="tx1"/>
                        </w14:solidFill>
                      </w14:textFill>
                    </w:rPr>
                    <w:t>3</w:t>
                  </w:r>
                  <w:r>
                    <w:rPr>
                      <w:rFonts w:cs="宋体"/>
                      <w:color w:val="000000" w:themeColor="text1"/>
                      <w:kern w:val="0"/>
                      <w:szCs w:val="22"/>
                      <w14:textFill>
                        <w14:solidFill>
                          <w14:schemeClr w14:val="tx1"/>
                        </w14:solidFill>
                      </w14:textFill>
                    </w:rPr>
                    <w:t>次</w:t>
                  </w:r>
                </w:p>
              </w:tc>
              <w:tc>
                <w:tcPr>
                  <w:tcW w:w="850" w:type="dxa"/>
                  <w:vAlign w:val="center"/>
                </w:tcPr>
                <w:p w14:paraId="790726F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平均值</w:t>
                  </w:r>
                </w:p>
              </w:tc>
              <w:tc>
                <w:tcPr>
                  <w:tcW w:w="1134" w:type="dxa"/>
                  <w:vAlign w:val="center"/>
                </w:tcPr>
                <w:p w14:paraId="7C8D7E56">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标准限值</w:t>
                  </w:r>
                </w:p>
              </w:tc>
              <w:tc>
                <w:tcPr>
                  <w:tcW w:w="729" w:type="dxa"/>
                  <w:vMerge w:val="continue"/>
                  <w:vAlign w:val="center"/>
                </w:tcPr>
                <w:p w14:paraId="23220146">
                  <w:pPr>
                    <w:widowControl/>
                    <w:jc w:val="center"/>
                    <w:rPr>
                      <w:rFonts w:cs="宋体"/>
                      <w:color w:val="000000" w:themeColor="text1"/>
                      <w:kern w:val="0"/>
                      <w:szCs w:val="22"/>
                      <w14:textFill>
                        <w14:solidFill>
                          <w14:schemeClr w14:val="tx1"/>
                        </w14:solidFill>
                      </w14:textFill>
                    </w:rPr>
                  </w:pPr>
                </w:p>
              </w:tc>
            </w:tr>
            <w:tr w14:paraId="0E12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restart"/>
                  <w:vAlign w:val="center"/>
                </w:tcPr>
                <w:p w14:paraId="3A9E5831">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2024.9.5</w:t>
                  </w:r>
                </w:p>
              </w:tc>
              <w:tc>
                <w:tcPr>
                  <w:tcW w:w="1418" w:type="dxa"/>
                  <w:vAlign w:val="center"/>
                </w:tcPr>
                <w:p w14:paraId="12675947">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色度（倍）</w:t>
                  </w:r>
                </w:p>
              </w:tc>
              <w:tc>
                <w:tcPr>
                  <w:tcW w:w="992" w:type="dxa"/>
                  <w:vAlign w:val="center"/>
                </w:tcPr>
                <w:p w14:paraId="41353B60">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20</w:t>
                  </w:r>
                </w:p>
              </w:tc>
              <w:tc>
                <w:tcPr>
                  <w:tcW w:w="1134" w:type="dxa"/>
                  <w:vAlign w:val="center"/>
                </w:tcPr>
                <w:p w14:paraId="09EC86A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20</w:t>
                  </w:r>
                </w:p>
              </w:tc>
              <w:tc>
                <w:tcPr>
                  <w:tcW w:w="1134" w:type="dxa"/>
                  <w:vAlign w:val="center"/>
                </w:tcPr>
                <w:p w14:paraId="2F7757AD">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50</w:t>
                  </w:r>
                </w:p>
              </w:tc>
              <w:tc>
                <w:tcPr>
                  <w:tcW w:w="850" w:type="dxa"/>
                  <w:vAlign w:val="center"/>
                </w:tcPr>
                <w:p w14:paraId="0B161F00">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50</w:t>
                  </w:r>
                </w:p>
              </w:tc>
              <w:tc>
                <w:tcPr>
                  <w:tcW w:w="1134" w:type="dxa"/>
                  <w:vAlign w:val="center"/>
                </w:tcPr>
                <w:p w14:paraId="3437D8AD">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1</w:t>
                  </w:r>
                </w:p>
              </w:tc>
              <w:tc>
                <w:tcPr>
                  <w:tcW w:w="729" w:type="dxa"/>
                  <w:vAlign w:val="center"/>
                </w:tcPr>
                <w:p w14:paraId="694017A2">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15C0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10B472B1">
                  <w:pPr>
                    <w:widowControl/>
                    <w:jc w:val="center"/>
                    <w:rPr>
                      <w:rFonts w:cs="宋体"/>
                      <w:color w:val="000000" w:themeColor="text1"/>
                      <w:kern w:val="0"/>
                      <w:szCs w:val="22"/>
                      <w14:textFill>
                        <w14:solidFill>
                          <w14:schemeClr w14:val="tx1"/>
                        </w14:solidFill>
                      </w14:textFill>
                    </w:rPr>
                  </w:pPr>
                </w:p>
              </w:tc>
              <w:tc>
                <w:tcPr>
                  <w:tcW w:w="1418" w:type="dxa"/>
                  <w:vAlign w:val="center"/>
                </w:tcPr>
                <w:p w14:paraId="20FD5CF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五日生化需氧量（mg/L）</w:t>
                  </w:r>
                </w:p>
              </w:tc>
              <w:tc>
                <w:tcPr>
                  <w:tcW w:w="992" w:type="dxa"/>
                  <w:vAlign w:val="center"/>
                </w:tcPr>
                <w:p w14:paraId="3FCE1F4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5.2</w:t>
                  </w:r>
                </w:p>
              </w:tc>
              <w:tc>
                <w:tcPr>
                  <w:tcW w:w="1134" w:type="dxa"/>
                  <w:vAlign w:val="center"/>
                </w:tcPr>
                <w:p w14:paraId="0C69E0A5">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5.4</w:t>
                  </w:r>
                </w:p>
              </w:tc>
              <w:tc>
                <w:tcPr>
                  <w:tcW w:w="1134" w:type="dxa"/>
                  <w:vAlign w:val="center"/>
                </w:tcPr>
                <w:p w14:paraId="2978540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w:t>
                  </w:r>
                </w:p>
              </w:tc>
              <w:tc>
                <w:tcPr>
                  <w:tcW w:w="850" w:type="dxa"/>
                  <w:vAlign w:val="center"/>
                </w:tcPr>
                <w:p w14:paraId="0AA3CF69">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5.2</w:t>
                  </w:r>
                </w:p>
              </w:tc>
              <w:tc>
                <w:tcPr>
                  <w:tcW w:w="1134" w:type="dxa"/>
                  <w:vAlign w:val="center"/>
                </w:tcPr>
                <w:p w14:paraId="7B9F7107">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≤20</w:t>
                  </w:r>
                </w:p>
              </w:tc>
              <w:tc>
                <w:tcPr>
                  <w:tcW w:w="729" w:type="dxa"/>
                  <w:vAlign w:val="center"/>
                </w:tcPr>
                <w:p w14:paraId="69979E3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786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22B52F0D">
                  <w:pPr>
                    <w:widowControl/>
                    <w:jc w:val="center"/>
                    <w:rPr>
                      <w:rFonts w:cs="宋体"/>
                      <w:color w:val="000000" w:themeColor="text1"/>
                      <w:kern w:val="0"/>
                      <w:szCs w:val="22"/>
                      <w14:textFill>
                        <w14:solidFill>
                          <w14:schemeClr w14:val="tx1"/>
                        </w14:solidFill>
                      </w14:textFill>
                    </w:rPr>
                  </w:pPr>
                </w:p>
              </w:tc>
              <w:tc>
                <w:tcPr>
                  <w:tcW w:w="1418" w:type="dxa"/>
                  <w:vAlign w:val="center"/>
                </w:tcPr>
                <w:p w14:paraId="626EA97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石油类（mg/L）</w:t>
                  </w:r>
                </w:p>
              </w:tc>
              <w:tc>
                <w:tcPr>
                  <w:tcW w:w="992" w:type="dxa"/>
                  <w:vAlign w:val="center"/>
                </w:tcPr>
                <w:p w14:paraId="7D90257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E9771A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8B5123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439F6D6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4F89655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≤5.0</w:t>
                  </w:r>
                </w:p>
              </w:tc>
              <w:tc>
                <w:tcPr>
                  <w:tcW w:w="729" w:type="dxa"/>
                  <w:vAlign w:val="center"/>
                </w:tcPr>
                <w:p w14:paraId="16E3D8E9">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2456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5C782CAD">
                  <w:pPr>
                    <w:widowControl/>
                    <w:jc w:val="center"/>
                    <w:rPr>
                      <w:rFonts w:cs="宋体"/>
                      <w:color w:val="000000" w:themeColor="text1"/>
                      <w:kern w:val="0"/>
                      <w:szCs w:val="22"/>
                      <w14:textFill>
                        <w14:solidFill>
                          <w14:schemeClr w14:val="tx1"/>
                        </w14:solidFill>
                      </w14:textFill>
                    </w:rPr>
                  </w:pPr>
                </w:p>
              </w:tc>
              <w:tc>
                <w:tcPr>
                  <w:tcW w:w="1418" w:type="dxa"/>
                  <w:vAlign w:val="center"/>
                </w:tcPr>
                <w:p w14:paraId="65D2C56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六价铬（mg/L）</w:t>
                  </w:r>
                </w:p>
              </w:tc>
              <w:tc>
                <w:tcPr>
                  <w:tcW w:w="992" w:type="dxa"/>
                  <w:vAlign w:val="center"/>
                </w:tcPr>
                <w:p w14:paraId="5328C86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E66D55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BB717F9">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344E29C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214623B1">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≤0.5</w:t>
                  </w:r>
                </w:p>
              </w:tc>
              <w:tc>
                <w:tcPr>
                  <w:tcW w:w="729" w:type="dxa"/>
                  <w:vAlign w:val="center"/>
                </w:tcPr>
                <w:p w14:paraId="0BB7A30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2814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270819E8">
                  <w:pPr>
                    <w:widowControl/>
                    <w:jc w:val="center"/>
                    <w:rPr>
                      <w:rFonts w:cs="宋体"/>
                      <w:color w:val="000000" w:themeColor="text1"/>
                      <w:kern w:val="0"/>
                      <w:szCs w:val="22"/>
                      <w14:textFill>
                        <w14:solidFill>
                          <w14:schemeClr w14:val="tx1"/>
                        </w14:solidFill>
                      </w14:textFill>
                    </w:rPr>
                  </w:pPr>
                </w:p>
              </w:tc>
              <w:tc>
                <w:tcPr>
                  <w:tcW w:w="1418" w:type="dxa"/>
                  <w:vAlign w:val="center"/>
                </w:tcPr>
                <w:p w14:paraId="58DFCD55">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铅（mg/L）</w:t>
                  </w:r>
                </w:p>
              </w:tc>
              <w:tc>
                <w:tcPr>
                  <w:tcW w:w="992" w:type="dxa"/>
                  <w:vAlign w:val="center"/>
                </w:tcPr>
                <w:p w14:paraId="4FB10FCB">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1F222DC9">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0658816">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3B890E24">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665644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≤1.0</w:t>
                  </w:r>
                </w:p>
              </w:tc>
              <w:tc>
                <w:tcPr>
                  <w:tcW w:w="729" w:type="dxa"/>
                  <w:vAlign w:val="center"/>
                </w:tcPr>
                <w:p w14:paraId="3501544E">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0F22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5E3A4EF3">
                  <w:pPr>
                    <w:widowControl/>
                    <w:jc w:val="center"/>
                    <w:rPr>
                      <w:rFonts w:cs="宋体"/>
                      <w:color w:val="000000" w:themeColor="text1"/>
                      <w:kern w:val="0"/>
                      <w:szCs w:val="22"/>
                      <w14:textFill>
                        <w14:solidFill>
                          <w14:schemeClr w14:val="tx1"/>
                        </w14:solidFill>
                      </w14:textFill>
                    </w:rPr>
                  </w:pPr>
                </w:p>
              </w:tc>
              <w:tc>
                <w:tcPr>
                  <w:tcW w:w="1418" w:type="dxa"/>
                  <w:vAlign w:val="center"/>
                </w:tcPr>
                <w:p w14:paraId="72571DD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镉（mg/L）</w:t>
                  </w:r>
                </w:p>
              </w:tc>
              <w:tc>
                <w:tcPr>
                  <w:tcW w:w="992" w:type="dxa"/>
                  <w:vAlign w:val="center"/>
                </w:tcPr>
                <w:p w14:paraId="187EC29C">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62CB7B42">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7EFD9F7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293A26D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0FC134F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≤0.1</w:t>
                  </w:r>
                </w:p>
              </w:tc>
              <w:tc>
                <w:tcPr>
                  <w:tcW w:w="729" w:type="dxa"/>
                  <w:vAlign w:val="center"/>
                </w:tcPr>
                <w:p w14:paraId="326FBDF5">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2854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22B37B7C">
                  <w:pPr>
                    <w:widowControl/>
                    <w:jc w:val="center"/>
                    <w:rPr>
                      <w:rFonts w:cs="宋体"/>
                      <w:color w:val="000000" w:themeColor="text1"/>
                      <w:kern w:val="0"/>
                      <w:szCs w:val="22"/>
                      <w14:textFill>
                        <w14:solidFill>
                          <w14:schemeClr w14:val="tx1"/>
                        </w14:solidFill>
                      </w14:textFill>
                    </w:rPr>
                  </w:pPr>
                </w:p>
              </w:tc>
              <w:tc>
                <w:tcPr>
                  <w:tcW w:w="1418" w:type="dxa"/>
                  <w:vAlign w:val="center"/>
                </w:tcPr>
                <w:p w14:paraId="0DCE3741">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总铬（mg/L）</w:t>
                  </w:r>
                </w:p>
              </w:tc>
              <w:tc>
                <w:tcPr>
                  <w:tcW w:w="992" w:type="dxa"/>
                  <w:vAlign w:val="center"/>
                </w:tcPr>
                <w:p w14:paraId="3037355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15DFF140">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671DBB12">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0AD564BD">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6E19AB9C">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≤1.5</w:t>
                  </w:r>
                </w:p>
              </w:tc>
              <w:tc>
                <w:tcPr>
                  <w:tcW w:w="729" w:type="dxa"/>
                  <w:vAlign w:val="center"/>
                </w:tcPr>
                <w:p w14:paraId="766FA7C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615B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170494D7">
                  <w:pPr>
                    <w:widowControl/>
                    <w:jc w:val="center"/>
                    <w:rPr>
                      <w:rFonts w:cs="宋体"/>
                      <w:color w:val="000000" w:themeColor="text1"/>
                      <w:kern w:val="0"/>
                      <w:szCs w:val="22"/>
                      <w14:textFill>
                        <w14:solidFill>
                          <w14:schemeClr w14:val="tx1"/>
                        </w14:solidFill>
                      </w14:textFill>
                    </w:rPr>
                  </w:pPr>
                </w:p>
              </w:tc>
              <w:tc>
                <w:tcPr>
                  <w:tcW w:w="1418" w:type="dxa"/>
                  <w:vAlign w:val="center"/>
                </w:tcPr>
                <w:p w14:paraId="6B9A46D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汞（mg/L）</w:t>
                  </w:r>
                </w:p>
              </w:tc>
              <w:tc>
                <w:tcPr>
                  <w:tcW w:w="992" w:type="dxa"/>
                  <w:vAlign w:val="center"/>
                </w:tcPr>
                <w:p w14:paraId="50BD4A57">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3B5F195D">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43E5F0AB">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850" w:type="dxa"/>
                  <w:vAlign w:val="center"/>
                </w:tcPr>
                <w:p w14:paraId="75ED4E5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ND</w:t>
                  </w:r>
                </w:p>
              </w:tc>
              <w:tc>
                <w:tcPr>
                  <w:tcW w:w="1134" w:type="dxa"/>
                  <w:vAlign w:val="center"/>
                </w:tcPr>
                <w:p w14:paraId="65253DF5">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≤0.05</w:t>
                  </w:r>
                </w:p>
              </w:tc>
              <w:tc>
                <w:tcPr>
                  <w:tcW w:w="729" w:type="dxa"/>
                  <w:vAlign w:val="center"/>
                </w:tcPr>
                <w:p w14:paraId="5075FC3F">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r w14:paraId="614B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dxa"/>
                  <w:vMerge w:val="continue"/>
                  <w:vAlign w:val="center"/>
                </w:tcPr>
                <w:p w14:paraId="50E55DE2">
                  <w:pPr>
                    <w:widowControl/>
                    <w:jc w:val="center"/>
                    <w:rPr>
                      <w:rFonts w:cs="宋体"/>
                      <w:color w:val="000000" w:themeColor="text1"/>
                      <w:kern w:val="0"/>
                      <w:szCs w:val="22"/>
                      <w14:textFill>
                        <w14:solidFill>
                          <w14:schemeClr w14:val="tx1"/>
                        </w14:solidFill>
                      </w14:textFill>
                    </w:rPr>
                  </w:pPr>
                </w:p>
              </w:tc>
              <w:tc>
                <w:tcPr>
                  <w:tcW w:w="1418" w:type="dxa"/>
                  <w:vAlign w:val="center"/>
                </w:tcPr>
                <w:p w14:paraId="4A2F1DE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砷（mg/L）</w:t>
                  </w:r>
                </w:p>
              </w:tc>
              <w:tc>
                <w:tcPr>
                  <w:tcW w:w="992" w:type="dxa"/>
                  <w:vAlign w:val="center"/>
                </w:tcPr>
                <w:p w14:paraId="19CAEAD3">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0.0046</w:t>
                  </w:r>
                </w:p>
              </w:tc>
              <w:tc>
                <w:tcPr>
                  <w:tcW w:w="1134" w:type="dxa"/>
                  <w:vAlign w:val="center"/>
                </w:tcPr>
                <w:p w14:paraId="05BAB396">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0.0049</w:t>
                  </w:r>
                </w:p>
              </w:tc>
              <w:tc>
                <w:tcPr>
                  <w:tcW w:w="1134" w:type="dxa"/>
                  <w:vAlign w:val="center"/>
                </w:tcPr>
                <w:p w14:paraId="71D0E13C">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0.0045</w:t>
                  </w:r>
                </w:p>
              </w:tc>
              <w:tc>
                <w:tcPr>
                  <w:tcW w:w="850" w:type="dxa"/>
                  <w:vAlign w:val="center"/>
                </w:tcPr>
                <w:p w14:paraId="040C415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0.0047</w:t>
                  </w:r>
                </w:p>
              </w:tc>
              <w:tc>
                <w:tcPr>
                  <w:tcW w:w="1134" w:type="dxa"/>
                  <w:vAlign w:val="center"/>
                </w:tcPr>
                <w:p w14:paraId="30C07BCA">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≤0.5</w:t>
                  </w:r>
                </w:p>
              </w:tc>
              <w:tc>
                <w:tcPr>
                  <w:tcW w:w="729" w:type="dxa"/>
                  <w:vAlign w:val="center"/>
                </w:tcPr>
                <w:p w14:paraId="57B68F18">
                  <w:pPr>
                    <w:widowControl/>
                    <w:jc w:val="center"/>
                    <w:rPr>
                      <w:rFonts w:cs="宋体"/>
                      <w:color w:val="000000" w:themeColor="text1"/>
                      <w:kern w:val="0"/>
                      <w:szCs w:val="22"/>
                      <w14:textFill>
                        <w14:solidFill>
                          <w14:schemeClr w14:val="tx1"/>
                        </w14:solidFill>
                      </w14:textFill>
                    </w:rPr>
                  </w:pPr>
                  <w:r>
                    <w:rPr>
                      <w:rFonts w:hint="eastAsia" w:cs="宋体"/>
                      <w:color w:val="000000" w:themeColor="text1"/>
                      <w:kern w:val="0"/>
                      <w:szCs w:val="22"/>
                      <w14:textFill>
                        <w14:solidFill>
                          <w14:schemeClr w14:val="tx1"/>
                        </w14:solidFill>
                      </w14:textFill>
                    </w:rPr>
                    <w:t>达标</w:t>
                  </w:r>
                </w:p>
              </w:tc>
            </w:tr>
          </w:tbl>
          <w:p w14:paraId="7E689181">
            <w:pPr>
              <w:spacing w:line="500" w:lineRule="atLeast"/>
              <w:ind w:firstLine="480" w:firstLineChars="200"/>
              <w:jc w:val="left"/>
              <w:rPr>
                <w:bCs/>
                <w:sz w:val="24"/>
              </w:rPr>
            </w:pPr>
            <w:r>
              <w:rPr>
                <w:rFonts w:hint="eastAsia"/>
                <w:bCs/>
                <w:sz w:val="24"/>
              </w:rPr>
              <w:t>根据上表监测结果表明：</w:t>
            </w:r>
            <w:r>
              <w:rPr>
                <w:rFonts w:hint="eastAsia"/>
                <w:bCs/>
                <w:sz w:val="24"/>
                <w:lang w:val="en-US" w:eastAsia="zh-CN"/>
              </w:rPr>
              <w:t>现有工程</w:t>
            </w:r>
            <w:r>
              <w:rPr>
                <w:rFonts w:hint="eastAsia"/>
                <w:bCs/>
                <w:sz w:val="24"/>
              </w:rPr>
              <w:t>生产废水经天宜污水处理厂（一期）处理后，水质能满足《石油化学工业污染物排放标准》（GB31571-2015）排放标准和《污水综合排放标准》（GB 8978-1996）一级标准中较严标准值要求，达标排放。</w:t>
            </w:r>
          </w:p>
          <w:p w14:paraId="19DB4FB6">
            <w:pPr>
              <w:spacing w:line="500" w:lineRule="atLeast"/>
              <w:ind w:firstLine="482" w:firstLineChars="200"/>
              <w:jc w:val="left"/>
              <w:rPr>
                <w:b/>
                <w:bCs/>
                <w:sz w:val="24"/>
              </w:rPr>
            </w:pPr>
            <w:r>
              <w:rPr>
                <w:rFonts w:hint="eastAsia"/>
                <w:b/>
                <w:bCs/>
                <w:sz w:val="24"/>
              </w:rPr>
              <w:t>（3）噪声</w:t>
            </w:r>
          </w:p>
          <w:p w14:paraId="1075B97E">
            <w:pPr>
              <w:spacing w:line="500" w:lineRule="atLeast"/>
              <w:ind w:firstLine="480" w:firstLineChars="200"/>
              <w:jc w:val="left"/>
              <w:rPr>
                <w:sz w:val="24"/>
              </w:rPr>
            </w:pPr>
            <w:r>
              <w:rPr>
                <w:rFonts w:hint="eastAsia"/>
                <w:bCs/>
                <w:sz w:val="24"/>
              </w:rPr>
              <w:t>根据《广西华谊能源化工有限公司DMC回收项目竣工环境保护验收监测报告表》，</w:t>
            </w:r>
            <w:r>
              <w:rPr>
                <w:sz w:val="24"/>
              </w:rPr>
              <w:t>项目</w:t>
            </w:r>
            <w:r>
              <w:rPr>
                <w:rFonts w:hint="eastAsia"/>
                <w:sz w:val="24"/>
              </w:rPr>
              <w:t>厂界</w:t>
            </w:r>
            <w:r>
              <w:rPr>
                <w:sz w:val="24"/>
              </w:rPr>
              <w:t>噪声监测点的昼、夜间监测值均符合《工业企业厂界环境噪声排放标准》（GB</w:t>
            </w:r>
            <w:r>
              <w:rPr>
                <w:rFonts w:hint="eastAsia"/>
                <w:sz w:val="24"/>
              </w:rPr>
              <w:t xml:space="preserve"> </w:t>
            </w:r>
            <w:r>
              <w:rPr>
                <w:sz w:val="24"/>
              </w:rPr>
              <w:t>12348-2008）表1中3类标准限值要求。</w:t>
            </w:r>
          </w:p>
          <w:p w14:paraId="239971A4">
            <w:pPr>
              <w:pStyle w:val="51"/>
              <w:numPr>
                <w:ilvl w:val="2"/>
                <w:numId w:val="3"/>
              </w:numPr>
              <w:spacing w:line="500" w:lineRule="atLeast"/>
              <w:ind w:firstLineChars="0"/>
              <w:jc w:val="center"/>
              <w:rPr>
                <w:b/>
                <w:sz w:val="24"/>
              </w:rPr>
            </w:pPr>
            <w:r>
              <w:rPr>
                <w:rFonts w:hint="eastAsia"/>
                <w:b/>
                <w:sz w:val="24"/>
              </w:rPr>
              <w:t>现有工程噪声验收结果</w:t>
            </w:r>
          </w:p>
          <w:tbl>
            <w:tblPr>
              <w:tblStyle w:val="26"/>
              <w:tblW w:w="5000" w:type="pct"/>
              <w:tblInd w:w="0" w:type="dxa"/>
              <w:tblLayout w:type="fixed"/>
              <w:tblCellMar>
                <w:top w:w="0" w:type="dxa"/>
                <w:left w:w="108" w:type="dxa"/>
                <w:bottom w:w="0" w:type="dxa"/>
                <w:right w:w="108" w:type="dxa"/>
              </w:tblCellMar>
            </w:tblPr>
            <w:tblGrid>
              <w:gridCol w:w="1379"/>
              <w:gridCol w:w="1509"/>
              <w:gridCol w:w="1377"/>
              <w:gridCol w:w="1404"/>
              <w:gridCol w:w="1377"/>
              <w:gridCol w:w="1377"/>
            </w:tblGrid>
            <w:tr w14:paraId="204457C8">
              <w:tblPrEx>
                <w:tblCellMar>
                  <w:top w:w="0" w:type="dxa"/>
                  <w:left w:w="108" w:type="dxa"/>
                  <w:bottom w:w="0" w:type="dxa"/>
                  <w:right w:w="108" w:type="dxa"/>
                </w:tblCellMar>
              </w:tblPrEx>
              <w:trPr>
                <w:trHeight w:val="340" w:hRule="atLeast"/>
              </w:trPr>
              <w:tc>
                <w:tcPr>
                  <w:tcW w:w="819" w:type="pct"/>
                  <w:tcBorders>
                    <w:top w:val="single" w:color="auto" w:sz="4" w:space="0"/>
                    <w:left w:val="single" w:color="auto" w:sz="4" w:space="0"/>
                    <w:bottom w:val="single" w:color="auto" w:sz="4" w:space="0"/>
                    <w:right w:val="single" w:color="auto" w:sz="4" w:space="0"/>
                  </w:tcBorders>
                  <w:noWrap w:val="0"/>
                  <w:vAlign w:val="center"/>
                </w:tcPr>
                <w:p w14:paraId="1BA95301">
                  <w:pPr>
                    <w:jc w:val="center"/>
                    <w:rPr>
                      <w:rFonts w:eastAsia="宋体"/>
                      <w:sz w:val="21"/>
                      <w:szCs w:val="21"/>
                    </w:rPr>
                  </w:pPr>
                  <w:r>
                    <w:rPr>
                      <w:rFonts w:hint="eastAsia" w:eastAsia="宋体"/>
                      <w:sz w:val="21"/>
                      <w:szCs w:val="21"/>
                    </w:rPr>
                    <w:t>监测点位</w:t>
                  </w:r>
                </w:p>
              </w:tc>
              <w:tc>
                <w:tcPr>
                  <w:tcW w:w="896" w:type="pct"/>
                  <w:tcBorders>
                    <w:top w:val="single" w:color="auto" w:sz="4" w:space="0"/>
                    <w:left w:val="nil"/>
                    <w:bottom w:val="single" w:color="auto" w:sz="4" w:space="0"/>
                    <w:right w:val="single" w:color="auto" w:sz="4" w:space="0"/>
                  </w:tcBorders>
                  <w:noWrap w:val="0"/>
                  <w:vAlign w:val="center"/>
                </w:tcPr>
                <w:p w14:paraId="09B0482B">
                  <w:pPr>
                    <w:jc w:val="center"/>
                    <w:rPr>
                      <w:rFonts w:eastAsia="宋体"/>
                      <w:sz w:val="21"/>
                      <w:szCs w:val="21"/>
                    </w:rPr>
                  </w:pPr>
                  <w:r>
                    <w:rPr>
                      <w:rFonts w:hint="eastAsia" w:eastAsia="宋体"/>
                      <w:sz w:val="21"/>
                      <w:szCs w:val="21"/>
                    </w:rPr>
                    <w:t>监测时间</w:t>
                  </w:r>
                </w:p>
              </w:tc>
              <w:tc>
                <w:tcPr>
                  <w:tcW w:w="817" w:type="pct"/>
                  <w:tcBorders>
                    <w:top w:val="single" w:color="auto" w:sz="4" w:space="0"/>
                    <w:left w:val="nil"/>
                    <w:bottom w:val="single" w:color="auto" w:sz="4" w:space="0"/>
                    <w:right w:val="single" w:color="auto" w:sz="4" w:space="0"/>
                  </w:tcBorders>
                  <w:noWrap w:val="0"/>
                  <w:vAlign w:val="center"/>
                </w:tcPr>
                <w:p w14:paraId="0100740A">
                  <w:pPr>
                    <w:jc w:val="center"/>
                    <w:rPr>
                      <w:rFonts w:eastAsia="宋体"/>
                      <w:sz w:val="21"/>
                      <w:szCs w:val="21"/>
                    </w:rPr>
                  </w:pPr>
                  <w:r>
                    <w:rPr>
                      <w:rFonts w:hint="eastAsia" w:eastAsia="宋体"/>
                      <w:sz w:val="21"/>
                      <w:szCs w:val="21"/>
                    </w:rPr>
                    <w:t>监测时段</w:t>
                  </w:r>
                </w:p>
              </w:tc>
              <w:tc>
                <w:tcPr>
                  <w:tcW w:w="833" w:type="pct"/>
                  <w:tcBorders>
                    <w:top w:val="single" w:color="auto" w:sz="4" w:space="0"/>
                    <w:left w:val="nil"/>
                    <w:bottom w:val="single" w:color="auto" w:sz="4" w:space="0"/>
                    <w:right w:val="single" w:color="auto" w:sz="4" w:space="0"/>
                  </w:tcBorders>
                  <w:noWrap w:val="0"/>
                  <w:vAlign w:val="center"/>
                </w:tcPr>
                <w:p w14:paraId="5399F72F">
                  <w:pPr>
                    <w:jc w:val="center"/>
                    <w:rPr>
                      <w:rFonts w:eastAsia="宋体"/>
                      <w:sz w:val="21"/>
                      <w:szCs w:val="21"/>
                    </w:rPr>
                  </w:pPr>
                  <w:r>
                    <w:rPr>
                      <w:rFonts w:hint="eastAsia" w:eastAsia="宋体"/>
                      <w:sz w:val="21"/>
                      <w:szCs w:val="21"/>
                    </w:rPr>
                    <w:t>监测结果</w:t>
                  </w:r>
                </w:p>
              </w:tc>
              <w:tc>
                <w:tcPr>
                  <w:tcW w:w="817" w:type="pct"/>
                  <w:tcBorders>
                    <w:top w:val="single" w:color="auto" w:sz="4" w:space="0"/>
                    <w:left w:val="nil"/>
                    <w:bottom w:val="single" w:color="auto" w:sz="4" w:space="0"/>
                    <w:right w:val="single" w:color="auto" w:sz="4" w:space="0"/>
                  </w:tcBorders>
                  <w:noWrap w:val="0"/>
                  <w:vAlign w:val="center"/>
                </w:tcPr>
                <w:p w14:paraId="7C9D5294">
                  <w:pPr>
                    <w:jc w:val="center"/>
                    <w:rPr>
                      <w:rFonts w:eastAsia="宋体"/>
                      <w:sz w:val="21"/>
                      <w:szCs w:val="21"/>
                    </w:rPr>
                  </w:pPr>
                  <w:r>
                    <w:rPr>
                      <w:rFonts w:hint="eastAsia" w:eastAsia="宋体"/>
                      <w:sz w:val="21"/>
                      <w:szCs w:val="21"/>
                    </w:rPr>
                    <w:t>标准限值</w:t>
                  </w:r>
                </w:p>
              </w:tc>
              <w:tc>
                <w:tcPr>
                  <w:tcW w:w="817" w:type="pct"/>
                  <w:tcBorders>
                    <w:top w:val="single" w:color="auto" w:sz="4" w:space="0"/>
                    <w:left w:val="nil"/>
                    <w:bottom w:val="single" w:color="auto" w:sz="4" w:space="0"/>
                    <w:right w:val="single" w:color="auto" w:sz="4" w:space="0"/>
                  </w:tcBorders>
                  <w:noWrap w:val="0"/>
                  <w:vAlign w:val="center"/>
                </w:tcPr>
                <w:p w14:paraId="1F07974E">
                  <w:pPr>
                    <w:jc w:val="center"/>
                    <w:rPr>
                      <w:rFonts w:eastAsia="宋体"/>
                      <w:sz w:val="21"/>
                      <w:szCs w:val="21"/>
                    </w:rPr>
                  </w:pPr>
                  <w:r>
                    <w:rPr>
                      <w:rFonts w:hint="eastAsia" w:eastAsia="宋体"/>
                      <w:sz w:val="21"/>
                      <w:szCs w:val="21"/>
                    </w:rPr>
                    <w:t>结果评价</w:t>
                  </w:r>
                </w:p>
              </w:tc>
            </w:tr>
            <w:tr w14:paraId="25C4EC27">
              <w:tblPrEx>
                <w:tblCellMar>
                  <w:top w:w="0" w:type="dxa"/>
                  <w:left w:w="108" w:type="dxa"/>
                  <w:bottom w:w="0" w:type="dxa"/>
                  <w:right w:w="108" w:type="dxa"/>
                </w:tblCellMar>
              </w:tblPrEx>
              <w:trPr>
                <w:trHeight w:val="340" w:hRule="atLeast"/>
              </w:trPr>
              <w:tc>
                <w:tcPr>
                  <w:tcW w:w="819" w:type="pct"/>
                  <w:vMerge w:val="restart"/>
                  <w:tcBorders>
                    <w:top w:val="nil"/>
                    <w:left w:val="single" w:color="auto" w:sz="4" w:space="0"/>
                    <w:bottom w:val="single" w:color="auto" w:sz="4" w:space="0"/>
                    <w:right w:val="single" w:color="auto" w:sz="4" w:space="0"/>
                  </w:tcBorders>
                  <w:noWrap w:val="0"/>
                  <w:vAlign w:val="center"/>
                </w:tcPr>
                <w:p w14:paraId="30EA3C72">
                  <w:pPr>
                    <w:jc w:val="center"/>
                    <w:rPr>
                      <w:rFonts w:eastAsia="宋体"/>
                      <w:sz w:val="21"/>
                      <w:szCs w:val="21"/>
                    </w:rPr>
                  </w:pPr>
                  <w:r>
                    <w:rPr>
                      <w:rFonts w:eastAsia="宋体"/>
                      <w:sz w:val="21"/>
                      <w:szCs w:val="21"/>
                    </w:rPr>
                    <w:t>N1</w:t>
                  </w:r>
                  <w:r>
                    <w:rPr>
                      <w:rFonts w:hint="eastAsia" w:eastAsia="宋体"/>
                      <w:sz w:val="21"/>
                      <w:szCs w:val="21"/>
                    </w:rPr>
                    <w:t>厂界东面外</w:t>
                  </w:r>
                  <w:r>
                    <w:rPr>
                      <w:rFonts w:eastAsia="宋体"/>
                      <w:sz w:val="21"/>
                      <w:szCs w:val="21"/>
                    </w:rPr>
                    <w:t>1m</w:t>
                  </w:r>
                  <w:r>
                    <w:rPr>
                      <w:rFonts w:hint="eastAsia" w:eastAsia="宋体"/>
                      <w:sz w:val="21"/>
                      <w:szCs w:val="21"/>
                    </w:rPr>
                    <w:t>处</w:t>
                  </w:r>
                </w:p>
              </w:tc>
              <w:tc>
                <w:tcPr>
                  <w:tcW w:w="896" w:type="pct"/>
                  <w:vMerge w:val="restart"/>
                  <w:tcBorders>
                    <w:top w:val="nil"/>
                    <w:left w:val="single" w:color="auto" w:sz="4" w:space="0"/>
                    <w:bottom w:val="single" w:color="auto" w:sz="4" w:space="0"/>
                    <w:right w:val="single" w:color="auto" w:sz="4" w:space="0"/>
                  </w:tcBorders>
                  <w:noWrap w:val="0"/>
                  <w:vAlign w:val="center"/>
                </w:tcPr>
                <w:p w14:paraId="68948CEF">
                  <w:pPr>
                    <w:jc w:val="center"/>
                    <w:rPr>
                      <w:rFonts w:eastAsia="宋体"/>
                      <w:sz w:val="21"/>
                      <w:szCs w:val="21"/>
                    </w:rPr>
                  </w:pPr>
                  <w:r>
                    <w:rPr>
                      <w:rFonts w:eastAsia="宋体"/>
                      <w:sz w:val="21"/>
                      <w:szCs w:val="21"/>
                    </w:rPr>
                    <w:t>2024.12.23</w:t>
                  </w:r>
                </w:p>
              </w:tc>
              <w:tc>
                <w:tcPr>
                  <w:tcW w:w="817" w:type="pct"/>
                  <w:tcBorders>
                    <w:top w:val="nil"/>
                    <w:left w:val="nil"/>
                    <w:bottom w:val="single" w:color="auto" w:sz="4" w:space="0"/>
                    <w:right w:val="single" w:color="auto" w:sz="4" w:space="0"/>
                  </w:tcBorders>
                  <w:noWrap w:val="0"/>
                  <w:vAlign w:val="center"/>
                </w:tcPr>
                <w:p w14:paraId="2A72DD1D">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64F85967">
                  <w:pPr>
                    <w:jc w:val="center"/>
                    <w:rPr>
                      <w:rFonts w:eastAsia="宋体"/>
                      <w:sz w:val="21"/>
                      <w:szCs w:val="21"/>
                    </w:rPr>
                  </w:pPr>
                  <w:r>
                    <w:rPr>
                      <w:rFonts w:eastAsia="宋体"/>
                      <w:sz w:val="21"/>
                      <w:szCs w:val="21"/>
                    </w:rPr>
                    <w:t>53.4</w:t>
                  </w:r>
                </w:p>
              </w:tc>
              <w:tc>
                <w:tcPr>
                  <w:tcW w:w="817" w:type="pct"/>
                  <w:tcBorders>
                    <w:top w:val="nil"/>
                    <w:left w:val="nil"/>
                    <w:bottom w:val="single" w:color="auto" w:sz="4" w:space="0"/>
                    <w:right w:val="single" w:color="auto" w:sz="4" w:space="0"/>
                  </w:tcBorders>
                  <w:noWrap w:val="0"/>
                  <w:vAlign w:val="center"/>
                </w:tcPr>
                <w:p w14:paraId="2BA7693F">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68AB5AEE">
                  <w:pPr>
                    <w:jc w:val="center"/>
                    <w:rPr>
                      <w:rFonts w:eastAsia="宋体"/>
                      <w:sz w:val="21"/>
                      <w:szCs w:val="21"/>
                    </w:rPr>
                  </w:pPr>
                  <w:r>
                    <w:rPr>
                      <w:rFonts w:hint="eastAsia" w:eastAsia="宋体"/>
                      <w:sz w:val="21"/>
                      <w:szCs w:val="21"/>
                    </w:rPr>
                    <w:t>达标</w:t>
                  </w:r>
                </w:p>
              </w:tc>
            </w:tr>
            <w:tr w14:paraId="6B938521">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75A907B2">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492D445E">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6BA4BE93">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2E9C1186">
                  <w:pPr>
                    <w:jc w:val="center"/>
                    <w:rPr>
                      <w:rFonts w:eastAsia="宋体"/>
                      <w:sz w:val="21"/>
                      <w:szCs w:val="21"/>
                    </w:rPr>
                  </w:pPr>
                  <w:r>
                    <w:rPr>
                      <w:rFonts w:eastAsia="宋体"/>
                      <w:sz w:val="21"/>
                      <w:szCs w:val="21"/>
                    </w:rPr>
                    <w:t>48.5</w:t>
                  </w:r>
                </w:p>
              </w:tc>
              <w:tc>
                <w:tcPr>
                  <w:tcW w:w="817" w:type="pct"/>
                  <w:tcBorders>
                    <w:top w:val="nil"/>
                    <w:left w:val="nil"/>
                    <w:bottom w:val="single" w:color="auto" w:sz="4" w:space="0"/>
                    <w:right w:val="single" w:color="auto" w:sz="4" w:space="0"/>
                  </w:tcBorders>
                  <w:noWrap w:val="0"/>
                  <w:vAlign w:val="center"/>
                </w:tcPr>
                <w:p w14:paraId="5FE7CCBF">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2E49E8E1">
                  <w:pPr>
                    <w:jc w:val="center"/>
                    <w:rPr>
                      <w:rFonts w:eastAsia="宋体"/>
                      <w:sz w:val="21"/>
                      <w:szCs w:val="21"/>
                    </w:rPr>
                  </w:pPr>
                  <w:r>
                    <w:rPr>
                      <w:rFonts w:hint="eastAsia" w:eastAsia="宋体"/>
                      <w:sz w:val="21"/>
                      <w:szCs w:val="21"/>
                    </w:rPr>
                    <w:t>达标</w:t>
                  </w:r>
                </w:p>
              </w:tc>
            </w:tr>
            <w:tr w14:paraId="228EAD59">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38F42B0E">
                  <w:pPr>
                    <w:jc w:val="center"/>
                    <w:rPr>
                      <w:rFonts w:eastAsia="宋体"/>
                      <w:sz w:val="21"/>
                      <w:szCs w:val="21"/>
                    </w:rPr>
                  </w:pPr>
                </w:p>
              </w:tc>
              <w:tc>
                <w:tcPr>
                  <w:tcW w:w="896" w:type="pct"/>
                  <w:vMerge w:val="restart"/>
                  <w:tcBorders>
                    <w:top w:val="nil"/>
                    <w:left w:val="single" w:color="auto" w:sz="4" w:space="0"/>
                    <w:bottom w:val="single" w:color="auto" w:sz="4" w:space="0"/>
                    <w:right w:val="single" w:color="auto" w:sz="4" w:space="0"/>
                  </w:tcBorders>
                  <w:noWrap w:val="0"/>
                  <w:vAlign w:val="center"/>
                </w:tcPr>
                <w:p w14:paraId="113F6539">
                  <w:pPr>
                    <w:jc w:val="center"/>
                    <w:rPr>
                      <w:rFonts w:eastAsia="宋体"/>
                      <w:sz w:val="21"/>
                      <w:szCs w:val="21"/>
                    </w:rPr>
                  </w:pPr>
                  <w:r>
                    <w:rPr>
                      <w:rFonts w:eastAsia="宋体"/>
                      <w:sz w:val="21"/>
                      <w:szCs w:val="21"/>
                    </w:rPr>
                    <w:t>2024.12.24</w:t>
                  </w:r>
                </w:p>
              </w:tc>
              <w:tc>
                <w:tcPr>
                  <w:tcW w:w="817" w:type="pct"/>
                  <w:tcBorders>
                    <w:top w:val="nil"/>
                    <w:left w:val="nil"/>
                    <w:bottom w:val="single" w:color="auto" w:sz="4" w:space="0"/>
                    <w:right w:val="single" w:color="auto" w:sz="4" w:space="0"/>
                  </w:tcBorders>
                  <w:noWrap w:val="0"/>
                  <w:vAlign w:val="center"/>
                </w:tcPr>
                <w:p w14:paraId="550F5DF7">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09EE5F54">
                  <w:pPr>
                    <w:jc w:val="center"/>
                    <w:rPr>
                      <w:rFonts w:eastAsia="宋体"/>
                      <w:sz w:val="21"/>
                      <w:szCs w:val="21"/>
                    </w:rPr>
                  </w:pPr>
                  <w:r>
                    <w:rPr>
                      <w:rFonts w:eastAsia="宋体"/>
                      <w:sz w:val="21"/>
                      <w:szCs w:val="21"/>
                    </w:rPr>
                    <w:t>52.2</w:t>
                  </w:r>
                </w:p>
              </w:tc>
              <w:tc>
                <w:tcPr>
                  <w:tcW w:w="817" w:type="pct"/>
                  <w:tcBorders>
                    <w:top w:val="nil"/>
                    <w:left w:val="nil"/>
                    <w:bottom w:val="single" w:color="auto" w:sz="4" w:space="0"/>
                    <w:right w:val="single" w:color="auto" w:sz="4" w:space="0"/>
                  </w:tcBorders>
                  <w:noWrap w:val="0"/>
                  <w:vAlign w:val="center"/>
                </w:tcPr>
                <w:p w14:paraId="1745C6E6">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47B1B890">
                  <w:pPr>
                    <w:jc w:val="center"/>
                    <w:rPr>
                      <w:rFonts w:eastAsia="宋体"/>
                      <w:sz w:val="21"/>
                      <w:szCs w:val="21"/>
                    </w:rPr>
                  </w:pPr>
                  <w:r>
                    <w:rPr>
                      <w:rFonts w:hint="eastAsia" w:eastAsia="宋体"/>
                      <w:sz w:val="21"/>
                      <w:szCs w:val="21"/>
                    </w:rPr>
                    <w:t>达标</w:t>
                  </w:r>
                </w:p>
              </w:tc>
            </w:tr>
            <w:tr w14:paraId="26A66843">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64272AD1">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02251CB3">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43C308AE">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1D4C7FD0">
                  <w:pPr>
                    <w:jc w:val="center"/>
                    <w:rPr>
                      <w:rFonts w:eastAsia="宋体"/>
                      <w:sz w:val="21"/>
                      <w:szCs w:val="21"/>
                    </w:rPr>
                  </w:pPr>
                  <w:r>
                    <w:rPr>
                      <w:rFonts w:eastAsia="宋体"/>
                      <w:sz w:val="21"/>
                      <w:szCs w:val="21"/>
                    </w:rPr>
                    <w:t>46.2</w:t>
                  </w:r>
                </w:p>
              </w:tc>
              <w:tc>
                <w:tcPr>
                  <w:tcW w:w="817" w:type="pct"/>
                  <w:tcBorders>
                    <w:top w:val="nil"/>
                    <w:left w:val="nil"/>
                    <w:bottom w:val="single" w:color="auto" w:sz="4" w:space="0"/>
                    <w:right w:val="single" w:color="auto" w:sz="4" w:space="0"/>
                  </w:tcBorders>
                  <w:noWrap w:val="0"/>
                  <w:vAlign w:val="center"/>
                </w:tcPr>
                <w:p w14:paraId="4DC84CE9">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5F69E2B3">
                  <w:pPr>
                    <w:jc w:val="center"/>
                    <w:rPr>
                      <w:rFonts w:eastAsia="宋体"/>
                      <w:sz w:val="21"/>
                      <w:szCs w:val="21"/>
                    </w:rPr>
                  </w:pPr>
                  <w:r>
                    <w:rPr>
                      <w:rFonts w:hint="eastAsia" w:eastAsia="宋体"/>
                      <w:sz w:val="21"/>
                      <w:szCs w:val="21"/>
                    </w:rPr>
                    <w:t>达标</w:t>
                  </w:r>
                </w:p>
              </w:tc>
            </w:tr>
            <w:tr w14:paraId="332528D2">
              <w:tblPrEx>
                <w:tblCellMar>
                  <w:top w:w="0" w:type="dxa"/>
                  <w:left w:w="108" w:type="dxa"/>
                  <w:bottom w:w="0" w:type="dxa"/>
                  <w:right w:w="108" w:type="dxa"/>
                </w:tblCellMar>
              </w:tblPrEx>
              <w:trPr>
                <w:trHeight w:val="340" w:hRule="atLeast"/>
              </w:trPr>
              <w:tc>
                <w:tcPr>
                  <w:tcW w:w="819" w:type="pct"/>
                  <w:vMerge w:val="restart"/>
                  <w:tcBorders>
                    <w:top w:val="nil"/>
                    <w:left w:val="single" w:color="auto" w:sz="4" w:space="0"/>
                    <w:bottom w:val="single" w:color="auto" w:sz="4" w:space="0"/>
                    <w:right w:val="single" w:color="auto" w:sz="4" w:space="0"/>
                  </w:tcBorders>
                  <w:noWrap w:val="0"/>
                  <w:vAlign w:val="center"/>
                </w:tcPr>
                <w:p w14:paraId="068D0C9E">
                  <w:pPr>
                    <w:jc w:val="center"/>
                    <w:rPr>
                      <w:rFonts w:eastAsia="宋体"/>
                      <w:sz w:val="21"/>
                      <w:szCs w:val="21"/>
                    </w:rPr>
                  </w:pPr>
                  <w:r>
                    <w:rPr>
                      <w:rFonts w:eastAsia="宋体"/>
                      <w:sz w:val="21"/>
                      <w:szCs w:val="21"/>
                    </w:rPr>
                    <w:t>N2</w:t>
                  </w:r>
                  <w:r>
                    <w:rPr>
                      <w:rFonts w:hint="eastAsia" w:eastAsia="宋体"/>
                      <w:sz w:val="21"/>
                      <w:szCs w:val="21"/>
                    </w:rPr>
                    <w:t>南面厂界外</w:t>
                  </w:r>
                  <w:r>
                    <w:rPr>
                      <w:rFonts w:eastAsia="宋体"/>
                      <w:sz w:val="21"/>
                      <w:szCs w:val="21"/>
                    </w:rPr>
                    <w:t>1m</w:t>
                  </w:r>
                </w:p>
              </w:tc>
              <w:tc>
                <w:tcPr>
                  <w:tcW w:w="896" w:type="pct"/>
                  <w:vMerge w:val="restart"/>
                  <w:tcBorders>
                    <w:top w:val="nil"/>
                    <w:left w:val="single" w:color="auto" w:sz="4" w:space="0"/>
                    <w:bottom w:val="single" w:color="auto" w:sz="4" w:space="0"/>
                    <w:right w:val="single" w:color="auto" w:sz="4" w:space="0"/>
                  </w:tcBorders>
                  <w:noWrap w:val="0"/>
                  <w:vAlign w:val="center"/>
                </w:tcPr>
                <w:p w14:paraId="48AF3FF4">
                  <w:pPr>
                    <w:jc w:val="center"/>
                    <w:rPr>
                      <w:rFonts w:eastAsia="宋体"/>
                      <w:sz w:val="21"/>
                      <w:szCs w:val="21"/>
                    </w:rPr>
                  </w:pPr>
                  <w:r>
                    <w:rPr>
                      <w:rFonts w:eastAsia="宋体"/>
                      <w:sz w:val="21"/>
                      <w:szCs w:val="21"/>
                    </w:rPr>
                    <w:t>2024.12.23</w:t>
                  </w:r>
                </w:p>
              </w:tc>
              <w:tc>
                <w:tcPr>
                  <w:tcW w:w="817" w:type="pct"/>
                  <w:tcBorders>
                    <w:top w:val="nil"/>
                    <w:left w:val="nil"/>
                    <w:bottom w:val="single" w:color="auto" w:sz="4" w:space="0"/>
                    <w:right w:val="single" w:color="auto" w:sz="4" w:space="0"/>
                  </w:tcBorders>
                  <w:noWrap w:val="0"/>
                  <w:vAlign w:val="center"/>
                </w:tcPr>
                <w:p w14:paraId="310ADB15">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4FF0771E">
                  <w:pPr>
                    <w:jc w:val="center"/>
                    <w:rPr>
                      <w:rFonts w:eastAsia="宋体"/>
                      <w:sz w:val="21"/>
                      <w:szCs w:val="21"/>
                    </w:rPr>
                  </w:pPr>
                  <w:r>
                    <w:rPr>
                      <w:rFonts w:eastAsia="宋体"/>
                      <w:sz w:val="21"/>
                      <w:szCs w:val="21"/>
                    </w:rPr>
                    <w:t>53.7</w:t>
                  </w:r>
                </w:p>
              </w:tc>
              <w:tc>
                <w:tcPr>
                  <w:tcW w:w="817" w:type="pct"/>
                  <w:tcBorders>
                    <w:top w:val="nil"/>
                    <w:left w:val="nil"/>
                    <w:bottom w:val="single" w:color="auto" w:sz="4" w:space="0"/>
                    <w:right w:val="single" w:color="auto" w:sz="4" w:space="0"/>
                  </w:tcBorders>
                  <w:noWrap w:val="0"/>
                  <w:vAlign w:val="center"/>
                </w:tcPr>
                <w:p w14:paraId="7BBE2BBC">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7E2A1B66">
                  <w:pPr>
                    <w:jc w:val="center"/>
                    <w:rPr>
                      <w:rFonts w:eastAsia="宋体"/>
                      <w:sz w:val="21"/>
                      <w:szCs w:val="21"/>
                    </w:rPr>
                  </w:pPr>
                  <w:r>
                    <w:rPr>
                      <w:rFonts w:hint="eastAsia" w:eastAsia="宋体"/>
                      <w:sz w:val="21"/>
                      <w:szCs w:val="21"/>
                    </w:rPr>
                    <w:t>达标</w:t>
                  </w:r>
                </w:p>
              </w:tc>
            </w:tr>
            <w:tr w14:paraId="0C4A07E2">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DCC8A27">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06BC354D">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7E315A8D">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3B513559">
                  <w:pPr>
                    <w:jc w:val="center"/>
                    <w:rPr>
                      <w:rFonts w:eastAsia="宋体"/>
                      <w:sz w:val="21"/>
                      <w:szCs w:val="21"/>
                    </w:rPr>
                  </w:pPr>
                  <w:r>
                    <w:rPr>
                      <w:rFonts w:eastAsia="宋体"/>
                      <w:sz w:val="21"/>
                      <w:szCs w:val="21"/>
                    </w:rPr>
                    <w:t>49.7</w:t>
                  </w:r>
                </w:p>
              </w:tc>
              <w:tc>
                <w:tcPr>
                  <w:tcW w:w="817" w:type="pct"/>
                  <w:tcBorders>
                    <w:top w:val="nil"/>
                    <w:left w:val="nil"/>
                    <w:bottom w:val="single" w:color="auto" w:sz="4" w:space="0"/>
                    <w:right w:val="single" w:color="auto" w:sz="4" w:space="0"/>
                  </w:tcBorders>
                  <w:noWrap w:val="0"/>
                  <w:vAlign w:val="center"/>
                </w:tcPr>
                <w:p w14:paraId="38290CB3">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1471EEBF">
                  <w:pPr>
                    <w:jc w:val="center"/>
                    <w:rPr>
                      <w:rFonts w:eastAsia="宋体"/>
                      <w:sz w:val="21"/>
                      <w:szCs w:val="21"/>
                    </w:rPr>
                  </w:pPr>
                  <w:r>
                    <w:rPr>
                      <w:rFonts w:hint="eastAsia" w:eastAsia="宋体"/>
                      <w:sz w:val="21"/>
                      <w:szCs w:val="21"/>
                    </w:rPr>
                    <w:t>达标</w:t>
                  </w:r>
                </w:p>
              </w:tc>
            </w:tr>
            <w:tr w14:paraId="6527222B">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ED4D2C4">
                  <w:pPr>
                    <w:jc w:val="center"/>
                    <w:rPr>
                      <w:rFonts w:eastAsia="宋体"/>
                      <w:sz w:val="21"/>
                      <w:szCs w:val="21"/>
                    </w:rPr>
                  </w:pPr>
                </w:p>
              </w:tc>
              <w:tc>
                <w:tcPr>
                  <w:tcW w:w="896" w:type="pct"/>
                  <w:vMerge w:val="restart"/>
                  <w:tcBorders>
                    <w:top w:val="nil"/>
                    <w:left w:val="single" w:color="auto" w:sz="4" w:space="0"/>
                    <w:bottom w:val="single" w:color="auto" w:sz="4" w:space="0"/>
                    <w:right w:val="single" w:color="auto" w:sz="4" w:space="0"/>
                  </w:tcBorders>
                  <w:noWrap w:val="0"/>
                  <w:vAlign w:val="center"/>
                </w:tcPr>
                <w:p w14:paraId="0359A363">
                  <w:pPr>
                    <w:jc w:val="center"/>
                    <w:rPr>
                      <w:rFonts w:eastAsia="宋体"/>
                      <w:sz w:val="21"/>
                      <w:szCs w:val="21"/>
                    </w:rPr>
                  </w:pPr>
                  <w:r>
                    <w:rPr>
                      <w:rFonts w:eastAsia="宋体"/>
                      <w:sz w:val="21"/>
                      <w:szCs w:val="21"/>
                    </w:rPr>
                    <w:t>2024.12.24</w:t>
                  </w:r>
                </w:p>
              </w:tc>
              <w:tc>
                <w:tcPr>
                  <w:tcW w:w="817" w:type="pct"/>
                  <w:tcBorders>
                    <w:top w:val="nil"/>
                    <w:left w:val="nil"/>
                    <w:bottom w:val="single" w:color="auto" w:sz="4" w:space="0"/>
                    <w:right w:val="single" w:color="auto" w:sz="4" w:space="0"/>
                  </w:tcBorders>
                  <w:noWrap w:val="0"/>
                  <w:vAlign w:val="center"/>
                </w:tcPr>
                <w:p w14:paraId="4A3EE7D0">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75239731">
                  <w:pPr>
                    <w:jc w:val="center"/>
                    <w:rPr>
                      <w:rFonts w:eastAsia="宋体"/>
                      <w:sz w:val="21"/>
                      <w:szCs w:val="21"/>
                    </w:rPr>
                  </w:pPr>
                  <w:r>
                    <w:rPr>
                      <w:rFonts w:eastAsia="宋体"/>
                      <w:sz w:val="21"/>
                      <w:szCs w:val="21"/>
                    </w:rPr>
                    <w:t>54</w:t>
                  </w:r>
                </w:p>
              </w:tc>
              <w:tc>
                <w:tcPr>
                  <w:tcW w:w="817" w:type="pct"/>
                  <w:tcBorders>
                    <w:top w:val="nil"/>
                    <w:left w:val="nil"/>
                    <w:bottom w:val="single" w:color="auto" w:sz="4" w:space="0"/>
                    <w:right w:val="single" w:color="auto" w:sz="4" w:space="0"/>
                  </w:tcBorders>
                  <w:noWrap w:val="0"/>
                  <w:vAlign w:val="center"/>
                </w:tcPr>
                <w:p w14:paraId="63DF0A18">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0948A5E1">
                  <w:pPr>
                    <w:jc w:val="center"/>
                    <w:rPr>
                      <w:rFonts w:eastAsia="宋体"/>
                      <w:sz w:val="21"/>
                      <w:szCs w:val="21"/>
                    </w:rPr>
                  </w:pPr>
                  <w:r>
                    <w:rPr>
                      <w:rFonts w:hint="eastAsia" w:eastAsia="宋体"/>
                      <w:sz w:val="21"/>
                      <w:szCs w:val="21"/>
                    </w:rPr>
                    <w:t>达标</w:t>
                  </w:r>
                </w:p>
              </w:tc>
            </w:tr>
            <w:tr w14:paraId="3EDE0C45">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06C87E0">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4F286F17">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565630AC">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04680F09">
                  <w:pPr>
                    <w:jc w:val="center"/>
                    <w:rPr>
                      <w:rFonts w:eastAsia="宋体"/>
                      <w:sz w:val="21"/>
                      <w:szCs w:val="21"/>
                    </w:rPr>
                  </w:pPr>
                  <w:r>
                    <w:rPr>
                      <w:rFonts w:eastAsia="宋体"/>
                      <w:sz w:val="21"/>
                      <w:szCs w:val="21"/>
                    </w:rPr>
                    <w:t>47.8</w:t>
                  </w:r>
                </w:p>
              </w:tc>
              <w:tc>
                <w:tcPr>
                  <w:tcW w:w="817" w:type="pct"/>
                  <w:tcBorders>
                    <w:top w:val="nil"/>
                    <w:left w:val="nil"/>
                    <w:bottom w:val="single" w:color="auto" w:sz="4" w:space="0"/>
                    <w:right w:val="single" w:color="auto" w:sz="4" w:space="0"/>
                  </w:tcBorders>
                  <w:noWrap w:val="0"/>
                  <w:vAlign w:val="center"/>
                </w:tcPr>
                <w:p w14:paraId="69C6D466">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13B9B913">
                  <w:pPr>
                    <w:jc w:val="center"/>
                    <w:rPr>
                      <w:rFonts w:eastAsia="宋体"/>
                      <w:sz w:val="21"/>
                      <w:szCs w:val="21"/>
                    </w:rPr>
                  </w:pPr>
                  <w:r>
                    <w:rPr>
                      <w:rFonts w:hint="eastAsia" w:eastAsia="宋体"/>
                      <w:sz w:val="21"/>
                      <w:szCs w:val="21"/>
                    </w:rPr>
                    <w:t>达标</w:t>
                  </w:r>
                </w:p>
              </w:tc>
            </w:tr>
            <w:tr w14:paraId="66083A43">
              <w:tblPrEx>
                <w:tblCellMar>
                  <w:top w:w="0" w:type="dxa"/>
                  <w:left w:w="108" w:type="dxa"/>
                  <w:bottom w:w="0" w:type="dxa"/>
                  <w:right w:w="108" w:type="dxa"/>
                </w:tblCellMar>
              </w:tblPrEx>
              <w:trPr>
                <w:trHeight w:val="340" w:hRule="atLeast"/>
              </w:trPr>
              <w:tc>
                <w:tcPr>
                  <w:tcW w:w="819" w:type="pct"/>
                  <w:vMerge w:val="restart"/>
                  <w:tcBorders>
                    <w:top w:val="nil"/>
                    <w:left w:val="single" w:color="auto" w:sz="4" w:space="0"/>
                    <w:bottom w:val="single" w:color="auto" w:sz="4" w:space="0"/>
                    <w:right w:val="single" w:color="auto" w:sz="4" w:space="0"/>
                  </w:tcBorders>
                  <w:noWrap w:val="0"/>
                  <w:vAlign w:val="center"/>
                </w:tcPr>
                <w:p w14:paraId="287FB847">
                  <w:pPr>
                    <w:jc w:val="center"/>
                    <w:rPr>
                      <w:rFonts w:eastAsia="宋体"/>
                      <w:sz w:val="21"/>
                      <w:szCs w:val="21"/>
                    </w:rPr>
                  </w:pPr>
                  <w:r>
                    <w:rPr>
                      <w:rFonts w:eastAsia="宋体"/>
                      <w:sz w:val="21"/>
                      <w:szCs w:val="21"/>
                    </w:rPr>
                    <w:t>N3</w:t>
                  </w:r>
                  <w:r>
                    <w:rPr>
                      <w:rFonts w:hint="eastAsia" w:eastAsia="宋体"/>
                      <w:sz w:val="21"/>
                      <w:szCs w:val="21"/>
                    </w:rPr>
                    <w:t>厂界西南面外</w:t>
                  </w:r>
                  <w:r>
                    <w:rPr>
                      <w:rFonts w:eastAsia="宋体"/>
                      <w:sz w:val="21"/>
                      <w:szCs w:val="21"/>
                    </w:rPr>
                    <w:t>1m</w:t>
                  </w:r>
                  <w:r>
                    <w:rPr>
                      <w:rFonts w:hint="eastAsia" w:eastAsia="宋体"/>
                      <w:sz w:val="21"/>
                      <w:szCs w:val="21"/>
                    </w:rPr>
                    <w:t>处</w:t>
                  </w:r>
                </w:p>
              </w:tc>
              <w:tc>
                <w:tcPr>
                  <w:tcW w:w="896" w:type="pct"/>
                  <w:vMerge w:val="restart"/>
                  <w:tcBorders>
                    <w:top w:val="nil"/>
                    <w:left w:val="single" w:color="auto" w:sz="4" w:space="0"/>
                    <w:bottom w:val="single" w:color="auto" w:sz="4" w:space="0"/>
                    <w:right w:val="single" w:color="auto" w:sz="4" w:space="0"/>
                  </w:tcBorders>
                  <w:noWrap w:val="0"/>
                  <w:vAlign w:val="center"/>
                </w:tcPr>
                <w:p w14:paraId="067B9E14">
                  <w:pPr>
                    <w:jc w:val="center"/>
                    <w:rPr>
                      <w:rFonts w:eastAsia="宋体"/>
                      <w:sz w:val="21"/>
                      <w:szCs w:val="21"/>
                    </w:rPr>
                  </w:pPr>
                  <w:r>
                    <w:rPr>
                      <w:rFonts w:eastAsia="宋体"/>
                      <w:sz w:val="21"/>
                      <w:szCs w:val="21"/>
                    </w:rPr>
                    <w:t>2024.12.23</w:t>
                  </w:r>
                </w:p>
              </w:tc>
              <w:tc>
                <w:tcPr>
                  <w:tcW w:w="817" w:type="pct"/>
                  <w:tcBorders>
                    <w:top w:val="nil"/>
                    <w:left w:val="nil"/>
                    <w:bottom w:val="single" w:color="auto" w:sz="4" w:space="0"/>
                    <w:right w:val="single" w:color="auto" w:sz="4" w:space="0"/>
                  </w:tcBorders>
                  <w:noWrap w:val="0"/>
                  <w:vAlign w:val="center"/>
                </w:tcPr>
                <w:p w14:paraId="7592BF97">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3FC8F10D">
                  <w:pPr>
                    <w:jc w:val="center"/>
                    <w:rPr>
                      <w:rFonts w:eastAsia="宋体"/>
                      <w:sz w:val="21"/>
                      <w:szCs w:val="21"/>
                    </w:rPr>
                  </w:pPr>
                  <w:r>
                    <w:rPr>
                      <w:rFonts w:eastAsia="宋体"/>
                      <w:sz w:val="21"/>
                      <w:szCs w:val="21"/>
                    </w:rPr>
                    <w:t>53.4</w:t>
                  </w:r>
                </w:p>
              </w:tc>
              <w:tc>
                <w:tcPr>
                  <w:tcW w:w="817" w:type="pct"/>
                  <w:tcBorders>
                    <w:top w:val="nil"/>
                    <w:left w:val="nil"/>
                    <w:bottom w:val="single" w:color="auto" w:sz="4" w:space="0"/>
                    <w:right w:val="single" w:color="auto" w:sz="4" w:space="0"/>
                  </w:tcBorders>
                  <w:noWrap w:val="0"/>
                  <w:vAlign w:val="center"/>
                </w:tcPr>
                <w:p w14:paraId="1B0F76DF">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2077F690">
                  <w:pPr>
                    <w:jc w:val="center"/>
                    <w:rPr>
                      <w:rFonts w:eastAsia="宋体"/>
                      <w:sz w:val="21"/>
                      <w:szCs w:val="21"/>
                    </w:rPr>
                  </w:pPr>
                  <w:r>
                    <w:rPr>
                      <w:rFonts w:hint="eastAsia" w:eastAsia="宋体"/>
                      <w:sz w:val="21"/>
                      <w:szCs w:val="21"/>
                    </w:rPr>
                    <w:t>达标</w:t>
                  </w:r>
                </w:p>
              </w:tc>
            </w:tr>
            <w:tr w14:paraId="10EB5596">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666A987">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5E67618E">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5C2DE437">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3FF4273D">
                  <w:pPr>
                    <w:jc w:val="center"/>
                    <w:rPr>
                      <w:rFonts w:eastAsia="宋体"/>
                      <w:sz w:val="21"/>
                      <w:szCs w:val="21"/>
                    </w:rPr>
                  </w:pPr>
                  <w:r>
                    <w:rPr>
                      <w:rFonts w:eastAsia="宋体"/>
                      <w:sz w:val="21"/>
                      <w:szCs w:val="21"/>
                    </w:rPr>
                    <w:t>48.7</w:t>
                  </w:r>
                </w:p>
              </w:tc>
              <w:tc>
                <w:tcPr>
                  <w:tcW w:w="817" w:type="pct"/>
                  <w:tcBorders>
                    <w:top w:val="nil"/>
                    <w:left w:val="nil"/>
                    <w:bottom w:val="single" w:color="auto" w:sz="4" w:space="0"/>
                    <w:right w:val="single" w:color="auto" w:sz="4" w:space="0"/>
                  </w:tcBorders>
                  <w:noWrap w:val="0"/>
                  <w:vAlign w:val="center"/>
                </w:tcPr>
                <w:p w14:paraId="48F5E27A">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1E5A3DBC">
                  <w:pPr>
                    <w:jc w:val="center"/>
                    <w:rPr>
                      <w:rFonts w:eastAsia="宋体"/>
                      <w:sz w:val="21"/>
                      <w:szCs w:val="21"/>
                    </w:rPr>
                  </w:pPr>
                  <w:r>
                    <w:rPr>
                      <w:rFonts w:hint="eastAsia" w:eastAsia="宋体"/>
                      <w:sz w:val="21"/>
                      <w:szCs w:val="21"/>
                    </w:rPr>
                    <w:t>达标</w:t>
                  </w:r>
                </w:p>
              </w:tc>
            </w:tr>
            <w:tr w14:paraId="18131520">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DCA8D93">
                  <w:pPr>
                    <w:jc w:val="center"/>
                    <w:rPr>
                      <w:rFonts w:eastAsia="宋体"/>
                      <w:sz w:val="21"/>
                      <w:szCs w:val="21"/>
                    </w:rPr>
                  </w:pPr>
                </w:p>
              </w:tc>
              <w:tc>
                <w:tcPr>
                  <w:tcW w:w="896" w:type="pct"/>
                  <w:vMerge w:val="restart"/>
                  <w:tcBorders>
                    <w:top w:val="nil"/>
                    <w:left w:val="single" w:color="auto" w:sz="4" w:space="0"/>
                    <w:bottom w:val="single" w:color="auto" w:sz="4" w:space="0"/>
                    <w:right w:val="single" w:color="auto" w:sz="4" w:space="0"/>
                  </w:tcBorders>
                  <w:noWrap w:val="0"/>
                  <w:vAlign w:val="center"/>
                </w:tcPr>
                <w:p w14:paraId="4D8822AC">
                  <w:pPr>
                    <w:jc w:val="center"/>
                    <w:rPr>
                      <w:rFonts w:eastAsia="宋体"/>
                      <w:sz w:val="21"/>
                      <w:szCs w:val="21"/>
                    </w:rPr>
                  </w:pPr>
                  <w:r>
                    <w:rPr>
                      <w:rFonts w:eastAsia="宋体"/>
                      <w:sz w:val="21"/>
                      <w:szCs w:val="21"/>
                    </w:rPr>
                    <w:t>2024.12.24</w:t>
                  </w:r>
                </w:p>
              </w:tc>
              <w:tc>
                <w:tcPr>
                  <w:tcW w:w="817" w:type="pct"/>
                  <w:tcBorders>
                    <w:top w:val="nil"/>
                    <w:left w:val="nil"/>
                    <w:bottom w:val="single" w:color="auto" w:sz="4" w:space="0"/>
                    <w:right w:val="single" w:color="auto" w:sz="4" w:space="0"/>
                  </w:tcBorders>
                  <w:noWrap w:val="0"/>
                  <w:vAlign w:val="center"/>
                </w:tcPr>
                <w:p w14:paraId="35E1B205">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36A79463">
                  <w:pPr>
                    <w:jc w:val="center"/>
                    <w:rPr>
                      <w:rFonts w:eastAsia="宋体"/>
                      <w:sz w:val="21"/>
                      <w:szCs w:val="21"/>
                    </w:rPr>
                  </w:pPr>
                  <w:r>
                    <w:rPr>
                      <w:rFonts w:eastAsia="宋体"/>
                      <w:sz w:val="21"/>
                      <w:szCs w:val="21"/>
                    </w:rPr>
                    <w:t>52.9</w:t>
                  </w:r>
                </w:p>
              </w:tc>
              <w:tc>
                <w:tcPr>
                  <w:tcW w:w="817" w:type="pct"/>
                  <w:tcBorders>
                    <w:top w:val="nil"/>
                    <w:left w:val="nil"/>
                    <w:bottom w:val="single" w:color="auto" w:sz="4" w:space="0"/>
                    <w:right w:val="single" w:color="auto" w:sz="4" w:space="0"/>
                  </w:tcBorders>
                  <w:noWrap w:val="0"/>
                  <w:vAlign w:val="center"/>
                </w:tcPr>
                <w:p w14:paraId="71533AA4">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2A6DEA03">
                  <w:pPr>
                    <w:jc w:val="center"/>
                    <w:rPr>
                      <w:rFonts w:eastAsia="宋体"/>
                      <w:sz w:val="21"/>
                      <w:szCs w:val="21"/>
                    </w:rPr>
                  </w:pPr>
                  <w:r>
                    <w:rPr>
                      <w:rFonts w:hint="eastAsia" w:eastAsia="宋体"/>
                      <w:sz w:val="21"/>
                      <w:szCs w:val="21"/>
                    </w:rPr>
                    <w:t>达标</w:t>
                  </w:r>
                </w:p>
              </w:tc>
            </w:tr>
            <w:tr w14:paraId="27EC5D47">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26DE674B">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592C6680">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75916A0B">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42A53BA0">
                  <w:pPr>
                    <w:jc w:val="center"/>
                    <w:rPr>
                      <w:rFonts w:eastAsia="宋体"/>
                      <w:sz w:val="21"/>
                      <w:szCs w:val="21"/>
                    </w:rPr>
                  </w:pPr>
                  <w:r>
                    <w:rPr>
                      <w:rFonts w:eastAsia="宋体"/>
                      <w:sz w:val="21"/>
                      <w:szCs w:val="21"/>
                    </w:rPr>
                    <w:t>50</w:t>
                  </w:r>
                </w:p>
              </w:tc>
              <w:tc>
                <w:tcPr>
                  <w:tcW w:w="817" w:type="pct"/>
                  <w:tcBorders>
                    <w:top w:val="nil"/>
                    <w:left w:val="nil"/>
                    <w:bottom w:val="single" w:color="auto" w:sz="4" w:space="0"/>
                    <w:right w:val="single" w:color="auto" w:sz="4" w:space="0"/>
                  </w:tcBorders>
                  <w:noWrap w:val="0"/>
                  <w:vAlign w:val="center"/>
                </w:tcPr>
                <w:p w14:paraId="30E9FBE2">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72CF6B5F">
                  <w:pPr>
                    <w:jc w:val="center"/>
                    <w:rPr>
                      <w:rFonts w:eastAsia="宋体"/>
                      <w:sz w:val="21"/>
                      <w:szCs w:val="21"/>
                    </w:rPr>
                  </w:pPr>
                  <w:r>
                    <w:rPr>
                      <w:rFonts w:hint="eastAsia" w:eastAsia="宋体"/>
                      <w:sz w:val="21"/>
                      <w:szCs w:val="21"/>
                    </w:rPr>
                    <w:t>达标</w:t>
                  </w:r>
                </w:p>
              </w:tc>
            </w:tr>
            <w:tr w14:paraId="346DD6BB">
              <w:tblPrEx>
                <w:tblCellMar>
                  <w:top w:w="0" w:type="dxa"/>
                  <w:left w:w="108" w:type="dxa"/>
                  <w:bottom w:w="0" w:type="dxa"/>
                  <w:right w:w="108" w:type="dxa"/>
                </w:tblCellMar>
              </w:tblPrEx>
              <w:trPr>
                <w:trHeight w:val="340" w:hRule="atLeast"/>
              </w:trPr>
              <w:tc>
                <w:tcPr>
                  <w:tcW w:w="819" w:type="pct"/>
                  <w:vMerge w:val="restart"/>
                  <w:tcBorders>
                    <w:top w:val="nil"/>
                    <w:left w:val="single" w:color="auto" w:sz="4" w:space="0"/>
                    <w:bottom w:val="single" w:color="auto" w:sz="4" w:space="0"/>
                    <w:right w:val="single" w:color="auto" w:sz="4" w:space="0"/>
                  </w:tcBorders>
                  <w:noWrap w:val="0"/>
                  <w:vAlign w:val="center"/>
                </w:tcPr>
                <w:p w14:paraId="4367D7C5">
                  <w:pPr>
                    <w:jc w:val="center"/>
                    <w:rPr>
                      <w:rFonts w:eastAsia="宋体"/>
                      <w:sz w:val="21"/>
                      <w:szCs w:val="21"/>
                    </w:rPr>
                  </w:pPr>
                  <w:r>
                    <w:rPr>
                      <w:rFonts w:eastAsia="宋体"/>
                      <w:sz w:val="21"/>
                      <w:szCs w:val="21"/>
                    </w:rPr>
                    <w:t>N4</w:t>
                  </w:r>
                  <w:r>
                    <w:rPr>
                      <w:rFonts w:hint="eastAsia" w:eastAsia="宋体"/>
                      <w:sz w:val="21"/>
                      <w:szCs w:val="21"/>
                    </w:rPr>
                    <w:t>厂界西面外</w:t>
                  </w:r>
                  <w:r>
                    <w:rPr>
                      <w:rFonts w:eastAsia="宋体"/>
                      <w:sz w:val="21"/>
                      <w:szCs w:val="21"/>
                    </w:rPr>
                    <w:t>1m</w:t>
                  </w:r>
                  <w:r>
                    <w:rPr>
                      <w:rFonts w:hint="eastAsia" w:eastAsia="宋体"/>
                      <w:sz w:val="21"/>
                      <w:szCs w:val="21"/>
                    </w:rPr>
                    <w:t>处</w:t>
                  </w:r>
                </w:p>
              </w:tc>
              <w:tc>
                <w:tcPr>
                  <w:tcW w:w="896" w:type="pct"/>
                  <w:vMerge w:val="restart"/>
                  <w:tcBorders>
                    <w:top w:val="nil"/>
                    <w:left w:val="single" w:color="auto" w:sz="4" w:space="0"/>
                    <w:bottom w:val="single" w:color="auto" w:sz="4" w:space="0"/>
                    <w:right w:val="single" w:color="auto" w:sz="4" w:space="0"/>
                  </w:tcBorders>
                  <w:noWrap w:val="0"/>
                  <w:vAlign w:val="center"/>
                </w:tcPr>
                <w:p w14:paraId="2C4F6C17">
                  <w:pPr>
                    <w:jc w:val="center"/>
                    <w:rPr>
                      <w:rFonts w:eastAsia="宋体"/>
                      <w:sz w:val="21"/>
                      <w:szCs w:val="21"/>
                    </w:rPr>
                  </w:pPr>
                  <w:r>
                    <w:rPr>
                      <w:rFonts w:eastAsia="宋体"/>
                      <w:sz w:val="21"/>
                      <w:szCs w:val="21"/>
                    </w:rPr>
                    <w:t>2024.12.23</w:t>
                  </w:r>
                </w:p>
              </w:tc>
              <w:tc>
                <w:tcPr>
                  <w:tcW w:w="817" w:type="pct"/>
                  <w:tcBorders>
                    <w:top w:val="nil"/>
                    <w:left w:val="nil"/>
                    <w:bottom w:val="single" w:color="auto" w:sz="4" w:space="0"/>
                    <w:right w:val="single" w:color="auto" w:sz="4" w:space="0"/>
                  </w:tcBorders>
                  <w:noWrap w:val="0"/>
                  <w:vAlign w:val="center"/>
                </w:tcPr>
                <w:p w14:paraId="5A21D953">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22EF2D8A">
                  <w:pPr>
                    <w:jc w:val="center"/>
                    <w:rPr>
                      <w:rFonts w:eastAsia="宋体"/>
                      <w:sz w:val="21"/>
                      <w:szCs w:val="21"/>
                    </w:rPr>
                  </w:pPr>
                  <w:r>
                    <w:rPr>
                      <w:rFonts w:eastAsia="宋体"/>
                      <w:sz w:val="21"/>
                      <w:szCs w:val="21"/>
                    </w:rPr>
                    <w:t>52.6</w:t>
                  </w:r>
                </w:p>
              </w:tc>
              <w:tc>
                <w:tcPr>
                  <w:tcW w:w="817" w:type="pct"/>
                  <w:tcBorders>
                    <w:top w:val="nil"/>
                    <w:left w:val="nil"/>
                    <w:bottom w:val="single" w:color="auto" w:sz="4" w:space="0"/>
                    <w:right w:val="single" w:color="auto" w:sz="4" w:space="0"/>
                  </w:tcBorders>
                  <w:noWrap w:val="0"/>
                  <w:vAlign w:val="center"/>
                </w:tcPr>
                <w:p w14:paraId="6FEEB1C9">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3181778B">
                  <w:pPr>
                    <w:jc w:val="center"/>
                    <w:rPr>
                      <w:rFonts w:eastAsia="宋体"/>
                      <w:sz w:val="21"/>
                      <w:szCs w:val="21"/>
                    </w:rPr>
                  </w:pPr>
                  <w:r>
                    <w:rPr>
                      <w:rFonts w:hint="eastAsia" w:eastAsia="宋体"/>
                      <w:sz w:val="21"/>
                      <w:szCs w:val="21"/>
                    </w:rPr>
                    <w:t>达标</w:t>
                  </w:r>
                </w:p>
              </w:tc>
            </w:tr>
            <w:tr w14:paraId="4F3B79C7">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59B652DE">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432486BE">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2CEBA7CE">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70F6D67A">
                  <w:pPr>
                    <w:jc w:val="center"/>
                    <w:rPr>
                      <w:rFonts w:eastAsia="宋体"/>
                      <w:sz w:val="21"/>
                      <w:szCs w:val="21"/>
                    </w:rPr>
                  </w:pPr>
                  <w:r>
                    <w:rPr>
                      <w:rFonts w:eastAsia="宋体"/>
                      <w:sz w:val="21"/>
                      <w:szCs w:val="21"/>
                    </w:rPr>
                    <w:t>47.5</w:t>
                  </w:r>
                </w:p>
              </w:tc>
              <w:tc>
                <w:tcPr>
                  <w:tcW w:w="817" w:type="pct"/>
                  <w:tcBorders>
                    <w:top w:val="nil"/>
                    <w:left w:val="nil"/>
                    <w:bottom w:val="single" w:color="auto" w:sz="4" w:space="0"/>
                    <w:right w:val="single" w:color="auto" w:sz="4" w:space="0"/>
                  </w:tcBorders>
                  <w:noWrap w:val="0"/>
                  <w:vAlign w:val="center"/>
                </w:tcPr>
                <w:p w14:paraId="7E9107B2">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60298616">
                  <w:pPr>
                    <w:jc w:val="center"/>
                    <w:rPr>
                      <w:rFonts w:eastAsia="宋体"/>
                      <w:sz w:val="21"/>
                      <w:szCs w:val="21"/>
                    </w:rPr>
                  </w:pPr>
                  <w:r>
                    <w:rPr>
                      <w:rFonts w:hint="eastAsia" w:eastAsia="宋体"/>
                      <w:sz w:val="21"/>
                      <w:szCs w:val="21"/>
                    </w:rPr>
                    <w:t>达标</w:t>
                  </w:r>
                </w:p>
              </w:tc>
            </w:tr>
            <w:tr w14:paraId="753CAF5C">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563EEC57">
                  <w:pPr>
                    <w:jc w:val="center"/>
                    <w:rPr>
                      <w:rFonts w:eastAsia="宋体"/>
                      <w:sz w:val="21"/>
                      <w:szCs w:val="21"/>
                    </w:rPr>
                  </w:pPr>
                </w:p>
              </w:tc>
              <w:tc>
                <w:tcPr>
                  <w:tcW w:w="896" w:type="pct"/>
                  <w:vMerge w:val="restart"/>
                  <w:tcBorders>
                    <w:top w:val="nil"/>
                    <w:left w:val="single" w:color="auto" w:sz="4" w:space="0"/>
                    <w:bottom w:val="single" w:color="auto" w:sz="4" w:space="0"/>
                    <w:right w:val="single" w:color="auto" w:sz="4" w:space="0"/>
                  </w:tcBorders>
                  <w:noWrap w:val="0"/>
                  <w:vAlign w:val="center"/>
                </w:tcPr>
                <w:p w14:paraId="7016445F">
                  <w:pPr>
                    <w:jc w:val="center"/>
                    <w:rPr>
                      <w:rFonts w:eastAsia="宋体"/>
                      <w:sz w:val="21"/>
                      <w:szCs w:val="21"/>
                    </w:rPr>
                  </w:pPr>
                  <w:r>
                    <w:rPr>
                      <w:rFonts w:eastAsia="宋体"/>
                      <w:sz w:val="21"/>
                      <w:szCs w:val="21"/>
                    </w:rPr>
                    <w:t>2024.12.24</w:t>
                  </w:r>
                </w:p>
              </w:tc>
              <w:tc>
                <w:tcPr>
                  <w:tcW w:w="817" w:type="pct"/>
                  <w:tcBorders>
                    <w:top w:val="nil"/>
                    <w:left w:val="nil"/>
                    <w:bottom w:val="single" w:color="auto" w:sz="4" w:space="0"/>
                    <w:right w:val="single" w:color="auto" w:sz="4" w:space="0"/>
                  </w:tcBorders>
                  <w:noWrap w:val="0"/>
                  <w:vAlign w:val="center"/>
                </w:tcPr>
                <w:p w14:paraId="0B416A77">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0"/>
                  <w:vAlign w:val="center"/>
                </w:tcPr>
                <w:p w14:paraId="1CC892A2">
                  <w:pPr>
                    <w:jc w:val="center"/>
                    <w:rPr>
                      <w:rFonts w:eastAsia="宋体"/>
                      <w:sz w:val="21"/>
                      <w:szCs w:val="21"/>
                    </w:rPr>
                  </w:pPr>
                  <w:r>
                    <w:rPr>
                      <w:rFonts w:eastAsia="宋体"/>
                      <w:sz w:val="21"/>
                      <w:szCs w:val="21"/>
                    </w:rPr>
                    <w:t>53.6</w:t>
                  </w:r>
                </w:p>
              </w:tc>
              <w:tc>
                <w:tcPr>
                  <w:tcW w:w="817" w:type="pct"/>
                  <w:tcBorders>
                    <w:top w:val="nil"/>
                    <w:left w:val="nil"/>
                    <w:bottom w:val="single" w:color="auto" w:sz="4" w:space="0"/>
                    <w:right w:val="single" w:color="auto" w:sz="4" w:space="0"/>
                  </w:tcBorders>
                  <w:noWrap w:val="0"/>
                  <w:vAlign w:val="center"/>
                </w:tcPr>
                <w:p w14:paraId="4EE6BC4B">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28D925E4">
                  <w:pPr>
                    <w:jc w:val="center"/>
                    <w:rPr>
                      <w:rFonts w:eastAsia="宋体"/>
                      <w:sz w:val="21"/>
                      <w:szCs w:val="21"/>
                    </w:rPr>
                  </w:pPr>
                  <w:r>
                    <w:rPr>
                      <w:rFonts w:hint="eastAsia" w:eastAsia="宋体"/>
                      <w:sz w:val="21"/>
                      <w:szCs w:val="21"/>
                    </w:rPr>
                    <w:t>达标</w:t>
                  </w:r>
                </w:p>
              </w:tc>
            </w:tr>
            <w:tr w14:paraId="5CB6D33C">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94B8BB6">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4DA37998">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6D5968BE">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0"/>
                  <w:vAlign w:val="center"/>
                </w:tcPr>
                <w:p w14:paraId="4D5E10BB">
                  <w:pPr>
                    <w:jc w:val="center"/>
                    <w:rPr>
                      <w:rFonts w:eastAsia="宋体"/>
                      <w:sz w:val="21"/>
                      <w:szCs w:val="21"/>
                    </w:rPr>
                  </w:pPr>
                  <w:r>
                    <w:rPr>
                      <w:rFonts w:eastAsia="宋体"/>
                      <w:sz w:val="21"/>
                      <w:szCs w:val="21"/>
                    </w:rPr>
                    <w:t>48.4</w:t>
                  </w:r>
                </w:p>
              </w:tc>
              <w:tc>
                <w:tcPr>
                  <w:tcW w:w="817" w:type="pct"/>
                  <w:tcBorders>
                    <w:top w:val="nil"/>
                    <w:left w:val="nil"/>
                    <w:bottom w:val="single" w:color="auto" w:sz="4" w:space="0"/>
                    <w:right w:val="single" w:color="auto" w:sz="4" w:space="0"/>
                  </w:tcBorders>
                  <w:noWrap w:val="0"/>
                  <w:vAlign w:val="center"/>
                </w:tcPr>
                <w:p w14:paraId="60C023C2">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4DEAB854">
                  <w:pPr>
                    <w:jc w:val="center"/>
                    <w:rPr>
                      <w:rFonts w:eastAsia="宋体"/>
                      <w:sz w:val="21"/>
                      <w:szCs w:val="21"/>
                    </w:rPr>
                  </w:pPr>
                  <w:r>
                    <w:rPr>
                      <w:rFonts w:hint="eastAsia" w:eastAsia="宋体"/>
                      <w:sz w:val="21"/>
                      <w:szCs w:val="21"/>
                    </w:rPr>
                    <w:t>达标</w:t>
                  </w:r>
                </w:p>
              </w:tc>
            </w:tr>
            <w:tr w14:paraId="56561AB5">
              <w:tblPrEx>
                <w:tblCellMar>
                  <w:top w:w="0" w:type="dxa"/>
                  <w:left w:w="108" w:type="dxa"/>
                  <w:bottom w:w="0" w:type="dxa"/>
                  <w:right w:w="108" w:type="dxa"/>
                </w:tblCellMar>
              </w:tblPrEx>
              <w:trPr>
                <w:trHeight w:val="340" w:hRule="atLeast"/>
              </w:trPr>
              <w:tc>
                <w:tcPr>
                  <w:tcW w:w="819" w:type="pct"/>
                  <w:vMerge w:val="restart"/>
                  <w:tcBorders>
                    <w:top w:val="nil"/>
                    <w:left w:val="single" w:color="auto" w:sz="4" w:space="0"/>
                    <w:bottom w:val="single" w:color="auto" w:sz="4" w:space="0"/>
                    <w:right w:val="single" w:color="auto" w:sz="4" w:space="0"/>
                  </w:tcBorders>
                  <w:noWrap w:val="0"/>
                  <w:vAlign w:val="center"/>
                </w:tcPr>
                <w:p w14:paraId="490932F6">
                  <w:pPr>
                    <w:jc w:val="center"/>
                    <w:rPr>
                      <w:rFonts w:eastAsia="宋体"/>
                      <w:sz w:val="21"/>
                      <w:szCs w:val="21"/>
                    </w:rPr>
                  </w:pPr>
                  <w:r>
                    <w:rPr>
                      <w:rFonts w:eastAsia="宋体"/>
                      <w:sz w:val="21"/>
                      <w:szCs w:val="21"/>
                    </w:rPr>
                    <w:t>N5</w:t>
                  </w:r>
                  <w:r>
                    <w:rPr>
                      <w:rFonts w:hint="eastAsia" w:eastAsia="宋体"/>
                      <w:sz w:val="21"/>
                      <w:szCs w:val="21"/>
                    </w:rPr>
                    <w:t>厂界北面外</w:t>
                  </w:r>
                  <w:r>
                    <w:rPr>
                      <w:rFonts w:eastAsia="宋体"/>
                      <w:sz w:val="21"/>
                      <w:szCs w:val="21"/>
                    </w:rPr>
                    <w:t>1m</w:t>
                  </w:r>
                  <w:r>
                    <w:rPr>
                      <w:rFonts w:hint="eastAsia" w:eastAsia="宋体"/>
                      <w:sz w:val="21"/>
                      <w:szCs w:val="21"/>
                    </w:rPr>
                    <w:t>处</w:t>
                  </w:r>
                </w:p>
              </w:tc>
              <w:tc>
                <w:tcPr>
                  <w:tcW w:w="896" w:type="pct"/>
                  <w:vMerge w:val="restart"/>
                  <w:tcBorders>
                    <w:top w:val="nil"/>
                    <w:left w:val="single" w:color="auto" w:sz="4" w:space="0"/>
                    <w:bottom w:val="single" w:color="auto" w:sz="4" w:space="0"/>
                    <w:right w:val="single" w:color="auto" w:sz="4" w:space="0"/>
                  </w:tcBorders>
                  <w:noWrap w:val="0"/>
                  <w:vAlign w:val="center"/>
                </w:tcPr>
                <w:p w14:paraId="4552CCCD">
                  <w:pPr>
                    <w:jc w:val="center"/>
                    <w:rPr>
                      <w:rFonts w:eastAsia="宋体"/>
                      <w:sz w:val="21"/>
                      <w:szCs w:val="21"/>
                    </w:rPr>
                  </w:pPr>
                  <w:r>
                    <w:rPr>
                      <w:rFonts w:eastAsia="宋体"/>
                      <w:sz w:val="21"/>
                      <w:szCs w:val="21"/>
                    </w:rPr>
                    <w:t>2024.12.23</w:t>
                  </w:r>
                </w:p>
              </w:tc>
              <w:tc>
                <w:tcPr>
                  <w:tcW w:w="817" w:type="pct"/>
                  <w:tcBorders>
                    <w:top w:val="nil"/>
                    <w:left w:val="nil"/>
                    <w:bottom w:val="single" w:color="auto" w:sz="4" w:space="0"/>
                    <w:right w:val="single" w:color="auto" w:sz="4" w:space="0"/>
                  </w:tcBorders>
                  <w:noWrap w:val="0"/>
                  <w:vAlign w:val="center"/>
                </w:tcPr>
                <w:p w14:paraId="6C960F63">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ign w:val="center"/>
                </w:tcPr>
                <w:p w14:paraId="74981F0B">
                  <w:pPr>
                    <w:jc w:val="center"/>
                    <w:rPr>
                      <w:rFonts w:eastAsia="宋体"/>
                      <w:sz w:val="21"/>
                      <w:szCs w:val="21"/>
                    </w:rPr>
                  </w:pPr>
                  <w:r>
                    <w:rPr>
                      <w:rFonts w:hint="eastAsia" w:eastAsia="宋体"/>
                      <w:sz w:val="21"/>
                      <w:szCs w:val="21"/>
                    </w:rPr>
                    <w:t>53.2</w:t>
                  </w:r>
                </w:p>
              </w:tc>
              <w:tc>
                <w:tcPr>
                  <w:tcW w:w="817" w:type="pct"/>
                  <w:tcBorders>
                    <w:top w:val="nil"/>
                    <w:left w:val="nil"/>
                    <w:bottom w:val="single" w:color="auto" w:sz="4" w:space="0"/>
                    <w:right w:val="single" w:color="auto" w:sz="4" w:space="0"/>
                  </w:tcBorders>
                  <w:noWrap w:val="0"/>
                  <w:vAlign w:val="center"/>
                </w:tcPr>
                <w:p w14:paraId="2EE8C895">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1A8FD9AC">
                  <w:pPr>
                    <w:jc w:val="center"/>
                    <w:rPr>
                      <w:rFonts w:eastAsia="宋体"/>
                      <w:sz w:val="21"/>
                      <w:szCs w:val="21"/>
                    </w:rPr>
                  </w:pPr>
                  <w:r>
                    <w:rPr>
                      <w:rFonts w:hint="eastAsia" w:eastAsia="宋体"/>
                      <w:sz w:val="21"/>
                      <w:szCs w:val="21"/>
                    </w:rPr>
                    <w:t>达标</w:t>
                  </w:r>
                </w:p>
              </w:tc>
            </w:tr>
            <w:tr w14:paraId="67F76FAA">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1660CA48">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08171644">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121C14C0">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ign w:val="center"/>
                </w:tcPr>
                <w:p w14:paraId="47115CA7">
                  <w:pPr>
                    <w:jc w:val="center"/>
                    <w:rPr>
                      <w:rFonts w:eastAsia="宋体"/>
                      <w:sz w:val="21"/>
                      <w:szCs w:val="21"/>
                    </w:rPr>
                  </w:pPr>
                  <w:r>
                    <w:rPr>
                      <w:rFonts w:hint="eastAsia" w:eastAsia="宋体"/>
                      <w:sz w:val="21"/>
                      <w:szCs w:val="21"/>
                    </w:rPr>
                    <w:t>49.3</w:t>
                  </w:r>
                </w:p>
              </w:tc>
              <w:tc>
                <w:tcPr>
                  <w:tcW w:w="817" w:type="pct"/>
                  <w:tcBorders>
                    <w:top w:val="nil"/>
                    <w:left w:val="nil"/>
                    <w:bottom w:val="single" w:color="auto" w:sz="4" w:space="0"/>
                    <w:right w:val="single" w:color="auto" w:sz="4" w:space="0"/>
                  </w:tcBorders>
                  <w:noWrap w:val="0"/>
                  <w:vAlign w:val="center"/>
                </w:tcPr>
                <w:p w14:paraId="55ECEA36">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7073DA65">
                  <w:pPr>
                    <w:jc w:val="center"/>
                    <w:rPr>
                      <w:rFonts w:eastAsia="宋体"/>
                      <w:sz w:val="21"/>
                      <w:szCs w:val="21"/>
                    </w:rPr>
                  </w:pPr>
                  <w:r>
                    <w:rPr>
                      <w:rFonts w:hint="eastAsia" w:eastAsia="宋体"/>
                      <w:sz w:val="21"/>
                      <w:szCs w:val="21"/>
                    </w:rPr>
                    <w:t>达标</w:t>
                  </w:r>
                </w:p>
              </w:tc>
            </w:tr>
            <w:tr w14:paraId="115D947D">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0FF869CE">
                  <w:pPr>
                    <w:jc w:val="center"/>
                    <w:rPr>
                      <w:rFonts w:eastAsia="宋体"/>
                      <w:sz w:val="21"/>
                      <w:szCs w:val="21"/>
                    </w:rPr>
                  </w:pPr>
                </w:p>
              </w:tc>
              <w:tc>
                <w:tcPr>
                  <w:tcW w:w="896" w:type="pct"/>
                  <w:vMerge w:val="restart"/>
                  <w:tcBorders>
                    <w:top w:val="nil"/>
                    <w:left w:val="single" w:color="auto" w:sz="4" w:space="0"/>
                    <w:bottom w:val="single" w:color="auto" w:sz="4" w:space="0"/>
                    <w:right w:val="single" w:color="auto" w:sz="4" w:space="0"/>
                  </w:tcBorders>
                  <w:noWrap w:val="0"/>
                  <w:vAlign w:val="center"/>
                </w:tcPr>
                <w:p w14:paraId="0B859276">
                  <w:pPr>
                    <w:jc w:val="center"/>
                    <w:rPr>
                      <w:rFonts w:eastAsia="宋体"/>
                      <w:sz w:val="21"/>
                      <w:szCs w:val="21"/>
                    </w:rPr>
                  </w:pPr>
                  <w:r>
                    <w:rPr>
                      <w:rFonts w:eastAsia="宋体"/>
                      <w:sz w:val="21"/>
                      <w:szCs w:val="21"/>
                    </w:rPr>
                    <w:t>2024.12.24</w:t>
                  </w:r>
                </w:p>
              </w:tc>
              <w:tc>
                <w:tcPr>
                  <w:tcW w:w="817" w:type="pct"/>
                  <w:tcBorders>
                    <w:top w:val="nil"/>
                    <w:left w:val="nil"/>
                    <w:bottom w:val="single" w:color="auto" w:sz="4" w:space="0"/>
                    <w:right w:val="single" w:color="auto" w:sz="4" w:space="0"/>
                  </w:tcBorders>
                  <w:noWrap w:val="0"/>
                  <w:vAlign w:val="center"/>
                </w:tcPr>
                <w:p w14:paraId="4504F5D3">
                  <w:pPr>
                    <w:jc w:val="center"/>
                    <w:rPr>
                      <w:rFonts w:eastAsia="宋体"/>
                      <w:sz w:val="21"/>
                      <w:szCs w:val="21"/>
                    </w:rPr>
                  </w:pPr>
                  <w:r>
                    <w:rPr>
                      <w:rFonts w:hint="eastAsia" w:eastAsia="宋体"/>
                      <w:sz w:val="21"/>
                      <w:szCs w:val="21"/>
                    </w:rPr>
                    <w:t>昼间</w:t>
                  </w:r>
                </w:p>
              </w:tc>
              <w:tc>
                <w:tcPr>
                  <w:tcW w:w="833" w:type="pct"/>
                  <w:tcBorders>
                    <w:top w:val="nil"/>
                    <w:left w:val="nil"/>
                    <w:bottom w:val="single" w:color="auto" w:sz="4" w:space="0"/>
                    <w:right w:val="single" w:color="auto" w:sz="4" w:space="0"/>
                  </w:tcBorders>
                  <w:noWrap/>
                  <w:vAlign w:val="center"/>
                </w:tcPr>
                <w:p w14:paraId="4E09C4F9">
                  <w:pPr>
                    <w:jc w:val="center"/>
                    <w:rPr>
                      <w:rFonts w:eastAsia="宋体"/>
                      <w:sz w:val="21"/>
                      <w:szCs w:val="21"/>
                    </w:rPr>
                  </w:pPr>
                  <w:r>
                    <w:rPr>
                      <w:rFonts w:hint="eastAsia" w:eastAsia="宋体"/>
                      <w:sz w:val="21"/>
                      <w:szCs w:val="21"/>
                    </w:rPr>
                    <w:t>53.5</w:t>
                  </w:r>
                </w:p>
              </w:tc>
              <w:tc>
                <w:tcPr>
                  <w:tcW w:w="817" w:type="pct"/>
                  <w:tcBorders>
                    <w:top w:val="nil"/>
                    <w:left w:val="nil"/>
                    <w:bottom w:val="single" w:color="auto" w:sz="4" w:space="0"/>
                    <w:right w:val="single" w:color="auto" w:sz="4" w:space="0"/>
                  </w:tcBorders>
                  <w:noWrap w:val="0"/>
                  <w:vAlign w:val="center"/>
                </w:tcPr>
                <w:p w14:paraId="6C469970">
                  <w:pPr>
                    <w:jc w:val="center"/>
                    <w:rPr>
                      <w:rFonts w:eastAsia="宋体"/>
                      <w:sz w:val="21"/>
                      <w:szCs w:val="21"/>
                    </w:rPr>
                  </w:pPr>
                  <w:r>
                    <w:rPr>
                      <w:rFonts w:eastAsia="宋体"/>
                      <w:sz w:val="21"/>
                      <w:szCs w:val="21"/>
                    </w:rPr>
                    <w:t>65</w:t>
                  </w:r>
                </w:p>
              </w:tc>
              <w:tc>
                <w:tcPr>
                  <w:tcW w:w="817" w:type="pct"/>
                  <w:tcBorders>
                    <w:top w:val="nil"/>
                    <w:left w:val="nil"/>
                    <w:bottom w:val="single" w:color="auto" w:sz="4" w:space="0"/>
                    <w:right w:val="single" w:color="auto" w:sz="4" w:space="0"/>
                  </w:tcBorders>
                  <w:noWrap w:val="0"/>
                  <w:vAlign w:val="center"/>
                </w:tcPr>
                <w:p w14:paraId="6F184FF1">
                  <w:pPr>
                    <w:jc w:val="center"/>
                    <w:rPr>
                      <w:rFonts w:eastAsia="宋体"/>
                      <w:sz w:val="21"/>
                      <w:szCs w:val="21"/>
                    </w:rPr>
                  </w:pPr>
                  <w:r>
                    <w:rPr>
                      <w:rFonts w:hint="eastAsia" w:eastAsia="宋体"/>
                      <w:sz w:val="21"/>
                      <w:szCs w:val="21"/>
                    </w:rPr>
                    <w:t>达标</w:t>
                  </w:r>
                </w:p>
              </w:tc>
            </w:tr>
            <w:tr w14:paraId="60C87556">
              <w:tblPrEx>
                <w:tblCellMar>
                  <w:top w:w="0" w:type="dxa"/>
                  <w:left w:w="108" w:type="dxa"/>
                  <w:bottom w:w="0" w:type="dxa"/>
                  <w:right w:w="108" w:type="dxa"/>
                </w:tblCellMar>
              </w:tblPrEx>
              <w:trPr>
                <w:trHeight w:val="340" w:hRule="atLeast"/>
              </w:trPr>
              <w:tc>
                <w:tcPr>
                  <w:tcW w:w="819" w:type="pct"/>
                  <w:vMerge w:val="continue"/>
                  <w:tcBorders>
                    <w:top w:val="nil"/>
                    <w:left w:val="single" w:color="auto" w:sz="4" w:space="0"/>
                    <w:bottom w:val="single" w:color="auto" w:sz="4" w:space="0"/>
                    <w:right w:val="single" w:color="auto" w:sz="4" w:space="0"/>
                  </w:tcBorders>
                  <w:noWrap w:val="0"/>
                  <w:vAlign w:val="center"/>
                </w:tcPr>
                <w:p w14:paraId="23B9A397">
                  <w:pPr>
                    <w:jc w:val="center"/>
                    <w:rPr>
                      <w:rFonts w:eastAsia="宋体"/>
                      <w:sz w:val="21"/>
                      <w:szCs w:val="21"/>
                    </w:rPr>
                  </w:pPr>
                </w:p>
              </w:tc>
              <w:tc>
                <w:tcPr>
                  <w:tcW w:w="896" w:type="pct"/>
                  <w:vMerge w:val="continue"/>
                  <w:tcBorders>
                    <w:top w:val="nil"/>
                    <w:left w:val="single" w:color="auto" w:sz="4" w:space="0"/>
                    <w:bottom w:val="single" w:color="auto" w:sz="4" w:space="0"/>
                    <w:right w:val="single" w:color="auto" w:sz="4" w:space="0"/>
                  </w:tcBorders>
                  <w:noWrap w:val="0"/>
                  <w:vAlign w:val="center"/>
                </w:tcPr>
                <w:p w14:paraId="34C19369">
                  <w:pPr>
                    <w:jc w:val="center"/>
                    <w:rPr>
                      <w:rFonts w:eastAsia="宋体"/>
                      <w:sz w:val="21"/>
                      <w:szCs w:val="21"/>
                    </w:rPr>
                  </w:pPr>
                </w:p>
              </w:tc>
              <w:tc>
                <w:tcPr>
                  <w:tcW w:w="817" w:type="pct"/>
                  <w:tcBorders>
                    <w:top w:val="nil"/>
                    <w:left w:val="nil"/>
                    <w:bottom w:val="single" w:color="auto" w:sz="4" w:space="0"/>
                    <w:right w:val="single" w:color="auto" w:sz="4" w:space="0"/>
                  </w:tcBorders>
                  <w:noWrap w:val="0"/>
                  <w:vAlign w:val="center"/>
                </w:tcPr>
                <w:p w14:paraId="34074A6C">
                  <w:pPr>
                    <w:jc w:val="center"/>
                    <w:rPr>
                      <w:rFonts w:eastAsia="宋体"/>
                      <w:sz w:val="21"/>
                      <w:szCs w:val="21"/>
                    </w:rPr>
                  </w:pPr>
                  <w:r>
                    <w:rPr>
                      <w:rFonts w:hint="eastAsia" w:eastAsia="宋体"/>
                      <w:sz w:val="21"/>
                      <w:szCs w:val="21"/>
                    </w:rPr>
                    <w:t>夜间</w:t>
                  </w:r>
                </w:p>
              </w:tc>
              <w:tc>
                <w:tcPr>
                  <w:tcW w:w="833" w:type="pct"/>
                  <w:tcBorders>
                    <w:top w:val="nil"/>
                    <w:left w:val="nil"/>
                    <w:bottom w:val="single" w:color="auto" w:sz="4" w:space="0"/>
                    <w:right w:val="single" w:color="auto" w:sz="4" w:space="0"/>
                  </w:tcBorders>
                  <w:noWrap/>
                  <w:vAlign w:val="center"/>
                </w:tcPr>
                <w:p w14:paraId="4F41B28D">
                  <w:pPr>
                    <w:jc w:val="center"/>
                    <w:rPr>
                      <w:rFonts w:eastAsia="宋体"/>
                      <w:sz w:val="21"/>
                      <w:szCs w:val="21"/>
                    </w:rPr>
                  </w:pPr>
                  <w:r>
                    <w:rPr>
                      <w:rFonts w:hint="eastAsia" w:eastAsia="宋体"/>
                      <w:sz w:val="21"/>
                      <w:szCs w:val="21"/>
                    </w:rPr>
                    <w:t>48.2</w:t>
                  </w:r>
                </w:p>
              </w:tc>
              <w:tc>
                <w:tcPr>
                  <w:tcW w:w="817" w:type="pct"/>
                  <w:tcBorders>
                    <w:top w:val="nil"/>
                    <w:left w:val="nil"/>
                    <w:bottom w:val="single" w:color="auto" w:sz="4" w:space="0"/>
                    <w:right w:val="single" w:color="auto" w:sz="4" w:space="0"/>
                  </w:tcBorders>
                  <w:noWrap w:val="0"/>
                  <w:vAlign w:val="center"/>
                </w:tcPr>
                <w:p w14:paraId="4C0AC31D">
                  <w:pPr>
                    <w:jc w:val="center"/>
                    <w:rPr>
                      <w:rFonts w:eastAsia="宋体"/>
                      <w:sz w:val="21"/>
                      <w:szCs w:val="21"/>
                    </w:rPr>
                  </w:pPr>
                  <w:r>
                    <w:rPr>
                      <w:rFonts w:eastAsia="宋体"/>
                      <w:sz w:val="21"/>
                      <w:szCs w:val="21"/>
                    </w:rPr>
                    <w:t>55</w:t>
                  </w:r>
                </w:p>
              </w:tc>
              <w:tc>
                <w:tcPr>
                  <w:tcW w:w="817" w:type="pct"/>
                  <w:tcBorders>
                    <w:top w:val="nil"/>
                    <w:left w:val="nil"/>
                    <w:bottom w:val="single" w:color="auto" w:sz="4" w:space="0"/>
                    <w:right w:val="single" w:color="auto" w:sz="4" w:space="0"/>
                  </w:tcBorders>
                  <w:noWrap w:val="0"/>
                  <w:vAlign w:val="center"/>
                </w:tcPr>
                <w:p w14:paraId="2F39C0CC">
                  <w:pPr>
                    <w:jc w:val="center"/>
                    <w:rPr>
                      <w:rFonts w:eastAsia="宋体"/>
                      <w:sz w:val="21"/>
                      <w:szCs w:val="21"/>
                    </w:rPr>
                  </w:pPr>
                  <w:r>
                    <w:rPr>
                      <w:rFonts w:hint="eastAsia" w:eastAsia="宋体"/>
                      <w:sz w:val="21"/>
                      <w:szCs w:val="21"/>
                    </w:rPr>
                    <w:t>达标</w:t>
                  </w:r>
                </w:p>
              </w:tc>
            </w:tr>
          </w:tbl>
          <w:p w14:paraId="63FC8FE2">
            <w:pPr>
              <w:spacing w:line="500" w:lineRule="atLeast"/>
              <w:ind w:firstLine="482" w:firstLineChars="200"/>
              <w:jc w:val="left"/>
              <w:rPr>
                <w:rFonts w:hint="eastAsia"/>
                <w:b/>
                <w:bCs w:val="0"/>
                <w:sz w:val="24"/>
                <w:u w:val="single"/>
                <w:lang w:val="en-US" w:eastAsia="zh-CN"/>
              </w:rPr>
            </w:pPr>
            <w:r>
              <w:rPr>
                <w:rFonts w:hint="eastAsia"/>
                <w:b/>
                <w:bCs w:val="0"/>
                <w:sz w:val="24"/>
                <w:u w:val="single"/>
                <w:lang w:val="en-US" w:eastAsia="zh-CN"/>
              </w:rPr>
              <w:t>（4）危废、固废</w:t>
            </w:r>
          </w:p>
          <w:p w14:paraId="7FF8960E">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广西能化的固体废物主要分为工业固体废物及生活垃圾。工业固体废物为气化装置气化粗渣、细渣、净化及CO分离装置变换废催化剂、硫回收废催化剂、CO分子筛、制氢装置吸附塔废吸附剂、甲醇装置废合成催化剂和废脱硫剂、醋酸装置脱碘区废脱碘树脂、净化区废净化树脂、反应系统废催化剂、乙二醇装置草酸二甲酯合成羰化反应器废羰化催化剂、乙二醇合成加氢反应器废加氢催化剂等。</w:t>
            </w:r>
          </w:p>
          <w:p w14:paraId="7CD4A286">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其中，变换废催化剂、硫回收废催化剂、甲醇装置废合成催化剂和废脱硫剂、醋酸装置脱碘区废脱碘树脂、净化区废净化树脂、反应系统废催化剂、草酸二甲酯合成羰化反应器废羰化催化剂、乙二醇合成加氢反应器废加氢催化剂废药剂、化学品试剂瓶、废脱硝催化剂、废催化剂桶、废DMO、废矿物油、废旧过滤器滤芯、废吸油毡、废油桶、废油漆桶、废包装袋、地沟污泥、变换脱毒剂为危险废物。气化粗渣、细渣、CO分子筛、吸附塔废吸附剂为一般工业固废。</w:t>
            </w:r>
          </w:p>
          <w:p w14:paraId="726B3231">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①危险废物防治措施</w:t>
            </w:r>
          </w:p>
          <w:p w14:paraId="68ADD986">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厂区设有危废暂存间，面积约为490.29m2，最大可容纳1000t危险废物，现有工程共产生18t/a危险废物，危废间尚可容纳982t。危险废物暂存间进行了密闭设计，门口内侧设有围堰，底部做基础防渗，防渗层渗透系数小于 1×10</w:t>
            </w:r>
            <w:r>
              <w:rPr>
                <w:rFonts w:hint="eastAsia"/>
                <w:b w:val="0"/>
                <w:bCs/>
                <w:sz w:val="24"/>
                <w:u w:val="single"/>
                <w:vertAlign w:val="superscript"/>
                <w:lang w:val="en-US" w:eastAsia="zh-CN"/>
              </w:rPr>
              <w:t>-10</w:t>
            </w:r>
            <w:r>
              <w:rPr>
                <w:rFonts w:hint="eastAsia"/>
                <w:b w:val="0"/>
                <w:bCs/>
                <w:sz w:val="24"/>
                <w:u w:val="single"/>
                <w:lang w:val="en-US" w:eastAsia="zh-CN"/>
              </w:rPr>
              <w:t>cm/s，满足防扬散、防流失、防渗漏要求。危险废物从厂内运输车辆上的吨袋装好再运到危险废物暂存间暂存，定期交有资质的单位处理处置。危废暂存间为独立、密闭结构，防风、防雨、防晒、防盗。设置有安全照明设施和观察窗口，设置有导流沟、泄漏液体收集池；设置有排气扇等气体导出装置。危废管理上，危废间粘贴有危废警告标志，危废标签，各类危险废物均用防渗袋就地装好悬挂危废标签，分类堆存，危险废物建立有危废台账，项目危废暂存间的建设及管理均按照《危险废物贮存污染控制标准》（GB 18597-2023）及其修改单的环境保护要求进行建设。</w:t>
            </w:r>
          </w:p>
          <w:p w14:paraId="6CE5CEAB">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②一般工业固体废物处置措施</w:t>
            </w:r>
          </w:p>
          <w:p w14:paraId="174BAA86">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 xml:space="preserve">气化粗渣、细渣、吸附塔废吸附剂为一般工业固废。气化粗渣、细渣经气化装置配套细渣干燥设施处理后直接装车外运，其他一般工业固废堆存在临时渣场内，临时渣场按照《一般工业固体废物贮存和填埋污染控制标准》（GB 18599-2020）的要求进行防雨、防洪、防渗等的建设。 </w:t>
            </w:r>
          </w:p>
          <w:p w14:paraId="10072F37">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③生活垃圾处置措施</w:t>
            </w:r>
          </w:p>
          <w:p w14:paraId="021BCAF7">
            <w:pPr>
              <w:spacing w:line="500" w:lineRule="atLeast"/>
              <w:ind w:firstLine="480" w:firstLineChars="200"/>
              <w:jc w:val="left"/>
              <w:rPr>
                <w:rFonts w:hint="eastAsia"/>
                <w:b w:val="0"/>
                <w:bCs/>
                <w:sz w:val="24"/>
                <w:u w:val="single"/>
                <w:lang w:val="en-US" w:eastAsia="zh-CN"/>
              </w:rPr>
            </w:pPr>
            <w:r>
              <w:rPr>
                <w:rFonts w:hint="eastAsia"/>
                <w:b w:val="0"/>
                <w:bCs/>
                <w:sz w:val="24"/>
                <w:u w:val="single"/>
                <w:lang w:val="en-US" w:eastAsia="zh-CN"/>
              </w:rPr>
              <w:t>本项目生活垃圾主要是职工产生的垃圾，本项目在厂区生产区和生活区设置一些垃圾桶，配备专职的清洁员和必要的工具，负责清扫厂区，维持清洁卫生，每日定时把各点垃圾桶的垃圾收集到垃圾暂存点，每日清运一次。本项目产生的生活垃圾收集后由交由园区环卫部门处理。生活垃圾在得到妥善处理，并且暂存和收集应符合卫生要求，日产日清的情况下，对环境影响不大。</w:t>
            </w:r>
          </w:p>
          <w:p w14:paraId="17DCAD8C">
            <w:pPr>
              <w:pStyle w:val="51"/>
              <w:numPr>
                <w:ilvl w:val="2"/>
                <w:numId w:val="3"/>
              </w:numPr>
              <w:spacing w:line="500" w:lineRule="atLeast"/>
              <w:ind w:firstLineChars="0"/>
              <w:jc w:val="center"/>
              <w:rPr>
                <w:rFonts w:hint="eastAsia"/>
                <w:b w:val="0"/>
                <w:bCs/>
                <w:sz w:val="24"/>
                <w:u w:val="single"/>
                <w:lang w:val="en-US" w:eastAsia="zh-CN"/>
              </w:rPr>
            </w:pPr>
            <w:r>
              <w:rPr>
                <w:rFonts w:hint="eastAsia"/>
                <w:b/>
                <w:sz w:val="24"/>
                <w:u w:val="single"/>
                <w:lang w:val="en-US" w:eastAsia="zh-CN"/>
              </w:rPr>
              <w:t>现有工程危废、固废处置情况</w:t>
            </w:r>
          </w:p>
          <w:tbl>
            <w:tblPr>
              <w:tblStyle w:val="26"/>
              <w:tblW w:w="5000" w:type="pct"/>
              <w:tblInd w:w="0" w:type="dxa"/>
              <w:tblLayout w:type="fixed"/>
              <w:tblCellMar>
                <w:top w:w="0" w:type="dxa"/>
                <w:left w:w="108" w:type="dxa"/>
                <w:bottom w:w="0" w:type="dxa"/>
                <w:right w:w="108" w:type="dxa"/>
              </w:tblCellMar>
            </w:tblPr>
            <w:tblGrid>
              <w:gridCol w:w="518"/>
              <w:gridCol w:w="1787"/>
              <w:gridCol w:w="1806"/>
              <w:gridCol w:w="787"/>
              <w:gridCol w:w="787"/>
              <w:gridCol w:w="920"/>
              <w:gridCol w:w="738"/>
              <w:gridCol w:w="1080"/>
            </w:tblGrid>
            <w:tr w14:paraId="4F9B46D6">
              <w:tblPrEx>
                <w:tblCellMar>
                  <w:top w:w="0" w:type="dxa"/>
                  <w:left w:w="108" w:type="dxa"/>
                  <w:bottom w:w="0" w:type="dxa"/>
                  <w:right w:w="108" w:type="dxa"/>
                </w:tblCellMar>
              </w:tblPrEx>
              <w:trPr>
                <w:trHeight w:val="340" w:hRule="atLeast"/>
              </w:trPr>
              <w:tc>
                <w:tcPr>
                  <w:tcW w:w="307" w:type="pct"/>
                  <w:tcBorders>
                    <w:top w:val="single" w:color="auto" w:sz="4" w:space="0"/>
                    <w:left w:val="single" w:color="auto" w:sz="4" w:space="0"/>
                    <w:bottom w:val="single" w:color="auto" w:sz="4" w:space="0"/>
                    <w:right w:val="single" w:color="auto" w:sz="4" w:space="0"/>
                  </w:tcBorders>
                  <w:shd w:val="clear" w:color="auto" w:fill="auto"/>
                  <w:vAlign w:val="center"/>
                </w:tcPr>
                <w:p w14:paraId="06255EB9">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序号</w:t>
                  </w:r>
                </w:p>
              </w:tc>
              <w:tc>
                <w:tcPr>
                  <w:tcW w:w="1060" w:type="pct"/>
                  <w:tcBorders>
                    <w:top w:val="single" w:color="auto" w:sz="4" w:space="0"/>
                    <w:left w:val="nil"/>
                    <w:bottom w:val="single" w:color="auto" w:sz="4" w:space="0"/>
                    <w:right w:val="single" w:color="auto" w:sz="4" w:space="0"/>
                  </w:tcBorders>
                  <w:shd w:val="clear" w:color="auto" w:fill="auto"/>
                  <w:vAlign w:val="center"/>
                </w:tcPr>
                <w:p w14:paraId="313B8C38">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排出点</w:t>
                  </w:r>
                </w:p>
              </w:tc>
              <w:tc>
                <w:tcPr>
                  <w:tcW w:w="1072" w:type="pct"/>
                  <w:tcBorders>
                    <w:top w:val="single" w:color="auto" w:sz="4" w:space="0"/>
                    <w:left w:val="nil"/>
                    <w:bottom w:val="single" w:color="auto" w:sz="4" w:space="0"/>
                    <w:right w:val="single" w:color="auto" w:sz="4" w:space="0"/>
                  </w:tcBorders>
                  <w:shd w:val="clear" w:color="auto" w:fill="auto"/>
                  <w:vAlign w:val="center"/>
                </w:tcPr>
                <w:p w14:paraId="12BEF4CE">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固废名称</w:t>
                  </w:r>
                </w:p>
              </w:tc>
              <w:tc>
                <w:tcPr>
                  <w:tcW w:w="467" w:type="pct"/>
                  <w:tcBorders>
                    <w:top w:val="single" w:color="auto" w:sz="4" w:space="0"/>
                    <w:left w:val="nil"/>
                    <w:bottom w:val="single" w:color="auto" w:sz="4" w:space="0"/>
                    <w:right w:val="single" w:color="auto" w:sz="4" w:space="0"/>
                  </w:tcBorders>
                  <w:shd w:val="clear" w:color="auto" w:fill="auto"/>
                  <w:vAlign w:val="center"/>
                </w:tcPr>
                <w:p w14:paraId="6F713A52">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单位</w:t>
                  </w:r>
                </w:p>
              </w:tc>
              <w:tc>
                <w:tcPr>
                  <w:tcW w:w="467" w:type="pct"/>
                  <w:tcBorders>
                    <w:top w:val="single" w:color="auto" w:sz="4" w:space="0"/>
                    <w:left w:val="nil"/>
                    <w:bottom w:val="single" w:color="auto" w:sz="4" w:space="0"/>
                    <w:right w:val="single" w:color="auto" w:sz="4" w:space="0"/>
                  </w:tcBorders>
                  <w:shd w:val="clear" w:color="auto" w:fill="auto"/>
                  <w:vAlign w:val="center"/>
                </w:tcPr>
                <w:p w14:paraId="0429ED00">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排放特征</w:t>
                  </w:r>
                </w:p>
              </w:tc>
              <w:tc>
                <w:tcPr>
                  <w:tcW w:w="546" w:type="pct"/>
                  <w:tcBorders>
                    <w:top w:val="single" w:color="auto" w:sz="4" w:space="0"/>
                    <w:left w:val="nil"/>
                    <w:bottom w:val="single" w:color="auto" w:sz="4" w:space="0"/>
                    <w:right w:val="single" w:color="auto" w:sz="4" w:space="0"/>
                  </w:tcBorders>
                  <w:shd w:val="clear" w:color="auto" w:fill="auto"/>
                  <w:vAlign w:val="center"/>
                </w:tcPr>
                <w:p w14:paraId="0E17E1DA">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排放量</w:t>
                  </w:r>
                </w:p>
              </w:tc>
              <w:tc>
                <w:tcPr>
                  <w:tcW w:w="438" w:type="pct"/>
                  <w:tcBorders>
                    <w:top w:val="single" w:color="auto" w:sz="4" w:space="0"/>
                    <w:left w:val="nil"/>
                    <w:bottom w:val="single" w:color="auto" w:sz="4" w:space="0"/>
                    <w:right w:val="single" w:color="auto" w:sz="4" w:space="0"/>
                  </w:tcBorders>
                  <w:shd w:val="clear" w:color="auto" w:fill="auto"/>
                  <w:vAlign w:val="center"/>
                </w:tcPr>
                <w:p w14:paraId="5756003B">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处理方式</w:t>
                  </w:r>
                </w:p>
              </w:tc>
              <w:tc>
                <w:tcPr>
                  <w:tcW w:w="641" w:type="pct"/>
                  <w:tcBorders>
                    <w:top w:val="single" w:color="auto" w:sz="4" w:space="0"/>
                    <w:left w:val="nil"/>
                    <w:bottom w:val="single" w:color="auto" w:sz="4" w:space="0"/>
                    <w:right w:val="single" w:color="auto" w:sz="4" w:space="0"/>
                  </w:tcBorders>
                  <w:shd w:val="clear" w:color="auto" w:fill="auto"/>
                  <w:vAlign w:val="center"/>
                </w:tcPr>
                <w:p w14:paraId="5B5367F9">
                  <w:pPr>
                    <w:widowControl/>
                    <w:jc w:val="center"/>
                    <w:rPr>
                      <w:rFonts w:cs="宋体"/>
                      <w:bCs/>
                      <w:color w:val="000000" w:themeColor="text1"/>
                      <w:kern w:val="0"/>
                      <w:szCs w:val="21"/>
                      <w:u w:val="single"/>
                      <w14:textFill>
                        <w14:solidFill>
                          <w14:schemeClr w14:val="tx1"/>
                        </w14:solidFill>
                      </w14:textFill>
                    </w:rPr>
                  </w:pPr>
                  <w:r>
                    <w:rPr>
                      <w:rFonts w:hint="eastAsia" w:cs="宋体"/>
                      <w:bCs/>
                      <w:color w:val="000000" w:themeColor="text1"/>
                      <w:kern w:val="0"/>
                      <w:szCs w:val="21"/>
                      <w:u w:val="single"/>
                      <w14:textFill>
                        <w14:solidFill>
                          <w14:schemeClr w14:val="tx1"/>
                        </w14:solidFill>
                      </w14:textFill>
                    </w:rPr>
                    <w:t>备注</w:t>
                  </w:r>
                </w:p>
              </w:tc>
            </w:tr>
            <w:tr w14:paraId="447664DA">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2457470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p>
              </w:tc>
              <w:tc>
                <w:tcPr>
                  <w:tcW w:w="1060" w:type="pct"/>
                  <w:tcBorders>
                    <w:top w:val="nil"/>
                    <w:left w:val="nil"/>
                    <w:bottom w:val="single" w:color="auto" w:sz="4" w:space="0"/>
                    <w:right w:val="single" w:color="auto" w:sz="4" w:space="0"/>
                  </w:tcBorders>
                  <w:shd w:val="clear" w:color="auto" w:fill="auto"/>
                  <w:vAlign w:val="center"/>
                </w:tcPr>
                <w:p w14:paraId="4C0A1965">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气化装置</w:t>
                  </w:r>
                </w:p>
              </w:tc>
              <w:tc>
                <w:tcPr>
                  <w:tcW w:w="1072" w:type="pct"/>
                  <w:tcBorders>
                    <w:top w:val="nil"/>
                    <w:left w:val="nil"/>
                    <w:bottom w:val="single" w:color="auto" w:sz="4" w:space="0"/>
                    <w:right w:val="single" w:color="auto" w:sz="4" w:space="0"/>
                  </w:tcBorders>
                  <w:shd w:val="clear" w:color="auto" w:fill="auto"/>
                  <w:vAlign w:val="center"/>
                </w:tcPr>
                <w:p w14:paraId="3BA6D88F">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粗渣</w:t>
                  </w:r>
                </w:p>
              </w:tc>
              <w:tc>
                <w:tcPr>
                  <w:tcW w:w="467" w:type="pct"/>
                  <w:tcBorders>
                    <w:top w:val="nil"/>
                    <w:left w:val="nil"/>
                    <w:bottom w:val="single" w:color="auto" w:sz="4" w:space="0"/>
                    <w:right w:val="single" w:color="auto" w:sz="4" w:space="0"/>
                  </w:tcBorders>
                  <w:shd w:val="clear" w:color="auto" w:fill="auto"/>
                  <w:vAlign w:val="center"/>
                </w:tcPr>
                <w:p w14:paraId="28262BB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t/a</w:t>
                  </w:r>
                </w:p>
              </w:tc>
              <w:tc>
                <w:tcPr>
                  <w:tcW w:w="467" w:type="pct"/>
                  <w:tcBorders>
                    <w:top w:val="nil"/>
                    <w:left w:val="nil"/>
                    <w:bottom w:val="single" w:color="auto" w:sz="4" w:space="0"/>
                    <w:right w:val="single" w:color="auto" w:sz="4" w:space="0"/>
                  </w:tcBorders>
                  <w:shd w:val="clear" w:color="auto" w:fill="auto"/>
                  <w:vAlign w:val="center"/>
                </w:tcPr>
                <w:p w14:paraId="5AF2BE77">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连续</w:t>
                  </w:r>
                </w:p>
              </w:tc>
              <w:tc>
                <w:tcPr>
                  <w:tcW w:w="546" w:type="pct"/>
                  <w:tcBorders>
                    <w:top w:val="nil"/>
                    <w:left w:val="nil"/>
                    <w:bottom w:val="single" w:color="auto" w:sz="4" w:space="0"/>
                    <w:right w:val="single" w:color="auto" w:sz="4" w:space="0"/>
                  </w:tcBorders>
                  <w:shd w:val="clear" w:color="auto" w:fill="auto"/>
                  <w:vAlign w:val="center"/>
                </w:tcPr>
                <w:p w14:paraId="189D9F2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122959</w:t>
                  </w:r>
                </w:p>
              </w:tc>
              <w:tc>
                <w:tcPr>
                  <w:tcW w:w="438" w:type="pct"/>
                  <w:vMerge w:val="restart"/>
                  <w:tcBorders>
                    <w:top w:val="nil"/>
                    <w:left w:val="single" w:color="auto" w:sz="4" w:space="0"/>
                    <w:bottom w:val="single" w:color="auto" w:sz="4" w:space="0"/>
                    <w:right w:val="single" w:color="auto" w:sz="4" w:space="0"/>
                  </w:tcBorders>
                  <w:shd w:val="clear" w:color="auto" w:fill="auto"/>
                  <w:vAlign w:val="center"/>
                </w:tcPr>
                <w:p w14:paraId="030583BF">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外售至周围建材企业进行利用</w:t>
                  </w:r>
                </w:p>
              </w:tc>
              <w:tc>
                <w:tcPr>
                  <w:tcW w:w="641" w:type="pct"/>
                  <w:tcBorders>
                    <w:top w:val="nil"/>
                    <w:left w:val="nil"/>
                    <w:bottom w:val="single" w:color="auto" w:sz="4" w:space="0"/>
                    <w:right w:val="single" w:color="auto" w:sz="4" w:space="0"/>
                  </w:tcBorders>
                  <w:shd w:val="clear" w:color="auto" w:fill="auto"/>
                  <w:vAlign w:val="center"/>
                </w:tcPr>
                <w:p w14:paraId="41B0BA5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一般固废</w:t>
                  </w:r>
                </w:p>
              </w:tc>
            </w:tr>
            <w:tr w14:paraId="59577866">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861E0C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w:t>
                  </w:r>
                </w:p>
              </w:tc>
              <w:tc>
                <w:tcPr>
                  <w:tcW w:w="1060" w:type="pct"/>
                  <w:tcBorders>
                    <w:top w:val="nil"/>
                    <w:left w:val="single" w:color="auto" w:sz="4" w:space="0"/>
                    <w:bottom w:val="single" w:color="auto" w:sz="4" w:space="0"/>
                    <w:right w:val="single" w:color="auto" w:sz="4" w:space="0"/>
                  </w:tcBorders>
                  <w:shd w:val="clear" w:color="auto" w:fill="auto"/>
                  <w:vAlign w:val="center"/>
                </w:tcPr>
                <w:p w14:paraId="2EC58CB9">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灰水处理</w:t>
                  </w:r>
                </w:p>
              </w:tc>
              <w:tc>
                <w:tcPr>
                  <w:tcW w:w="1072" w:type="pct"/>
                  <w:tcBorders>
                    <w:top w:val="nil"/>
                    <w:left w:val="nil"/>
                    <w:bottom w:val="single" w:color="auto" w:sz="4" w:space="0"/>
                    <w:right w:val="single" w:color="auto" w:sz="4" w:space="0"/>
                  </w:tcBorders>
                  <w:shd w:val="clear" w:color="auto" w:fill="auto"/>
                  <w:vAlign w:val="center"/>
                </w:tcPr>
                <w:p w14:paraId="2B9CDBAF">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细渣（含水率</w:t>
                  </w:r>
                  <w:r>
                    <w:rPr>
                      <w:rFonts w:hint="eastAsia"/>
                      <w:color w:val="000000" w:themeColor="text1"/>
                      <w:kern w:val="0"/>
                      <w:szCs w:val="21"/>
                      <w:u w:val="single"/>
                      <w:lang w:val="en-US" w:eastAsia="zh-CN"/>
                      <w14:textFill>
                        <w14:solidFill>
                          <w14:schemeClr w14:val="tx1"/>
                        </w14:solidFill>
                      </w14:textFill>
                    </w:rPr>
                    <w:t>35</w:t>
                  </w:r>
                  <w:r>
                    <w:rPr>
                      <w:color w:val="000000" w:themeColor="text1"/>
                      <w:kern w:val="0"/>
                      <w:szCs w:val="21"/>
                      <w:u w:val="single"/>
                      <w14:textFill>
                        <w14:solidFill>
                          <w14:schemeClr w14:val="tx1"/>
                        </w14:solidFill>
                      </w14:textFill>
                    </w:rPr>
                    <w:t>%</w:t>
                  </w:r>
                  <w:r>
                    <w:rPr>
                      <w:rFonts w:hint="eastAsia" w:cs="宋体"/>
                      <w:color w:val="000000" w:themeColor="text1"/>
                      <w:kern w:val="0"/>
                      <w:szCs w:val="21"/>
                      <w:u w:val="single"/>
                      <w14:textFill>
                        <w14:solidFill>
                          <w14:schemeClr w14:val="tx1"/>
                        </w14:solidFill>
                      </w14:textFill>
                    </w:rPr>
                    <w:t>）</w:t>
                  </w:r>
                </w:p>
              </w:tc>
              <w:tc>
                <w:tcPr>
                  <w:tcW w:w="467" w:type="pct"/>
                  <w:tcBorders>
                    <w:top w:val="nil"/>
                    <w:left w:val="nil"/>
                    <w:bottom w:val="single" w:color="auto" w:sz="4" w:space="0"/>
                    <w:right w:val="single" w:color="auto" w:sz="4" w:space="0"/>
                  </w:tcBorders>
                  <w:shd w:val="clear" w:color="auto" w:fill="auto"/>
                  <w:vAlign w:val="center"/>
                </w:tcPr>
                <w:p w14:paraId="15DFD3E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t/a</w:t>
                  </w:r>
                </w:p>
              </w:tc>
              <w:tc>
                <w:tcPr>
                  <w:tcW w:w="467" w:type="pct"/>
                  <w:tcBorders>
                    <w:top w:val="nil"/>
                    <w:left w:val="nil"/>
                    <w:bottom w:val="single" w:color="auto" w:sz="4" w:space="0"/>
                    <w:right w:val="single" w:color="auto" w:sz="4" w:space="0"/>
                  </w:tcBorders>
                  <w:shd w:val="clear" w:color="auto" w:fill="auto"/>
                  <w:vAlign w:val="center"/>
                </w:tcPr>
                <w:p w14:paraId="21A258FC">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连续</w:t>
                  </w:r>
                </w:p>
              </w:tc>
              <w:tc>
                <w:tcPr>
                  <w:tcW w:w="546" w:type="pct"/>
                  <w:tcBorders>
                    <w:top w:val="nil"/>
                    <w:left w:val="nil"/>
                    <w:bottom w:val="single" w:color="auto" w:sz="4" w:space="0"/>
                    <w:right w:val="single" w:color="auto" w:sz="4" w:space="0"/>
                  </w:tcBorders>
                  <w:shd w:val="clear" w:color="auto" w:fill="auto"/>
                  <w:vAlign w:val="center"/>
                </w:tcPr>
                <w:p w14:paraId="3AC4A45A">
                  <w:pPr>
                    <w:widowControl/>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246154</w:t>
                  </w:r>
                </w:p>
              </w:tc>
              <w:tc>
                <w:tcPr>
                  <w:tcW w:w="438" w:type="pct"/>
                  <w:vMerge w:val="continue"/>
                  <w:tcBorders>
                    <w:top w:val="nil"/>
                    <w:left w:val="single" w:color="auto" w:sz="4" w:space="0"/>
                    <w:bottom w:val="single" w:color="auto" w:sz="4" w:space="0"/>
                    <w:right w:val="single" w:color="auto" w:sz="4" w:space="0"/>
                  </w:tcBorders>
                  <w:vAlign w:val="center"/>
                </w:tcPr>
                <w:p w14:paraId="2A2904F7">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58390035">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一般固废</w:t>
                  </w:r>
                </w:p>
              </w:tc>
            </w:tr>
            <w:tr w14:paraId="37DC3815">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6532B1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3</w:t>
                  </w:r>
                </w:p>
              </w:tc>
              <w:tc>
                <w:tcPr>
                  <w:tcW w:w="1060" w:type="pct"/>
                  <w:tcBorders>
                    <w:top w:val="nil"/>
                    <w:left w:val="nil"/>
                    <w:bottom w:val="single" w:color="auto" w:sz="4" w:space="0"/>
                    <w:right w:val="single" w:color="auto" w:sz="4" w:space="0"/>
                  </w:tcBorders>
                  <w:shd w:val="clear" w:color="auto" w:fill="auto"/>
                  <w:vAlign w:val="center"/>
                </w:tcPr>
                <w:p w14:paraId="7698F246">
                  <w:pPr>
                    <w:widowControl/>
                    <w:jc w:val="center"/>
                    <w:rPr>
                      <w:rFonts w:cs="宋体"/>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CO</w:t>
                  </w:r>
                  <w:r>
                    <w:rPr>
                      <w:rFonts w:hint="eastAsia"/>
                      <w:color w:val="000000" w:themeColor="text1"/>
                      <w:kern w:val="0"/>
                      <w:szCs w:val="21"/>
                      <w:u w:val="single"/>
                      <w14:textFill>
                        <w14:solidFill>
                          <w14:schemeClr w14:val="tx1"/>
                        </w14:solidFill>
                      </w14:textFill>
                    </w:rPr>
                    <w:t>分离装置</w:t>
                  </w:r>
                </w:p>
              </w:tc>
              <w:tc>
                <w:tcPr>
                  <w:tcW w:w="1072" w:type="pct"/>
                  <w:tcBorders>
                    <w:top w:val="nil"/>
                    <w:left w:val="nil"/>
                    <w:bottom w:val="single" w:color="auto" w:sz="4" w:space="0"/>
                    <w:right w:val="single" w:color="auto" w:sz="4" w:space="0"/>
                  </w:tcBorders>
                  <w:shd w:val="clear" w:color="auto" w:fill="auto"/>
                  <w:vAlign w:val="center"/>
                </w:tcPr>
                <w:p w14:paraId="51552E37">
                  <w:pPr>
                    <w:widowControl/>
                    <w:jc w:val="center"/>
                    <w:rPr>
                      <w:rFonts w:cs="宋体"/>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CO</w:t>
                  </w:r>
                  <w:r>
                    <w:rPr>
                      <w:rFonts w:hint="eastAsia"/>
                      <w:color w:val="000000" w:themeColor="text1"/>
                      <w:kern w:val="0"/>
                      <w:szCs w:val="21"/>
                      <w:u w:val="single"/>
                      <w14:textFill>
                        <w14:solidFill>
                          <w14:schemeClr w14:val="tx1"/>
                        </w14:solidFill>
                      </w14:textFill>
                    </w:rPr>
                    <w:t>分子筛</w:t>
                  </w:r>
                </w:p>
              </w:tc>
              <w:tc>
                <w:tcPr>
                  <w:tcW w:w="467" w:type="pct"/>
                  <w:tcBorders>
                    <w:top w:val="nil"/>
                    <w:left w:val="nil"/>
                    <w:bottom w:val="single" w:color="auto" w:sz="4" w:space="0"/>
                    <w:right w:val="single" w:color="auto" w:sz="4" w:space="0"/>
                  </w:tcBorders>
                  <w:shd w:val="clear" w:color="auto" w:fill="auto"/>
                  <w:vAlign w:val="center"/>
                </w:tcPr>
                <w:p w14:paraId="6AEFC84B">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次</w:t>
                  </w:r>
                </w:p>
              </w:tc>
              <w:tc>
                <w:tcPr>
                  <w:tcW w:w="467" w:type="pct"/>
                  <w:tcBorders>
                    <w:top w:val="nil"/>
                    <w:left w:val="nil"/>
                    <w:bottom w:val="single" w:color="auto" w:sz="4" w:space="0"/>
                    <w:right w:val="single" w:color="auto" w:sz="4" w:space="0"/>
                  </w:tcBorders>
                  <w:shd w:val="clear" w:color="auto" w:fill="auto"/>
                  <w:vAlign w:val="center"/>
                </w:tcPr>
                <w:p w14:paraId="1784CC9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/5</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1F54BCBC">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35</w:t>
                  </w:r>
                </w:p>
              </w:tc>
              <w:tc>
                <w:tcPr>
                  <w:tcW w:w="438" w:type="pct"/>
                  <w:vMerge w:val="restart"/>
                  <w:tcBorders>
                    <w:top w:val="nil"/>
                    <w:left w:val="nil"/>
                    <w:right w:val="single" w:color="auto" w:sz="4" w:space="0"/>
                  </w:tcBorders>
                  <w:shd w:val="clear" w:color="auto" w:fill="auto"/>
                  <w:vAlign w:val="center"/>
                </w:tcPr>
                <w:p w14:paraId="700EFDE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收集后回用</w:t>
                  </w:r>
                </w:p>
              </w:tc>
              <w:tc>
                <w:tcPr>
                  <w:tcW w:w="641" w:type="pct"/>
                  <w:tcBorders>
                    <w:top w:val="nil"/>
                    <w:left w:val="nil"/>
                    <w:bottom w:val="single" w:color="auto" w:sz="4" w:space="0"/>
                    <w:right w:val="single" w:color="auto" w:sz="4" w:space="0"/>
                  </w:tcBorders>
                  <w:shd w:val="clear" w:color="auto" w:fill="auto"/>
                  <w:vAlign w:val="center"/>
                </w:tcPr>
                <w:p w14:paraId="5638F484">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一般固废</w:t>
                  </w:r>
                </w:p>
              </w:tc>
            </w:tr>
            <w:tr w14:paraId="6E7A7B27">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25A8895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4</w:t>
                  </w:r>
                </w:p>
              </w:tc>
              <w:tc>
                <w:tcPr>
                  <w:tcW w:w="1060" w:type="pct"/>
                  <w:tcBorders>
                    <w:top w:val="nil"/>
                    <w:left w:val="nil"/>
                    <w:bottom w:val="single" w:color="auto" w:sz="4" w:space="0"/>
                    <w:right w:val="single" w:color="auto" w:sz="4" w:space="0"/>
                  </w:tcBorders>
                  <w:shd w:val="clear" w:color="auto" w:fill="auto"/>
                  <w:vAlign w:val="center"/>
                </w:tcPr>
                <w:p w14:paraId="360F57B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吸附塔</w:t>
                  </w:r>
                </w:p>
              </w:tc>
              <w:tc>
                <w:tcPr>
                  <w:tcW w:w="1072" w:type="pct"/>
                  <w:tcBorders>
                    <w:top w:val="nil"/>
                    <w:left w:val="nil"/>
                    <w:bottom w:val="single" w:color="auto" w:sz="4" w:space="0"/>
                    <w:right w:val="single" w:color="auto" w:sz="4" w:space="0"/>
                  </w:tcBorders>
                  <w:shd w:val="clear" w:color="auto" w:fill="auto"/>
                  <w:vAlign w:val="center"/>
                </w:tcPr>
                <w:p w14:paraId="3CB503FA">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废吸附剂</w:t>
                  </w:r>
                </w:p>
              </w:tc>
              <w:tc>
                <w:tcPr>
                  <w:tcW w:w="467" w:type="pct"/>
                  <w:tcBorders>
                    <w:top w:val="nil"/>
                    <w:left w:val="nil"/>
                    <w:bottom w:val="single" w:color="auto" w:sz="4" w:space="0"/>
                    <w:right w:val="single" w:color="auto" w:sz="4" w:space="0"/>
                  </w:tcBorders>
                  <w:shd w:val="clear" w:color="auto" w:fill="auto"/>
                  <w:vAlign w:val="center"/>
                </w:tcPr>
                <w:p w14:paraId="32BC87C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次</w:t>
                  </w:r>
                </w:p>
              </w:tc>
              <w:tc>
                <w:tcPr>
                  <w:tcW w:w="467" w:type="pct"/>
                  <w:tcBorders>
                    <w:top w:val="nil"/>
                    <w:left w:val="nil"/>
                    <w:bottom w:val="single" w:color="auto" w:sz="4" w:space="0"/>
                    <w:right w:val="single" w:color="auto" w:sz="4" w:space="0"/>
                  </w:tcBorders>
                  <w:shd w:val="clear" w:color="auto" w:fill="auto"/>
                  <w:vAlign w:val="center"/>
                </w:tcPr>
                <w:p w14:paraId="1CAD84D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/20</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4EF2CBDD">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618</w:t>
                  </w:r>
                </w:p>
              </w:tc>
              <w:tc>
                <w:tcPr>
                  <w:tcW w:w="438" w:type="pct"/>
                  <w:vMerge w:val="continue"/>
                  <w:tcBorders>
                    <w:left w:val="nil"/>
                    <w:bottom w:val="single" w:color="auto" w:sz="4" w:space="0"/>
                    <w:right w:val="single" w:color="auto" w:sz="4" w:space="0"/>
                  </w:tcBorders>
                  <w:shd w:val="clear" w:color="auto" w:fill="auto"/>
                  <w:vAlign w:val="center"/>
                </w:tcPr>
                <w:p w14:paraId="39963854">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2D15EBD4">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一般固废</w:t>
                  </w:r>
                </w:p>
              </w:tc>
            </w:tr>
            <w:tr w14:paraId="4BC72F8A">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50DCE992">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5</w:t>
                  </w:r>
                </w:p>
              </w:tc>
              <w:tc>
                <w:tcPr>
                  <w:tcW w:w="1060" w:type="pct"/>
                  <w:tcBorders>
                    <w:top w:val="nil"/>
                    <w:left w:val="nil"/>
                    <w:bottom w:val="single" w:color="auto" w:sz="4" w:space="0"/>
                    <w:right w:val="single" w:color="auto" w:sz="4" w:space="0"/>
                  </w:tcBorders>
                  <w:shd w:val="clear" w:color="auto" w:fill="auto"/>
                  <w:vAlign w:val="center"/>
                </w:tcPr>
                <w:p w14:paraId="7CB41F9A">
                  <w:pPr>
                    <w:widowControl/>
                    <w:jc w:val="center"/>
                    <w:rPr>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变换</w:t>
                  </w:r>
                </w:p>
              </w:tc>
              <w:tc>
                <w:tcPr>
                  <w:tcW w:w="1072" w:type="pct"/>
                  <w:tcBorders>
                    <w:top w:val="nil"/>
                    <w:left w:val="nil"/>
                    <w:bottom w:val="single" w:color="auto" w:sz="4" w:space="0"/>
                    <w:right w:val="single" w:color="auto" w:sz="4" w:space="0"/>
                  </w:tcBorders>
                  <w:shd w:val="clear" w:color="auto" w:fill="auto"/>
                  <w:vAlign w:val="center"/>
                </w:tcPr>
                <w:p w14:paraId="25CD1DB7">
                  <w:pPr>
                    <w:widowControl/>
                    <w:jc w:val="center"/>
                    <w:rPr>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变换废催化剂</w:t>
                  </w:r>
                </w:p>
              </w:tc>
              <w:tc>
                <w:tcPr>
                  <w:tcW w:w="467" w:type="pct"/>
                  <w:tcBorders>
                    <w:top w:val="nil"/>
                    <w:left w:val="nil"/>
                    <w:bottom w:val="single" w:color="auto" w:sz="4" w:space="0"/>
                    <w:right w:val="single" w:color="auto" w:sz="4" w:space="0"/>
                  </w:tcBorders>
                  <w:shd w:val="clear" w:color="auto" w:fill="auto"/>
                  <w:vAlign w:val="center"/>
                </w:tcPr>
                <w:p w14:paraId="438B870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07AF27E2">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642F797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220.3</w:t>
                  </w:r>
                </w:p>
              </w:tc>
              <w:tc>
                <w:tcPr>
                  <w:tcW w:w="438" w:type="pct"/>
                  <w:vMerge w:val="restart"/>
                  <w:tcBorders>
                    <w:top w:val="nil"/>
                    <w:left w:val="nil"/>
                    <w:right w:val="single" w:color="auto" w:sz="4" w:space="0"/>
                  </w:tcBorders>
                  <w:shd w:val="clear" w:color="auto" w:fill="auto"/>
                  <w:vAlign w:val="center"/>
                </w:tcPr>
                <w:p w14:paraId="628C7472">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资质单置位处</w:t>
                  </w:r>
                </w:p>
              </w:tc>
              <w:tc>
                <w:tcPr>
                  <w:tcW w:w="641" w:type="pct"/>
                  <w:tcBorders>
                    <w:top w:val="nil"/>
                    <w:left w:val="nil"/>
                    <w:bottom w:val="single" w:color="auto" w:sz="4" w:space="0"/>
                    <w:right w:val="single" w:color="auto" w:sz="4" w:space="0"/>
                  </w:tcBorders>
                  <w:shd w:val="clear" w:color="auto" w:fill="auto"/>
                  <w:vAlign w:val="center"/>
                </w:tcPr>
                <w:p w14:paraId="35DE5D12">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46CDFF2D">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1436ADBA">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6</w:t>
                  </w:r>
                </w:p>
              </w:tc>
              <w:tc>
                <w:tcPr>
                  <w:tcW w:w="1060" w:type="pct"/>
                  <w:tcBorders>
                    <w:top w:val="nil"/>
                    <w:left w:val="nil"/>
                    <w:bottom w:val="single" w:color="auto" w:sz="4" w:space="0"/>
                    <w:right w:val="single" w:color="auto" w:sz="4" w:space="0"/>
                  </w:tcBorders>
                  <w:shd w:val="clear" w:color="auto" w:fill="auto"/>
                  <w:vAlign w:val="center"/>
                </w:tcPr>
                <w:p w14:paraId="4F2938E6">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硫回收</w:t>
                  </w:r>
                </w:p>
              </w:tc>
              <w:tc>
                <w:tcPr>
                  <w:tcW w:w="1072" w:type="pct"/>
                  <w:tcBorders>
                    <w:top w:val="nil"/>
                    <w:left w:val="nil"/>
                    <w:bottom w:val="single" w:color="auto" w:sz="4" w:space="0"/>
                    <w:right w:val="single" w:color="auto" w:sz="4" w:space="0"/>
                  </w:tcBorders>
                  <w:shd w:val="clear" w:color="auto" w:fill="auto"/>
                  <w:vAlign w:val="center"/>
                </w:tcPr>
                <w:p w14:paraId="6B583A7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硫回收废催化剂</w:t>
                  </w:r>
                </w:p>
              </w:tc>
              <w:tc>
                <w:tcPr>
                  <w:tcW w:w="467" w:type="pct"/>
                  <w:tcBorders>
                    <w:top w:val="nil"/>
                    <w:left w:val="nil"/>
                    <w:bottom w:val="single" w:color="auto" w:sz="4" w:space="0"/>
                    <w:right w:val="single" w:color="auto" w:sz="4" w:space="0"/>
                  </w:tcBorders>
                  <w:shd w:val="clear" w:color="auto" w:fill="auto"/>
                  <w:vAlign w:val="center"/>
                </w:tcPr>
                <w:p w14:paraId="161F837A">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次</w:t>
                  </w:r>
                </w:p>
              </w:tc>
              <w:tc>
                <w:tcPr>
                  <w:tcW w:w="467" w:type="pct"/>
                  <w:tcBorders>
                    <w:top w:val="nil"/>
                    <w:left w:val="nil"/>
                    <w:bottom w:val="single" w:color="auto" w:sz="4" w:space="0"/>
                    <w:right w:val="single" w:color="auto" w:sz="4" w:space="0"/>
                  </w:tcBorders>
                  <w:shd w:val="clear" w:color="auto" w:fill="auto"/>
                  <w:vAlign w:val="center"/>
                </w:tcPr>
                <w:p w14:paraId="2AD6222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52D8379A">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70</w:t>
                  </w:r>
                </w:p>
              </w:tc>
              <w:tc>
                <w:tcPr>
                  <w:tcW w:w="438" w:type="pct"/>
                  <w:vMerge w:val="continue"/>
                  <w:tcBorders>
                    <w:left w:val="nil"/>
                    <w:right w:val="single" w:color="auto" w:sz="4" w:space="0"/>
                  </w:tcBorders>
                  <w:shd w:val="clear" w:color="auto" w:fill="auto"/>
                  <w:vAlign w:val="center"/>
                </w:tcPr>
                <w:p w14:paraId="583F528E">
                  <w:pPr>
                    <w:ind w:firstLine="420"/>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2F990D7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8517B41">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0237855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7</w:t>
                  </w:r>
                </w:p>
              </w:tc>
              <w:tc>
                <w:tcPr>
                  <w:tcW w:w="1060" w:type="pct"/>
                  <w:tcBorders>
                    <w:top w:val="nil"/>
                    <w:left w:val="nil"/>
                    <w:bottom w:val="single" w:color="auto" w:sz="4" w:space="0"/>
                    <w:right w:val="single" w:color="auto" w:sz="4" w:space="0"/>
                  </w:tcBorders>
                  <w:shd w:val="clear" w:color="auto" w:fill="auto"/>
                  <w:vAlign w:val="center"/>
                </w:tcPr>
                <w:p w14:paraId="22B43114">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甲醇合成脱硫保护剂</w:t>
                  </w:r>
                </w:p>
              </w:tc>
              <w:tc>
                <w:tcPr>
                  <w:tcW w:w="1072" w:type="pct"/>
                  <w:tcBorders>
                    <w:top w:val="nil"/>
                    <w:left w:val="nil"/>
                    <w:bottom w:val="single" w:color="auto" w:sz="4" w:space="0"/>
                    <w:right w:val="single" w:color="auto" w:sz="4" w:space="0"/>
                  </w:tcBorders>
                  <w:shd w:val="clear" w:color="auto" w:fill="auto"/>
                  <w:vAlign w:val="center"/>
                </w:tcPr>
                <w:p w14:paraId="26E879DC">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有机硫水解催化剂</w:t>
                  </w:r>
                </w:p>
              </w:tc>
              <w:tc>
                <w:tcPr>
                  <w:tcW w:w="467" w:type="pct"/>
                  <w:tcBorders>
                    <w:top w:val="nil"/>
                    <w:left w:val="nil"/>
                    <w:bottom w:val="single" w:color="auto" w:sz="4" w:space="0"/>
                    <w:right w:val="single" w:color="auto" w:sz="4" w:space="0"/>
                  </w:tcBorders>
                  <w:shd w:val="clear" w:color="auto" w:fill="auto"/>
                  <w:vAlign w:val="center"/>
                </w:tcPr>
                <w:p w14:paraId="090CEB9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次</w:t>
                  </w:r>
                </w:p>
              </w:tc>
              <w:tc>
                <w:tcPr>
                  <w:tcW w:w="467" w:type="pct"/>
                  <w:tcBorders>
                    <w:top w:val="nil"/>
                    <w:left w:val="nil"/>
                    <w:bottom w:val="single" w:color="auto" w:sz="4" w:space="0"/>
                    <w:right w:val="single" w:color="auto" w:sz="4" w:space="0"/>
                  </w:tcBorders>
                  <w:shd w:val="clear" w:color="auto" w:fill="auto"/>
                  <w:vAlign w:val="center"/>
                </w:tcPr>
                <w:p w14:paraId="3206AEE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7335580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18</w:t>
                  </w:r>
                </w:p>
              </w:tc>
              <w:tc>
                <w:tcPr>
                  <w:tcW w:w="438" w:type="pct"/>
                  <w:vMerge w:val="continue"/>
                  <w:tcBorders>
                    <w:left w:val="single" w:color="auto" w:sz="4" w:space="0"/>
                    <w:right w:val="single" w:color="auto" w:sz="4" w:space="0"/>
                  </w:tcBorders>
                  <w:shd w:val="clear" w:color="auto" w:fill="auto"/>
                  <w:vAlign w:val="center"/>
                </w:tcPr>
                <w:p w14:paraId="47DAC006">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7957E06E">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32E8F4A8">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0DB5FCC0">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8</w:t>
                  </w:r>
                </w:p>
              </w:tc>
              <w:tc>
                <w:tcPr>
                  <w:tcW w:w="1060" w:type="pct"/>
                  <w:tcBorders>
                    <w:top w:val="nil"/>
                    <w:left w:val="nil"/>
                    <w:bottom w:val="single" w:color="auto" w:sz="4" w:space="0"/>
                    <w:right w:val="single" w:color="auto" w:sz="4" w:space="0"/>
                  </w:tcBorders>
                  <w:shd w:val="clear" w:color="auto" w:fill="auto"/>
                  <w:vAlign w:val="center"/>
                </w:tcPr>
                <w:p w14:paraId="2F481D46">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甲醇合成脱硫保护剂</w:t>
                  </w:r>
                </w:p>
              </w:tc>
              <w:tc>
                <w:tcPr>
                  <w:tcW w:w="1072" w:type="pct"/>
                  <w:tcBorders>
                    <w:top w:val="nil"/>
                    <w:left w:val="nil"/>
                    <w:bottom w:val="single" w:color="auto" w:sz="4" w:space="0"/>
                    <w:right w:val="single" w:color="auto" w:sz="4" w:space="0"/>
                  </w:tcBorders>
                  <w:shd w:val="clear" w:color="auto" w:fill="auto"/>
                  <w:vAlign w:val="center"/>
                </w:tcPr>
                <w:p w14:paraId="192C6A6B">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脱硫剂</w:t>
                  </w:r>
                </w:p>
              </w:tc>
              <w:tc>
                <w:tcPr>
                  <w:tcW w:w="467" w:type="pct"/>
                  <w:tcBorders>
                    <w:top w:val="nil"/>
                    <w:left w:val="nil"/>
                    <w:bottom w:val="single" w:color="auto" w:sz="4" w:space="0"/>
                    <w:right w:val="single" w:color="auto" w:sz="4" w:space="0"/>
                  </w:tcBorders>
                  <w:shd w:val="clear" w:color="auto" w:fill="auto"/>
                  <w:vAlign w:val="center"/>
                </w:tcPr>
                <w:p w14:paraId="6E6A34A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次</w:t>
                  </w:r>
                </w:p>
              </w:tc>
              <w:tc>
                <w:tcPr>
                  <w:tcW w:w="467" w:type="pct"/>
                  <w:tcBorders>
                    <w:top w:val="nil"/>
                    <w:left w:val="nil"/>
                    <w:bottom w:val="single" w:color="auto" w:sz="4" w:space="0"/>
                    <w:right w:val="single" w:color="auto" w:sz="4" w:space="0"/>
                  </w:tcBorders>
                  <w:shd w:val="clear" w:color="auto" w:fill="auto"/>
                  <w:vAlign w:val="center"/>
                </w:tcPr>
                <w:p w14:paraId="158417A8">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5AA014F8">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18</w:t>
                  </w:r>
                </w:p>
              </w:tc>
              <w:tc>
                <w:tcPr>
                  <w:tcW w:w="438" w:type="pct"/>
                  <w:vMerge w:val="continue"/>
                  <w:tcBorders>
                    <w:left w:val="single" w:color="auto" w:sz="4" w:space="0"/>
                    <w:right w:val="single" w:color="auto" w:sz="4" w:space="0"/>
                  </w:tcBorders>
                  <w:vAlign w:val="center"/>
                </w:tcPr>
                <w:p w14:paraId="4D60A5D0">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noWrap/>
                  <w:vAlign w:val="center"/>
                </w:tcPr>
                <w:p w14:paraId="0CBA8821">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290E4B0A">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638CF29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9</w:t>
                  </w:r>
                </w:p>
              </w:tc>
              <w:tc>
                <w:tcPr>
                  <w:tcW w:w="1060" w:type="pct"/>
                  <w:tcBorders>
                    <w:top w:val="nil"/>
                    <w:left w:val="nil"/>
                    <w:bottom w:val="single" w:color="auto" w:sz="4" w:space="0"/>
                    <w:right w:val="single" w:color="auto" w:sz="4" w:space="0"/>
                  </w:tcBorders>
                  <w:shd w:val="clear" w:color="auto" w:fill="auto"/>
                  <w:vAlign w:val="center"/>
                </w:tcPr>
                <w:p w14:paraId="798398B6">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甲醇合成塔</w:t>
                  </w:r>
                </w:p>
              </w:tc>
              <w:tc>
                <w:tcPr>
                  <w:tcW w:w="1072" w:type="pct"/>
                  <w:tcBorders>
                    <w:top w:val="nil"/>
                    <w:left w:val="nil"/>
                    <w:bottom w:val="single" w:color="auto" w:sz="4" w:space="0"/>
                    <w:right w:val="single" w:color="auto" w:sz="4" w:space="0"/>
                  </w:tcBorders>
                  <w:shd w:val="clear" w:color="auto" w:fill="auto"/>
                  <w:vAlign w:val="center"/>
                </w:tcPr>
                <w:p w14:paraId="1CC52F41">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废合成催化剂</w:t>
                  </w:r>
                </w:p>
              </w:tc>
              <w:tc>
                <w:tcPr>
                  <w:tcW w:w="467" w:type="pct"/>
                  <w:tcBorders>
                    <w:top w:val="nil"/>
                    <w:left w:val="nil"/>
                    <w:bottom w:val="single" w:color="auto" w:sz="4" w:space="0"/>
                    <w:right w:val="single" w:color="auto" w:sz="4" w:space="0"/>
                  </w:tcBorders>
                  <w:shd w:val="clear" w:color="auto" w:fill="auto"/>
                  <w:vAlign w:val="center"/>
                </w:tcPr>
                <w:p w14:paraId="5FF411EC">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1545784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/4</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25F0A3ED">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45.9</w:t>
                  </w:r>
                </w:p>
              </w:tc>
              <w:tc>
                <w:tcPr>
                  <w:tcW w:w="438" w:type="pct"/>
                  <w:vMerge w:val="continue"/>
                  <w:tcBorders>
                    <w:left w:val="single" w:color="auto" w:sz="4" w:space="0"/>
                    <w:right w:val="single" w:color="auto" w:sz="4" w:space="0"/>
                  </w:tcBorders>
                  <w:vAlign w:val="center"/>
                </w:tcPr>
                <w:p w14:paraId="335EA2E6">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4E0074DB">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1C0AC344">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18EFDB00">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10</w:t>
                  </w:r>
                </w:p>
              </w:tc>
              <w:tc>
                <w:tcPr>
                  <w:tcW w:w="1060" w:type="pct"/>
                  <w:tcBorders>
                    <w:top w:val="nil"/>
                    <w:left w:val="nil"/>
                    <w:bottom w:val="single" w:color="auto" w:sz="4" w:space="0"/>
                    <w:right w:val="single" w:color="auto" w:sz="4" w:space="0"/>
                  </w:tcBorders>
                  <w:shd w:val="clear" w:color="auto" w:fill="auto"/>
                  <w:vAlign w:val="center"/>
                </w:tcPr>
                <w:p w14:paraId="21EF18AD">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脱碘区</w:t>
                  </w:r>
                </w:p>
              </w:tc>
              <w:tc>
                <w:tcPr>
                  <w:tcW w:w="1072" w:type="pct"/>
                  <w:tcBorders>
                    <w:top w:val="nil"/>
                    <w:left w:val="nil"/>
                    <w:bottom w:val="single" w:color="auto" w:sz="4" w:space="0"/>
                    <w:right w:val="single" w:color="auto" w:sz="4" w:space="0"/>
                  </w:tcBorders>
                  <w:shd w:val="clear" w:color="auto" w:fill="auto"/>
                  <w:vAlign w:val="center"/>
                </w:tcPr>
                <w:p w14:paraId="05A04DAE">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废脱碘树脂</w:t>
                  </w:r>
                </w:p>
              </w:tc>
              <w:tc>
                <w:tcPr>
                  <w:tcW w:w="467" w:type="pct"/>
                  <w:tcBorders>
                    <w:top w:val="nil"/>
                    <w:left w:val="nil"/>
                    <w:bottom w:val="single" w:color="auto" w:sz="4" w:space="0"/>
                    <w:right w:val="single" w:color="auto" w:sz="4" w:space="0"/>
                  </w:tcBorders>
                  <w:shd w:val="clear" w:color="auto" w:fill="auto"/>
                  <w:vAlign w:val="center"/>
                </w:tcPr>
                <w:p w14:paraId="29A771D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16BEF8F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/2</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34C322F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20</w:t>
                  </w:r>
                </w:p>
              </w:tc>
              <w:tc>
                <w:tcPr>
                  <w:tcW w:w="438" w:type="pct"/>
                  <w:vMerge w:val="continue"/>
                  <w:tcBorders>
                    <w:left w:val="single" w:color="auto" w:sz="4" w:space="0"/>
                    <w:right w:val="single" w:color="auto" w:sz="4" w:space="0"/>
                  </w:tcBorders>
                  <w:vAlign w:val="center"/>
                </w:tcPr>
                <w:p w14:paraId="4B7E1871">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1FB4C9B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753BD2E2">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72B4E02">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11</w:t>
                  </w:r>
                </w:p>
              </w:tc>
              <w:tc>
                <w:tcPr>
                  <w:tcW w:w="1060" w:type="pct"/>
                  <w:tcBorders>
                    <w:top w:val="nil"/>
                    <w:left w:val="nil"/>
                    <w:bottom w:val="single" w:color="auto" w:sz="4" w:space="0"/>
                    <w:right w:val="single" w:color="auto" w:sz="4" w:space="0"/>
                  </w:tcBorders>
                  <w:shd w:val="clear" w:color="auto" w:fill="auto"/>
                  <w:vAlign w:val="center"/>
                </w:tcPr>
                <w:p w14:paraId="15B39166">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净化区</w:t>
                  </w:r>
                </w:p>
              </w:tc>
              <w:tc>
                <w:tcPr>
                  <w:tcW w:w="1072" w:type="pct"/>
                  <w:tcBorders>
                    <w:top w:val="nil"/>
                    <w:left w:val="nil"/>
                    <w:bottom w:val="single" w:color="auto" w:sz="4" w:space="0"/>
                    <w:right w:val="single" w:color="auto" w:sz="4" w:space="0"/>
                  </w:tcBorders>
                  <w:shd w:val="clear" w:color="auto" w:fill="auto"/>
                  <w:vAlign w:val="center"/>
                </w:tcPr>
                <w:p w14:paraId="3F929C8E">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净化树脂</w:t>
                  </w:r>
                </w:p>
              </w:tc>
              <w:tc>
                <w:tcPr>
                  <w:tcW w:w="467" w:type="pct"/>
                  <w:tcBorders>
                    <w:top w:val="nil"/>
                    <w:left w:val="nil"/>
                    <w:bottom w:val="single" w:color="auto" w:sz="4" w:space="0"/>
                    <w:right w:val="single" w:color="auto" w:sz="4" w:space="0"/>
                  </w:tcBorders>
                  <w:shd w:val="clear" w:color="auto" w:fill="auto"/>
                  <w:vAlign w:val="center"/>
                </w:tcPr>
                <w:p w14:paraId="0083960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17542A4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7</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38053B78">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21</w:t>
                  </w:r>
                </w:p>
              </w:tc>
              <w:tc>
                <w:tcPr>
                  <w:tcW w:w="438" w:type="pct"/>
                  <w:vMerge w:val="continue"/>
                  <w:tcBorders>
                    <w:left w:val="single" w:color="auto" w:sz="4" w:space="0"/>
                    <w:right w:val="single" w:color="auto" w:sz="4" w:space="0"/>
                  </w:tcBorders>
                  <w:vAlign w:val="center"/>
                </w:tcPr>
                <w:p w14:paraId="406B7266">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3FEE29A3">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4D0853A1">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57F145F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12</w:t>
                  </w:r>
                </w:p>
              </w:tc>
              <w:tc>
                <w:tcPr>
                  <w:tcW w:w="1060" w:type="pct"/>
                  <w:tcBorders>
                    <w:top w:val="nil"/>
                    <w:left w:val="nil"/>
                    <w:bottom w:val="single" w:color="auto" w:sz="4" w:space="0"/>
                    <w:right w:val="single" w:color="auto" w:sz="4" w:space="0"/>
                  </w:tcBorders>
                  <w:shd w:val="clear" w:color="auto" w:fill="auto"/>
                  <w:vAlign w:val="center"/>
                </w:tcPr>
                <w:p w14:paraId="348C264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反应系统</w:t>
                  </w:r>
                </w:p>
              </w:tc>
              <w:tc>
                <w:tcPr>
                  <w:tcW w:w="1072" w:type="pct"/>
                  <w:tcBorders>
                    <w:top w:val="nil"/>
                    <w:left w:val="nil"/>
                    <w:bottom w:val="single" w:color="auto" w:sz="4" w:space="0"/>
                    <w:right w:val="single" w:color="auto" w:sz="4" w:space="0"/>
                  </w:tcBorders>
                  <w:shd w:val="clear" w:color="auto" w:fill="auto"/>
                  <w:vAlign w:val="center"/>
                </w:tcPr>
                <w:p w14:paraId="7CDF16E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废催化剂</w:t>
                  </w:r>
                </w:p>
              </w:tc>
              <w:tc>
                <w:tcPr>
                  <w:tcW w:w="467" w:type="pct"/>
                  <w:tcBorders>
                    <w:top w:val="nil"/>
                    <w:left w:val="nil"/>
                    <w:bottom w:val="single" w:color="auto" w:sz="4" w:space="0"/>
                    <w:right w:val="single" w:color="auto" w:sz="4" w:space="0"/>
                  </w:tcBorders>
                  <w:shd w:val="clear" w:color="auto" w:fill="auto"/>
                  <w:vAlign w:val="center"/>
                </w:tcPr>
                <w:p w14:paraId="4EB8FF2A">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kg/a</w:t>
                  </w:r>
                </w:p>
              </w:tc>
              <w:tc>
                <w:tcPr>
                  <w:tcW w:w="467" w:type="pct"/>
                  <w:tcBorders>
                    <w:top w:val="nil"/>
                    <w:left w:val="nil"/>
                    <w:bottom w:val="single" w:color="auto" w:sz="4" w:space="0"/>
                    <w:right w:val="single" w:color="auto" w:sz="4" w:space="0"/>
                  </w:tcBorders>
                  <w:shd w:val="clear" w:color="auto" w:fill="auto"/>
                  <w:vAlign w:val="center"/>
                </w:tcPr>
                <w:p w14:paraId="1AD2BC4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/2</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0941B8F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100</w:t>
                  </w:r>
                </w:p>
              </w:tc>
              <w:tc>
                <w:tcPr>
                  <w:tcW w:w="438" w:type="pct"/>
                  <w:vMerge w:val="continue"/>
                  <w:tcBorders>
                    <w:left w:val="single" w:color="auto" w:sz="4" w:space="0"/>
                    <w:right w:val="single" w:color="auto" w:sz="4" w:space="0"/>
                  </w:tcBorders>
                  <w:vAlign w:val="center"/>
                </w:tcPr>
                <w:p w14:paraId="52E24999">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37BDA6D9">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3E9CC1F9">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17EDC1B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13</w:t>
                  </w:r>
                </w:p>
              </w:tc>
              <w:tc>
                <w:tcPr>
                  <w:tcW w:w="1060" w:type="pct"/>
                  <w:tcBorders>
                    <w:top w:val="nil"/>
                    <w:left w:val="nil"/>
                    <w:bottom w:val="single" w:color="auto" w:sz="4" w:space="0"/>
                    <w:right w:val="single" w:color="auto" w:sz="4" w:space="0"/>
                  </w:tcBorders>
                  <w:shd w:val="clear" w:color="auto" w:fill="auto"/>
                  <w:vAlign w:val="center"/>
                </w:tcPr>
                <w:p w14:paraId="7341ED91">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草酸二甲酯合成羰化反应器</w:t>
                  </w:r>
                </w:p>
              </w:tc>
              <w:tc>
                <w:tcPr>
                  <w:tcW w:w="1072" w:type="pct"/>
                  <w:tcBorders>
                    <w:top w:val="nil"/>
                    <w:left w:val="nil"/>
                    <w:bottom w:val="single" w:color="auto" w:sz="4" w:space="0"/>
                    <w:right w:val="single" w:color="auto" w:sz="4" w:space="0"/>
                  </w:tcBorders>
                  <w:shd w:val="clear" w:color="auto" w:fill="auto"/>
                  <w:vAlign w:val="center"/>
                </w:tcPr>
                <w:p w14:paraId="7B0DE447">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废羰化催化剂</w:t>
                  </w:r>
                </w:p>
              </w:tc>
              <w:tc>
                <w:tcPr>
                  <w:tcW w:w="467" w:type="pct"/>
                  <w:tcBorders>
                    <w:top w:val="nil"/>
                    <w:left w:val="nil"/>
                    <w:bottom w:val="single" w:color="auto" w:sz="4" w:space="0"/>
                    <w:right w:val="single" w:color="auto" w:sz="4" w:space="0"/>
                  </w:tcBorders>
                  <w:shd w:val="clear" w:color="auto" w:fill="auto"/>
                  <w:vAlign w:val="center"/>
                </w:tcPr>
                <w:p w14:paraId="568A360D">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4B9356B8">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56B3B549">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125</w:t>
                  </w:r>
                </w:p>
              </w:tc>
              <w:tc>
                <w:tcPr>
                  <w:tcW w:w="438" w:type="pct"/>
                  <w:vMerge w:val="continue"/>
                  <w:tcBorders>
                    <w:left w:val="single" w:color="auto" w:sz="4" w:space="0"/>
                    <w:right w:val="single" w:color="auto" w:sz="4" w:space="0"/>
                  </w:tcBorders>
                  <w:vAlign w:val="center"/>
                </w:tcPr>
                <w:p w14:paraId="21837CC5">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3AE66C63">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32E483F6">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74EDFB1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14</w:t>
                  </w:r>
                </w:p>
              </w:tc>
              <w:tc>
                <w:tcPr>
                  <w:tcW w:w="1060" w:type="pct"/>
                  <w:tcBorders>
                    <w:top w:val="nil"/>
                    <w:left w:val="nil"/>
                    <w:bottom w:val="single" w:color="auto" w:sz="4" w:space="0"/>
                    <w:right w:val="single" w:color="auto" w:sz="4" w:space="0"/>
                  </w:tcBorders>
                  <w:shd w:val="clear" w:color="auto" w:fill="auto"/>
                  <w:vAlign w:val="center"/>
                </w:tcPr>
                <w:p w14:paraId="4FF5FBD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乙二醇合成加氢反应器</w:t>
                  </w:r>
                </w:p>
              </w:tc>
              <w:tc>
                <w:tcPr>
                  <w:tcW w:w="1072" w:type="pct"/>
                  <w:tcBorders>
                    <w:top w:val="nil"/>
                    <w:left w:val="nil"/>
                    <w:bottom w:val="single" w:color="auto" w:sz="4" w:space="0"/>
                    <w:right w:val="single" w:color="auto" w:sz="4" w:space="0"/>
                  </w:tcBorders>
                  <w:shd w:val="clear" w:color="auto" w:fill="auto"/>
                  <w:vAlign w:val="center"/>
                </w:tcPr>
                <w:p w14:paraId="5D35E7BB">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废加氢催化剂</w:t>
                  </w:r>
                </w:p>
              </w:tc>
              <w:tc>
                <w:tcPr>
                  <w:tcW w:w="467" w:type="pct"/>
                  <w:tcBorders>
                    <w:top w:val="nil"/>
                    <w:left w:val="nil"/>
                    <w:bottom w:val="single" w:color="auto" w:sz="4" w:space="0"/>
                    <w:right w:val="single" w:color="auto" w:sz="4" w:space="0"/>
                  </w:tcBorders>
                  <w:shd w:val="clear" w:color="auto" w:fill="auto"/>
                  <w:vAlign w:val="center"/>
                </w:tcPr>
                <w:p w14:paraId="10E18EC8">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6254375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7DFCE72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125</w:t>
                  </w:r>
                </w:p>
              </w:tc>
              <w:tc>
                <w:tcPr>
                  <w:tcW w:w="438" w:type="pct"/>
                  <w:vMerge w:val="continue"/>
                  <w:tcBorders>
                    <w:left w:val="single" w:color="auto" w:sz="4" w:space="0"/>
                    <w:right w:val="single" w:color="auto" w:sz="4" w:space="0"/>
                  </w:tcBorders>
                  <w:vAlign w:val="center"/>
                </w:tcPr>
                <w:p w14:paraId="7CDF65D6">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5DA1C76E">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67B04EE">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7747913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15</w:t>
                  </w:r>
                </w:p>
              </w:tc>
              <w:tc>
                <w:tcPr>
                  <w:tcW w:w="1060" w:type="pct"/>
                  <w:tcBorders>
                    <w:top w:val="nil"/>
                    <w:left w:val="nil"/>
                    <w:bottom w:val="single" w:color="auto" w:sz="4" w:space="0"/>
                    <w:right w:val="single" w:color="auto" w:sz="4" w:space="0"/>
                  </w:tcBorders>
                  <w:shd w:val="clear" w:color="auto" w:fill="auto"/>
                  <w:vAlign w:val="center"/>
                </w:tcPr>
                <w:p w14:paraId="3FB45A9F">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气化装置、醋酸装置、乙二醇装置、质检分析大楼</w:t>
                  </w:r>
                </w:p>
              </w:tc>
              <w:tc>
                <w:tcPr>
                  <w:tcW w:w="1072" w:type="pct"/>
                  <w:tcBorders>
                    <w:top w:val="nil"/>
                    <w:left w:val="nil"/>
                    <w:bottom w:val="single" w:color="auto" w:sz="4" w:space="0"/>
                    <w:right w:val="single" w:color="auto" w:sz="4" w:space="0"/>
                  </w:tcBorders>
                  <w:shd w:val="clear" w:color="auto" w:fill="auto"/>
                  <w:vAlign w:val="center"/>
                </w:tcPr>
                <w:p w14:paraId="6BE108C2">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废药剂</w:t>
                  </w:r>
                </w:p>
              </w:tc>
              <w:tc>
                <w:tcPr>
                  <w:tcW w:w="467" w:type="pct"/>
                  <w:tcBorders>
                    <w:top w:val="nil"/>
                    <w:left w:val="nil"/>
                    <w:bottom w:val="single" w:color="auto" w:sz="4" w:space="0"/>
                    <w:right w:val="single" w:color="auto" w:sz="4" w:space="0"/>
                  </w:tcBorders>
                  <w:shd w:val="clear" w:color="auto" w:fill="auto"/>
                  <w:vAlign w:val="center"/>
                </w:tcPr>
                <w:p w14:paraId="3A98D29C">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75C626D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vAlign w:val="center"/>
                </w:tcPr>
                <w:p w14:paraId="7AA21A2F">
                  <w:pPr>
                    <w:widowControl/>
                    <w:jc w:val="center"/>
                    <w:rPr>
                      <w:color w:val="000000" w:themeColor="text1"/>
                      <w:kern w:val="0"/>
                      <w:szCs w:val="21"/>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0.2079</w:t>
                  </w:r>
                </w:p>
              </w:tc>
              <w:tc>
                <w:tcPr>
                  <w:tcW w:w="438" w:type="pct"/>
                  <w:vMerge w:val="continue"/>
                  <w:tcBorders>
                    <w:left w:val="single" w:color="auto" w:sz="4" w:space="0"/>
                    <w:right w:val="single" w:color="auto" w:sz="4" w:space="0"/>
                  </w:tcBorders>
                  <w:vAlign w:val="center"/>
                </w:tcPr>
                <w:p w14:paraId="00F6368B">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04FF5AB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14FDE4CF">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43CEC59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16</w:t>
                  </w:r>
                </w:p>
              </w:tc>
              <w:tc>
                <w:tcPr>
                  <w:tcW w:w="1060" w:type="pct"/>
                  <w:tcBorders>
                    <w:top w:val="nil"/>
                    <w:left w:val="nil"/>
                    <w:bottom w:val="single" w:color="auto" w:sz="4" w:space="0"/>
                    <w:right w:val="single" w:color="auto" w:sz="4" w:space="0"/>
                  </w:tcBorders>
                  <w:shd w:val="clear" w:color="auto" w:fill="auto"/>
                  <w:vAlign w:val="center"/>
                </w:tcPr>
                <w:p w14:paraId="36F1A12F">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气化装置、醋酸装置、乙二醇装置、质检分析大楼</w:t>
                  </w:r>
                </w:p>
              </w:tc>
              <w:tc>
                <w:tcPr>
                  <w:tcW w:w="1072" w:type="pct"/>
                  <w:tcBorders>
                    <w:top w:val="nil"/>
                    <w:left w:val="nil"/>
                    <w:bottom w:val="single" w:color="auto" w:sz="4" w:space="0"/>
                    <w:right w:val="single" w:color="auto" w:sz="4" w:space="0"/>
                  </w:tcBorders>
                  <w:shd w:val="clear" w:color="auto" w:fill="auto"/>
                  <w:noWrap/>
                  <w:vAlign w:val="center"/>
                </w:tcPr>
                <w:p w14:paraId="7BBAD271">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化学品试剂瓶</w:t>
                  </w:r>
                </w:p>
              </w:tc>
              <w:tc>
                <w:tcPr>
                  <w:tcW w:w="467" w:type="pct"/>
                  <w:tcBorders>
                    <w:top w:val="nil"/>
                    <w:left w:val="nil"/>
                    <w:bottom w:val="single" w:color="auto" w:sz="4" w:space="0"/>
                    <w:right w:val="single" w:color="auto" w:sz="4" w:space="0"/>
                  </w:tcBorders>
                  <w:shd w:val="clear" w:color="auto" w:fill="auto"/>
                  <w:vAlign w:val="center"/>
                </w:tcPr>
                <w:p w14:paraId="2F63F96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656DFE6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17F08800">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0.5467</w:t>
                  </w:r>
                </w:p>
              </w:tc>
              <w:tc>
                <w:tcPr>
                  <w:tcW w:w="438" w:type="pct"/>
                  <w:vMerge w:val="continue"/>
                  <w:tcBorders>
                    <w:left w:val="single" w:color="auto" w:sz="4" w:space="0"/>
                    <w:right w:val="single" w:color="auto" w:sz="4" w:space="0"/>
                  </w:tcBorders>
                  <w:vAlign w:val="center"/>
                </w:tcPr>
                <w:p w14:paraId="4344B129">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76F1D7DB">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300F83EA">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00076CB">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17</w:t>
                  </w:r>
                </w:p>
              </w:tc>
              <w:tc>
                <w:tcPr>
                  <w:tcW w:w="1060" w:type="pct"/>
                  <w:tcBorders>
                    <w:top w:val="nil"/>
                    <w:left w:val="nil"/>
                    <w:bottom w:val="single" w:color="auto" w:sz="4" w:space="0"/>
                    <w:right w:val="single" w:color="auto" w:sz="4" w:space="0"/>
                  </w:tcBorders>
                  <w:shd w:val="clear" w:color="auto" w:fill="auto"/>
                  <w:vAlign w:val="center"/>
                </w:tcPr>
                <w:p w14:paraId="7FBB5746">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甲醇加热炉、变换加热炉、硫回收焚烧炉脱硝催化剂</w:t>
                  </w:r>
                </w:p>
              </w:tc>
              <w:tc>
                <w:tcPr>
                  <w:tcW w:w="1072" w:type="pct"/>
                  <w:tcBorders>
                    <w:top w:val="nil"/>
                    <w:left w:val="nil"/>
                    <w:bottom w:val="single" w:color="auto" w:sz="4" w:space="0"/>
                    <w:right w:val="single" w:color="auto" w:sz="4" w:space="0"/>
                  </w:tcBorders>
                  <w:shd w:val="clear" w:color="auto" w:fill="auto"/>
                  <w:noWrap/>
                  <w:vAlign w:val="center"/>
                </w:tcPr>
                <w:p w14:paraId="38369BD3">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废脱硝催化剂</w:t>
                  </w:r>
                </w:p>
              </w:tc>
              <w:tc>
                <w:tcPr>
                  <w:tcW w:w="467" w:type="pct"/>
                  <w:tcBorders>
                    <w:top w:val="nil"/>
                    <w:left w:val="nil"/>
                    <w:bottom w:val="single" w:color="auto" w:sz="4" w:space="0"/>
                    <w:right w:val="single" w:color="auto" w:sz="4" w:space="0"/>
                  </w:tcBorders>
                  <w:shd w:val="clear" w:color="auto" w:fill="auto"/>
                  <w:vAlign w:val="center"/>
                </w:tcPr>
                <w:p w14:paraId="7B149199">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099039B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5E62BB6C">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12.32</w:t>
                  </w:r>
                </w:p>
              </w:tc>
              <w:tc>
                <w:tcPr>
                  <w:tcW w:w="438" w:type="pct"/>
                  <w:vMerge w:val="continue"/>
                  <w:tcBorders>
                    <w:left w:val="single" w:color="auto" w:sz="4" w:space="0"/>
                    <w:right w:val="single" w:color="auto" w:sz="4" w:space="0"/>
                  </w:tcBorders>
                  <w:vAlign w:val="center"/>
                </w:tcPr>
                <w:p w14:paraId="7B25DDA2">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3E0C93E7">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74E7B4E">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77B235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18</w:t>
                  </w:r>
                </w:p>
              </w:tc>
              <w:tc>
                <w:tcPr>
                  <w:tcW w:w="1060" w:type="pct"/>
                  <w:tcBorders>
                    <w:top w:val="nil"/>
                    <w:left w:val="nil"/>
                    <w:bottom w:val="single" w:color="auto" w:sz="4" w:space="0"/>
                    <w:right w:val="single" w:color="auto" w:sz="4" w:space="0"/>
                  </w:tcBorders>
                  <w:shd w:val="clear" w:color="auto" w:fill="auto"/>
                  <w:vAlign w:val="center"/>
                </w:tcPr>
                <w:p w14:paraId="20128EC0">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w:t>
                  </w:r>
                </w:p>
              </w:tc>
              <w:tc>
                <w:tcPr>
                  <w:tcW w:w="1072" w:type="pct"/>
                  <w:tcBorders>
                    <w:top w:val="nil"/>
                    <w:left w:val="nil"/>
                    <w:bottom w:val="single" w:color="auto" w:sz="4" w:space="0"/>
                    <w:right w:val="single" w:color="auto" w:sz="4" w:space="0"/>
                  </w:tcBorders>
                  <w:shd w:val="clear" w:color="auto" w:fill="auto"/>
                  <w:noWrap/>
                  <w:vAlign w:val="center"/>
                </w:tcPr>
                <w:p w14:paraId="0AB2C275">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废催化剂桶</w:t>
                  </w:r>
                </w:p>
              </w:tc>
              <w:tc>
                <w:tcPr>
                  <w:tcW w:w="467" w:type="pct"/>
                  <w:tcBorders>
                    <w:top w:val="nil"/>
                    <w:left w:val="nil"/>
                    <w:bottom w:val="single" w:color="auto" w:sz="4" w:space="0"/>
                    <w:right w:val="single" w:color="auto" w:sz="4" w:space="0"/>
                  </w:tcBorders>
                  <w:shd w:val="clear" w:color="auto" w:fill="auto"/>
                  <w:vAlign w:val="center"/>
                </w:tcPr>
                <w:p w14:paraId="746B47C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04122C8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6E26886B">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0.88078</w:t>
                  </w:r>
                </w:p>
              </w:tc>
              <w:tc>
                <w:tcPr>
                  <w:tcW w:w="438" w:type="pct"/>
                  <w:vMerge w:val="continue"/>
                  <w:tcBorders>
                    <w:left w:val="single" w:color="auto" w:sz="4" w:space="0"/>
                    <w:right w:val="single" w:color="auto" w:sz="4" w:space="0"/>
                  </w:tcBorders>
                  <w:vAlign w:val="center"/>
                </w:tcPr>
                <w:p w14:paraId="506305B3">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509C7717">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43DC8E4D">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2CD8D60">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19</w:t>
                  </w:r>
                </w:p>
              </w:tc>
              <w:tc>
                <w:tcPr>
                  <w:tcW w:w="1060" w:type="pct"/>
                  <w:tcBorders>
                    <w:top w:val="nil"/>
                    <w:left w:val="nil"/>
                    <w:bottom w:val="single" w:color="auto" w:sz="4" w:space="0"/>
                    <w:right w:val="single" w:color="auto" w:sz="4" w:space="0"/>
                  </w:tcBorders>
                  <w:shd w:val="clear" w:color="auto" w:fill="auto"/>
                  <w:vAlign w:val="center"/>
                </w:tcPr>
                <w:p w14:paraId="544CED89">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乙二醇装置</w:t>
                  </w:r>
                </w:p>
              </w:tc>
              <w:tc>
                <w:tcPr>
                  <w:tcW w:w="1072" w:type="pct"/>
                  <w:tcBorders>
                    <w:top w:val="nil"/>
                    <w:left w:val="nil"/>
                    <w:bottom w:val="single" w:color="auto" w:sz="4" w:space="0"/>
                    <w:right w:val="single" w:color="auto" w:sz="4" w:space="0"/>
                  </w:tcBorders>
                  <w:shd w:val="clear" w:color="auto" w:fill="auto"/>
                  <w:noWrap/>
                  <w:vAlign w:val="center"/>
                </w:tcPr>
                <w:p w14:paraId="01B042D6">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废DMO</w:t>
                  </w:r>
                </w:p>
              </w:tc>
              <w:tc>
                <w:tcPr>
                  <w:tcW w:w="467" w:type="pct"/>
                  <w:tcBorders>
                    <w:top w:val="nil"/>
                    <w:left w:val="nil"/>
                    <w:bottom w:val="single" w:color="auto" w:sz="4" w:space="0"/>
                    <w:right w:val="single" w:color="auto" w:sz="4" w:space="0"/>
                  </w:tcBorders>
                  <w:shd w:val="clear" w:color="auto" w:fill="auto"/>
                  <w:vAlign w:val="center"/>
                </w:tcPr>
                <w:p w14:paraId="3FFE3683">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17193F9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79CDE85A">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0.44</w:t>
                  </w:r>
                </w:p>
              </w:tc>
              <w:tc>
                <w:tcPr>
                  <w:tcW w:w="438" w:type="pct"/>
                  <w:vMerge w:val="continue"/>
                  <w:tcBorders>
                    <w:left w:val="single" w:color="auto" w:sz="4" w:space="0"/>
                    <w:right w:val="single" w:color="auto" w:sz="4" w:space="0"/>
                  </w:tcBorders>
                  <w:vAlign w:val="center"/>
                </w:tcPr>
                <w:p w14:paraId="32D8E92A">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4A25D848">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2BBF06F2">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7954D64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20</w:t>
                  </w:r>
                </w:p>
              </w:tc>
              <w:tc>
                <w:tcPr>
                  <w:tcW w:w="1060" w:type="pct"/>
                  <w:tcBorders>
                    <w:top w:val="nil"/>
                    <w:left w:val="nil"/>
                    <w:bottom w:val="single" w:color="auto" w:sz="4" w:space="0"/>
                    <w:right w:val="single" w:color="auto" w:sz="4" w:space="0"/>
                  </w:tcBorders>
                  <w:shd w:val="clear" w:color="auto" w:fill="auto"/>
                  <w:vAlign w:val="center"/>
                </w:tcPr>
                <w:p w14:paraId="7F25AF13">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气化装置、醋酸装置、乙二醇装置、甲醇装置、总变等公辅设施</w:t>
                  </w:r>
                </w:p>
              </w:tc>
              <w:tc>
                <w:tcPr>
                  <w:tcW w:w="1072" w:type="pct"/>
                  <w:tcBorders>
                    <w:top w:val="nil"/>
                    <w:left w:val="nil"/>
                    <w:bottom w:val="single" w:color="auto" w:sz="4" w:space="0"/>
                    <w:right w:val="single" w:color="auto" w:sz="4" w:space="0"/>
                  </w:tcBorders>
                  <w:shd w:val="clear" w:color="auto" w:fill="auto"/>
                  <w:noWrap/>
                  <w:vAlign w:val="center"/>
                </w:tcPr>
                <w:p w14:paraId="28A2B98D">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废矿物油</w:t>
                  </w:r>
                </w:p>
              </w:tc>
              <w:tc>
                <w:tcPr>
                  <w:tcW w:w="467" w:type="pct"/>
                  <w:tcBorders>
                    <w:top w:val="nil"/>
                    <w:left w:val="nil"/>
                    <w:bottom w:val="single" w:color="auto" w:sz="4" w:space="0"/>
                    <w:right w:val="single" w:color="auto" w:sz="4" w:space="0"/>
                  </w:tcBorders>
                  <w:shd w:val="clear" w:color="auto" w:fill="auto"/>
                  <w:vAlign w:val="center"/>
                </w:tcPr>
                <w:p w14:paraId="4DC6CCBF">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7D5AF08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40050615">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34.88</w:t>
                  </w:r>
                </w:p>
              </w:tc>
              <w:tc>
                <w:tcPr>
                  <w:tcW w:w="438" w:type="pct"/>
                  <w:vMerge w:val="continue"/>
                  <w:tcBorders>
                    <w:left w:val="single" w:color="auto" w:sz="4" w:space="0"/>
                    <w:right w:val="single" w:color="auto" w:sz="4" w:space="0"/>
                  </w:tcBorders>
                  <w:vAlign w:val="center"/>
                </w:tcPr>
                <w:p w14:paraId="4B39CD2C">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65EA5A7D">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2522D3FF">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24C4BC5B">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21</w:t>
                  </w:r>
                </w:p>
              </w:tc>
              <w:tc>
                <w:tcPr>
                  <w:tcW w:w="1060" w:type="pct"/>
                  <w:tcBorders>
                    <w:top w:val="nil"/>
                    <w:left w:val="nil"/>
                    <w:bottom w:val="single" w:color="auto" w:sz="4" w:space="0"/>
                    <w:right w:val="single" w:color="auto" w:sz="4" w:space="0"/>
                  </w:tcBorders>
                  <w:shd w:val="clear" w:color="auto" w:fill="auto"/>
                  <w:vAlign w:val="center"/>
                </w:tcPr>
                <w:p w14:paraId="4DAB9626">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气化装置、醋酸装置、乙二醇装置、甲醇装置、总变等公辅设施</w:t>
                  </w:r>
                </w:p>
              </w:tc>
              <w:tc>
                <w:tcPr>
                  <w:tcW w:w="1072" w:type="pct"/>
                  <w:tcBorders>
                    <w:top w:val="nil"/>
                    <w:left w:val="nil"/>
                    <w:bottom w:val="single" w:color="auto" w:sz="4" w:space="0"/>
                    <w:right w:val="single" w:color="auto" w:sz="4" w:space="0"/>
                  </w:tcBorders>
                  <w:shd w:val="clear" w:color="auto" w:fill="auto"/>
                  <w:noWrap/>
                  <w:vAlign w:val="center"/>
                </w:tcPr>
                <w:p w14:paraId="3001DF0B">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废旧过滤器滤芯</w:t>
                  </w:r>
                </w:p>
              </w:tc>
              <w:tc>
                <w:tcPr>
                  <w:tcW w:w="467" w:type="pct"/>
                  <w:tcBorders>
                    <w:top w:val="nil"/>
                    <w:left w:val="nil"/>
                    <w:bottom w:val="single" w:color="auto" w:sz="4" w:space="0"/>
                    <w:right w:val="single" w:color="auto" w:sz="4" w:space="0"/>
                  </w:tcBorders>
                  <w:shd w:val="clear" w:color="auto" w:fill="auto"/>
                  <w:vAlign w:val="center"/>
                </w:tcPr>
                <w:p w14:paraId="0E81D2BA">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52D4AD0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5BD9F541">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1.46236</w:t>
                  </w:r>
                </w:p>
              </w:tc>
              <w:tc>
                <w:tcPr>
                  <w:tcW w:w="438" w:type="pct"/>
                  <w:vMerge w:val="continue"/>
                  <w:tcBorders>
                    <w:left w:val="single" w:color="auto" w:sz="4" w:space="0"/>
                    <w:right w:val="single" w:color="auto" w:sz="4" w:space="0"/>
                  </w:tcBorders>
                  <w:vAlign w:val="center"/>
                </w:tcPr>
                <w:p w14:paraId="23F9FC12">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5038C113">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6804B655">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181D11D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22</w:t>
                  </w:r>
                </w:p>
              </w:tc>
              <w:tc>
                <w:tcPr>
                  <w:tcW w:w="1060" w:type="pct"/>
                  <w:tcBorders>
                    <w:top w:val="nil"/>
                    <w:left w:val="nil"/>
                    <w:bottom w:val="single" w:color="auto" w:sz="4" w:space="0"/>
                    <w:right w:val="single" w:color="auto" w:sz="4" w:space="0"/>
                  </w:tcBorders>
                  <w:shd w:val="clear" w:color="auto" w:fill="auto"/>
                  <w:vAlign w:val="center"/>
                </w:tcPr>
                <w:p w14:paraId="601BA4A1">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气化装置、醋酸装置、乙二醇装置、甲醇装置、总变等公辅设施</w:t>
                  </w:r>
                </w:p>
              </w:tc>
              <w:tc>
                <w:tcPr>
                  <w:tcW w:w="1072" w:type="pct"/>
                  <w:tcBorders>
                    <w:top w:val="nil"/>
                    <w:left w:val="nil"/>
                    <w:bottom w:val="single" w:color="auto" w:sz="4" w:space="0"/>
                    <w:right w:val="single" w:color="auto" w:sz="4" w:space="0"/>
                  </w:tcBorders>
                  <w:shd w:val="clear" w:color="auto" w:fill="auto"/>
                  <w:noWrap/>
                  <w:vAlign w:val="center"/>
                </w:tcPr>
                <w:p w14:paraId="41A311A9">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废吸油毡</w:t>
                  </w:r>
                </w:p>
              </w:tc>
              <w:tc>
                <w:tcPr>
                  <w:tcW w:w="467" w:type="pct"/>
                  <w:tcBorders>
                    <w:top w:val="nil"/>
                    <w:left w:val="nil"/>
                    <w:bottom w:val="single" w:color="auto" w:sz="4" w:space="0"/>
                    <w:right w:val="single" w:color="auto" w:sz="4" w:space="0"/>
                  </w:tcBorders>
                  <w:shd w:val="clear" w:color="auto" w:fill="auto"/>
                  <w:vAlign w:val="center"/>
                </w:tcPr>
                <w:p w14:paraId="0461FBF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2CA6C5F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65347E25">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3.15046</w:t>
                  </w:r>
                </w:p>
              </w:tc>
              <w:tc>
                <w:tcPr>
                  <w:tcW w:w="438" w:type="pct"/>
                  <w:vMerge w:val="continue"/>
                  <w:tcBorders>
                    <w:left w:val="single" w:color="auto" w:sz="4" w:space="0"/>
                    <w:right w:val="single" w:color="auto" w:sz="4" w:space="0"/>
                  </w:tcBorders>
                  <w:vAlign w:val="center"/>
                </w:tcPr>
                <w:p w14:paraId="6498D6F7">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78267A92">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7756205B">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0DC9959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23</w:t>
                  </w:r>
                </w:p>
              </w:tc>
              <w:tc>
                <w:tcPr>
                  <w:tcW w:w="1060" w:type="pct"/>
                  <w:tcBorders>
                    <w:top w:val="nil"/>
                    <w:left w:val="nil"/>
                    <w:bottom w:val="single" w:color="auto" w:sz="4" w:space="0"/>
                    <w:right w:val="single" w:color="auto" w:sz="4" w:space="0"/>
                  </w:tcBorders>
                  <w:shd w:val="clear" w:color="auto" w:fill="auto"/>
                  <w:vAlign w:val="center"/>
                </w:tcPr>
                <w:p w14:paraId="55835824">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气化装置、醋酸装置、乙二醇装置、甲醇装置、总变等公辅设施</w:t>
                  </w:r>
                </w:p>
              </w:tc>
              <w:tc>
                <w:tcPr>
                  <w:tcW w:w="1072" w:type="pct"/>
                  <w:tcBorders>
                    <w:top w:val="nil"/>
                    <w:left w:val="nil"/>
                    <w:bottom w:val="single" w:color="auto" w:sz="4" w:space="0"/>
                    <w:right w:val="single" w:color="auto" w:sz="4" w:space="0"/>
                  </w:tcBorders>
                  <w:shd w:val="clear" w:color="auto" w:fill="auto"/>
                  <w:noWrap/>
                  <w:vAlign w:val="center"/>
                </w:tcPr>
                <w:p w14:paraId="7AAA7743">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废油桶</w:t>
                  </w:r>
                </w:p>
              </w:tc>
              <w:tc>
                <w:tcPr>
                  <w:tcW w:w="467" w:type="pct"/>
                  <w:tcBorders>
                    <w:top w:val="nil"/>
                    <w:left w:val="nil"/>
                    <w:bottom w:val="single" w:color="auto" w:sz="4" w:space="0"/>
                    <w:right w:val="single" w:color="auto" w:sz="4" w:space="0"/>
                  </w:tcBorders>
                  <w:shd w:val="clear" w:color="auto" w:fill="auto"/>
                  <w:vAlign w:val="center"/>
                </w:tcPr>
                <w:p w14:paraId="5EDA06C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0DAE5FD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5A9B7F38">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0.355</w:t>
                  </w:r>
                </w:p>
              </w:tc>
              <w:tc>
                <w:tcPr>
                  <w:tcW w:w="438" w:type="pct"/>
                  <w:vMerge w:val="continue"/>
                  <w:tcBorders>
                    <w:left w:val="single" w:color="auto" w:sz="4" w:space="0"/>
                    <w:right w:val="single" w:color="auto" w:sz="4" w:space="0"/>
                  </w:tcBorders>
                  <w:vAlign w:val="center"/>
                </w:tcPr>
                <w:p w14:paraId="429444F8">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1331363A">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6A64CC04">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1E84D6E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24</w:t>
                  </w:r>
                </w:p>
              </w:tc>
              <w:tc>
                <w:tcPr>
                  <w:tcW w:w="1060" w:type="pct"/>
                  <w:tcBorders>
                    <w:top w:val="nil"/>
                    <w:left w:val="nil"/>
                    <w:bottom w:val="single" w:color="auto" w:sz="4" w:space="0"/>
                    <w:right w:val="single" w:color="auto" w:sz="4" w:space="0"/>
                  </w:tcBorders>
                  <w:shd w:val="clear" w:color="auto" w:fill="auto"/>
                  <w:vAlign w:val="center"/>
                </w:tcPr>
                <w:p w14:paraId="5F43D9AD">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气化装置、醋酸装置、乙二醇装置、甲醇装置以及其他公辅设施</w:t>
                  </w:r>
                </w:p>
              </w:tc>
              <w:tc>
                <w:tcPr>
                  <w:tcW w:w="1072" w:type="pct"/>
                  <w:tcBorders>
                    <w:top w:val="nil"/>
                    <w:left w:val="nil"/>
                    <w:bottom w:val="single" w:color="auto" w:sz="4" w:space="0"/>
                    <w:right w:val="single" w:color="auto" w:sz="4" w:space="0"/>
                  </w:tcBorders>
                  <w:shd w:val="clear" w:color="auto" w:fill="auto"/>
                  <w:noWrap/>
                  <w:vAlign w:val="center"/>
                </w:tcPr>
                <w:p w14:paraId="22DDEA4A">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废油漆桶</w:t>
                  </w:r>
                </w:p>
              </w:tc>
              <w:tc>
                <w:tcPr>
                  <w:tcW w:w="467" w:type="pct"/>
                  <w:tcBorders>
                    <w:top w:val="nil"/>
                    <w:left w:val="nil"/>
                    <w:bottom w:val="single" w:color="auto" w:sz="4" w:space="0"/>
                    <w:right w:val="single" w:color="auto" w:sz="4" w:space="0"/>
                  </w:tcBorders>
                  <w:shd w:val="clear" w:color="auto" w:fill="auto"/>
                  <w:vAlign w:val="center"/>
                </w:tcPr>
                <w:p w14:paraId="461ECC8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679448B5">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603282EA">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2.9</w:t>
                  </w:r>
                </w:p>
              </w:tc>
              <w:tc>
                <w:tcPr>
                  <w:tcW w:w="438" w:type="pct"/>
                  <w:vMerge w:val="continue"/>
                  <w:tcBorders>
                    <w:left w:val="single" w:color="auto" w:sz="4" w:space="0"/>
                    <w:right w:val="single" w:color="auto" w:sz="4" w:space="0"/>
                  </w:tcBorders>
                  <w:vAlign w:val="center"/>
                </w:tcPr>
                <w:p w14:paraId="7C0805D8">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13840B86">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F4B655E">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673EFDA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25</w:t>
                  </w:r>
                </w:p>
              </w:tc>
              <w:tc>
                <w:tcPr>
                  <w:tcW w:w="1060" w:type="pct"/>
                  <w:tcBorders>
                    <w:top w:val="nil"/>
                    <w:left w:val="nil"/>
                    <w:bottom w:val="single" w:color="auto" w:sz="4" w:space="0"/>
                    <w:right w:val="single" w:color="auto" w:sz="4" w:space="0"/>
                  </w:tcBorders>
                  <w:shd w:val="clear" w:color="auto" w:fill="auto"/>
                  <w:vAlign w:val="center"/>
                </w:tcPr>
                <w:p w14:paraId="374C6CCD">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气化装置、醋酸装置、乙二醇装置、甲醇装置以及其他公辅设施</w:t>
                  </w:r>
                </w:p>
              </w:tc>
              <w:tc>
                <w:tcPr>
                  <w:tcW w:w="1072" w:type="pct"/>
                  <w:tcBorders>
                    <w:top w:val="nil"/>
                    <w:left w:val="nil"/>
                    <w:bottom w:val="single" w:color="auto" w:sz="4" w:space="0"/>
                    <w:right w:val="single" w:color="auto" w:sz="4" w:space="0"/>
                  </w:tcBorders>
                  <w:shd w:val="clear" w:color="auto" w:fill="auto"/>
                  <w:noWrap/>
                  <w:vAlign w:val="center"/>
                </w:tcPr>
                <w:p w14:paraId="1CD1C142">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废包装袋</w:t>
                  </w:r>
                </w:p>
              </w:tc>
              <w:tc>
                <w:tcPr>
                  <w:tcW w:w="467" w:type="pct"/>
                  <w:tcBorders>
                    <w:top w:val="nil"/>
                    <w:left w:val="nil"/>
                    <w:bottom w:val="single" w:color="auto" w:sz="4" w:space="0"/>
                    <w:right w:val="single" w:color="auto" w:sz="4" w:space="0"/>
                  </w:tcBorders>
                  <w:shd w:val="clear" w:color="auto" w:fill="auto"/>
                  <w:vAlign w:val="center"/>
                </w:tcPr>
                <w:p w14:paraId="48B4787C">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2CF325F6">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6285A60C">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0.54</w:t>
                  </w:r>
                </w:p>
              </w:tc>
              <w:tc>
                <w:tcPr>
                  <w:tcW w:w="438" w:type="pct"/>
                  <w:vMerge w:val="continue"/>
                  <w:tcBorders>
                    <w:left w:val="single" w:color="auto" w:sz="4" w:space="0"/>
                    <w:right w:val="single" w:color="auto" w:sz="4" w:space="0"/>
                  </w:tcBorders>
                  <w:vAlign w:val="center"/>
                </w:tcPr>
                <w:p w14:paraId="0D3BCB7C">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63EC1C25">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C697C38">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3AED88E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26</w:t>
                  </w:r>
                </w:p>
              </w:tc>
              <w:tc>
                <w:tcPr>
                  <w:tcW w:w="1060" w:type="pct"/>
                  <w:tcBorders>
                    <w:top w:val="nil"/>
                    <w:left w:val="nil"/>
                    <w:bottom w:val="single" w:color="auto" w:sz="4" w:space="0"/>
                    <w:right w:val="single" w:color="auto" w:sz="4" w:space="0"/>
                  </w:tcBorders>
                  <w:shd w:val="clear" w:color="auto" w:fill="auto"/>
                  <w:vAlign w:val="center"/>
                </w:tcPr>
                <w:p w14:paraId="4D32290A">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气化装置、醋酸装置、乙二醇装置、甲醇装置以及其他公辅设施</w:t>
                  </w:r>
                </w:p>
              </w:tc>
              <w:tc>
                <w:tcPr>
                  <w:tcW w:w="1072" w:type="pct"/>
                  <w:tcBorders>
                    <w:top w:val="nil"/>
                    <w:left w:val="nil"/>
                    <w:bottom w:val="single" w:color="auto" w:sz="4" w:space="0"/>
                    <w:right w:val="single" w:color="auto" w:sz="4" w:space="0"/>
                  </w:tcBorders>
                  <w:shd w:val="clear" w:color="auto" w:fill="auto"/>
                  <w:noWrap/>
                  <w:vAlign w:val="center"/>
                </w:tcPr>
                <w:p w14:paraId="329FEBE9">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地沟污泥</w:t>
                  </w:r>
                </w:p>
              </w:tc>
              <w:tc>
                <w:tcPr>
                  <w:tcW w:w="467" w:type="pct"/>
                  <w:tcBorders>
                    <w:top w:val="nil"/>
                    <w:left w:val="nil"/>
                    <w:bottom w:val="single" w:color="auto" w:sz="4" w:space="0"/>
                    <w:right w:val="single" w:color="auto" w:sz="4" w:space="0"/>
                  </w:tcBorders>
                  <w:shd w:val="clear" w:color="auto" w:fill="auto"/>
                  <w:vAlign w:val="center"/>
                </w:tcPr>
                <w:p w14:paraId="33429C5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7624A9AE">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3815F139">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2.31482</w:t>
                  </w:r>
                </w:p>
              </w:tc>
              <w:tc>
                <w:tcPr>
                  <w:tcW w:w="438" w:type="pct"/>
                  <w:vMerge w:val="continue"/>
                  <w:tcBorders>
                    <w:left w:val="single" w:color="auto" w:sz="4" w:space="0"/>
                    <w:right w:val="single" w:color="auto" w:sz="4" w:space="0"/>
                  </w:tcBorders>
                  <w:vAlign w:val="center"/>
                </w:tcPr>
                <w:p w14:paraId="3E0A9458">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5044673E">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5EAB50EE">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712797F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27</w:t>
                  </w:r>
                </w:p>
              </w:tc>
              <w:tc>
                <w:tcPr>
                  <w:tcW w:w="1060" w:type="pct"/>
                  <w:tcBorders>
                    <w:top w:val="nil"/>
                    <w:left w:val="nil"/>
                    <w:bottom w:val="single" w:color="auto" w:sz="4" w:space="0"/>
                    <w:right w:val="single" w:color="auto" w:sz="4" w:space="0"/>
                  </w:tcBorders>
                  <w:shd w:val="clear" w:color="auto" w:fill="auto"/>
                  <w:vAlign w:val="center"/>
                </w:tcPr>
                <w:p w14:paraId="425BE0FC">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气化装置</w:t>
                  </w:r>
                </w:p>
              </w:tc>
              <w:tc>
                <w:tcPr>
                  <w:tcW w:w="1072" w:type="pct"/>
                  <w:tcBorders>
                    <w:top w:val="nil"/>
                    <w:left w:val="nil"/>
                    <w:bottom w:val="single" w:color="auto" w:sz="4" w:space="0"/>
                    <w:right w:val="single" w:color="auto" w:sz="4" w:space="0"/>
                  </w:tcBorders>
                  <w:shd w:val="clear" w:color="auto" w:fill="auto"/>
                  <w:noWrap/>
                  <w:vAlign w:val="center"/>
                </w:tcPr>
                <w:p w14:paraId="16417B74">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变换脱毒剂</w:t>
                  </w:r>
                </w:p>
              </w:tc>
              <w:tc>
                <w:tcPr>
                  <w:tcW w:w="467" w:type="pct"/>
                  <w:tcBorders>
                    <w:top w:val="nil"/>
                    <w:left w:val="nil"/>
                    <w:bottom w:val="single" w:color="auto" w:sz="4" w:space="0"/>
                    <w:right w:val="single" w:color="auto" w:sz="4" w:space="0"/>
                  </w:tcBorders>
                  <w:shd w:val="clear" w:color="auto" w:fill="auto"/>
                  <w:vAlign w:val="center"/>
                </w:tcPr>
                <w:p w14:paraId="712D27D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m</w:t>
                  </w:r>
                  <w:r>
                    <w:rPr>
                      <w:color w:val="000000" w:themeColor="text1"/>
                      <w:kern w:val="0"/>
                      <w:szCs w:val="21"/>
                      <w:u w:val="single"/>
                      <w:vertAlign w:val="superscript"/>
                      <w14:textFill>
                        <w14:solidFill>
                          <w14:schemeClr w14:val="tx1"/>
                        </w14:solidFill>
                      </w14:textFill>
                    </w:rPr>
                    <w:t>3</w:t>
                  </w:r>
                  <w:r>
                    <w:rPr>
                      <w:color w:val="000000" w:themeColor="text1"/>
                      <w:kern w:val="0"/>
                      <w:szCs w:val="21"/>
                      <w:u w:val="single"/>
                      <w14:textFill>
                        <w14:solidFill>
                          <w14:schemeClr w14:val="tx1"/>
                        </w14:solidFill>
                      </w14:textFill>
                    </w:rPr>
                    <w:t>/a</w:t>
                  </w:r>
                </w:p>
              </w:tc>
              <w:tc>
                <w:tcPr>
                  <w:tcW w:w="467" w:type="pct"/>
                  <w:tcBorders>
                    <w:top w:val="nil"/>
                    <w:left w:val="nil"/>
                    <w:bottom w:val="single" w:color="auto" w:sz="4" w:space="0"/>
                    <w:right w:val="single" w:color="auto" w:sz="4" w:space="0"/>
                  </w:tcBorders>
                  <w:shd w:val="clear" w:color="auto" w:fill="auto"/>
                  <w:vAlign w:val="center"/>
                </w:tcPr>
                <w:p w14:paraId="70EE8074">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w:t>
                  </w:r>
                  <w:r>
                    <w:rPr>
                      <w:rFonts w:hint="eastAsia"/>
                      <w:color w:val="000000" w:themeColor="text1"/>
                      <w:kern w:val="0"/>
                      <w:szCs w:val="21"/>
                      <w:u w:val="single"/>
                      <w14:textFill>
                        <w14:solidFill>
                          <w14:schemeClr w14:val="tx1"/>
                        </w14:solidFill>
                      </w14:textFill>
                    </w:rPr>
                    <w:t>次</w:t>
                  </w:r>
                  <w:r>
                    <w:rPr>
                      <w:color w:val="000000" w:themeColor="text1"/>
                      <w:kern w:val="0"/>
                      <w:szCs w:val="21"/>
                      <w:u w:val="single"/>
                      <w14:textFill>
                        <w14:solidFill>
                          <w14:schemeClr w14:val="tx1"/>
                        </w14:solidFill>
                      </w14:textFill>
                    </w:rPr>
                    <w:t>/3</w:t>
                  </w:r>
                  <w:r>
                    <w:rPr>
                      <w:rFonts w:hint="eastAsia"/>
                      <w:color w:val="000000" w:themeColor="text1"/>
                      <w:kern w:val="0"/>
                      <w:szCs w:val="21"/>
                      <w:u w:val="single"/>
                      <w14:textFill>
                        <w14:solidFill>
                          <w14:schemeClr w14:val="tx1"/>
                        </w14:solidFill>
                      </w14:textFill>
                    </w:rPr>
                    <w:t>年</w:t>
                  </w:r>
                </w:p>
              </w:tc>
              <w:tc>
                <w:tcPr>
                  <w:tcW w:w="546" w:type="pct"/>
                  <w:tcBorders>
                    <w:top w:val="nil"/>
                    <w:left w:val="nil"/>
                    <w:bottom w:val="single" w:color="auto" w:sz="4" w:space="0"/>
                    <w:right w:val="single" w:color="auto" w:sz="4" w:space="0"/>
                  </w:tcBorders>
                  <w:shd w:val="clear" w:color="auto" w:fill="auto"/>
                  <w:noWrap/>
                  <w:vAlign w:val="center"/>
                </w:tcPr>
                <w:p w14:paraId="57A1DF1F">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48.3</w:t>
                  </w:r>
                </w:p>
              </w:tc>
              <w:tc>
                <w:tcPr>
                  <w:tcW w:w="438" w:type="pct"/>
                  <w:vMerge w:val="continue"/>
                  <w:tcBorders>
                    <w:left w:val="single" w:color="auto" w:sz="4" w:space="0"/>
                    <w:bottom w:val="single" w:color="auto" w:sz="4" w:space="0"/>
                    <w:right w:val="single" w:color="auto" w:sz="4" w:space="0"/>
                  </w:tcBorders>
                  <w:vAlign w:val="center"/>
                </w:tcPr>
                <w:p w14:paraId="567491E1">
                  <w:pPr>
                    <w:widowControl/>
                    <w:jc w:val="center"/>
                    <w:rPr>
                      <w:rFonts w:cs="宋体"/>
                      <w:color w:val="000000" w:themeColor="text1"/>
                      <w:kern w:val="0"/>
                      <w:szCs w:val="21"/>
                      <w:u w:val="single"/>
                      <w14:textFill>
                        <w14:solidFill>
                          <w14:schemeClr w14:val="tx1"/>
                        </w14:solidFill>
                      </w14:textFill>
                    </w:rPr>
                  </w:pPr>
                </w:p>
              </w:tc>
              <w:tc>
                <w:tcPr>
                  <w:tcW w:w="641" w:type="pct"/>
                  <w:tcBorders>
                    <w:top w:val="nil"/>
                    <w:left w:val="nil"/>
                    <w:bottom w:val="single" w:color="auto" w:sz="4" w:space="0"/>
                    <w:right w:val="single" w:color="auto" w:sz="4" w:space="0"/>
                  </w:tcBorders>
                  <w:shd w:val="clear" w:color="auto" w:fill="auto"/>
                  <w:vAlign w:val="center"/>
                </w:tcPr>
                <w:p w14:paraId="7418B18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0EBEB2F4">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2C939556">
                  <w:pPr>
                    <w:widowControl/>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28</w:t>
                  </w:r>
                </w:p>
              </w:tc>
              <w:tc>
                <w:tcPr>
                  <w:tcW w:w="1060" w:type="pct"/>
                  <w:tcBorders>
                    <w:top w:val="nil"/>
                    <w:left w:val="nil"/>
                    <w:bottom w:val="single" w:color="auto" w:sz="4" w:space="0"/>
                    <w:right w:val="single" w:color="auto" w:sz="4" w:space="0"/>
                  </w:tcBorders>
                  <w:shd w:val="clear" w:color="auto" w:fill="auto"/>
                  <w:vAlign w:val="center"/>
                </w:tcPr>
                <w:p w14:paraId="6B3CDD77">
                  <w:pPr>
                    <w:widowControl/>
                    <w:jc w:val="center"/>
                    <w:rPr>
                      <w:rFonts w:cs="宋体"/>
                      <w:color w:val="000000" w:themeColor="text1"/>
                      <w:kern w:val="0"/>
                      <w:szCs w:val="22"/>
                      <w:u w:val="single"/>
                      <w14:textFill>
                        <w14:solidFill>
                          <w14:schemeClr w14:val="tx1"/>
                        </w14:solidFill>
                      </w14:textFill>
                    </w:rPr>
                  </w:pPr>
                  <w:r>
                    <w:rPr>
                      <w:rFonts w:hint="eastAsia" w:cs="宋体"/>
                      <w:color w:val="000000" w:themeColor="text1"/>
                      <w:kern w:val="0"/>
                      <w:szCs w:val="22"/>
                      <w:u w:val="single"/>
                      <w14:textFill>
                        <w14:solidFill>
                          <w14:schemeClr w14:val="tx1"/>
                        </w14:solidFill>
                      </w14:textFill>
                    </w:rPr>
                    <w:t>灰水处理</w:t>
                  </w:r>
                </w:p>
              </w:tc>
              <w:tc>
                <w:tcPr>
                  <w:tcW w:w="1072" w:type="pct"/>
                  <w:tcBorders>
                    <w:top w:val="nil"/>
                    <w:left w:val="nil"/>
                    <w:bottom w:val="single" w:color="auto" w:sz="4" w:space="0"/>
                    <w:right w:val="single" w:color="auto" w:sz="4" w:space="0"/>
                  </w:tcBorders>
                  <w:shd w:val="clear" w:color="auto" w:fill="auto"/>
                  <w:noWrap/>
                  <w:vAlign w:val="center"/>
                </w:tcPr>
                <w:p w14:paraId="1D24F0D4">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废机油</w:t>
                  </w:r>
                </w:p>
              </w:tc>
              <w:tc>
                <w:tcPr>
                  <w:tcW w:w="467" w:type="pct"/>
                  <w:tcBorders>
                    <w:top w:val="nil"/>
                    <w:left w:val="nil"/>
                    <w:bottom w:val="single" w:color="auto" w:sz="4" w:space="0"/>
                    <w:right w:val="single" w:color="auto" w:sz="4" w:space="0"/>
                  </w:tcBorders>
                  <w:shd w:val="clear" w:color="auto" w:fill="auto"/>
                  <w:vAlign w:val="center"/>
                </w:tcPr>
                <w:p w14:paraId="3BDA0DB5">
                  <w:pPr>
                    <w:widowControl/>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t/a</w:t>
                  </w:r>
                </w:p>
              </w:tc>
              <w:tc>
                <w:tcPr>
                  <w:tcW w:w="467" w:type="pct"/>
                  <w:tcBorders>
                    <w:top w:val="nil"/>
                    <w:left w:val="nil"/>
                    <w:bottom w:val="single" w:color="auto" w:sz="4" w:space="0"/>
                    <w:right w:val="single" w:color="auto" w:sz="4" w:space="0"/>
                  </w:tcBorders>
                  <w:shd w:val="clear" w:color="auto" w:fill="auto"/>
                  <w:vAlign w:val="center"/>
                </w:tcPr>
                <w:p w14:paraId="0D805823">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间断</w:t>
                  </w:r>
                </w:p>
              </w:tc>
              <w:tc>
                <w:tcPr>
                  <w:tcW w:w="546" w:type="pct"/>
                  <w:tcBorders>
                    <w:top w:val="nil"/>
                    <w:left w:val="nil"/>
                    <w:bottom w:val="single" w:color="auto" w:sz="4" w:space="0"/>
                    <w:right w:val="single" w:color="auto" w:sz="4" w:space="0"/>
                  </w:tcBorders>
                  <w:shd w:val="clear" w:color="auto" w:fill="auto"/>
                  <w:noWrap/>
                  <w:vAlign w:val="center"/>
                </w:tcPr>
                <w:p w14:paraId="7ABC69A5">
                  <w:pPr>
                    <w:widowControl/>
                    <w:jc w:val="center"/>
                    <w:rPr>
                      <w:color w:val="000000" w:themeColor="text1"/>
                      <w:kern w:val="0"/>
                      <w:szCs w:val="21"/>
                      <w:u w:val="single"/>
                      <w14:textFill>
                        <w14:solidFill>
                          <w14:schemeClr w14:val="tx1"/>
                        </w14:solidFill>
                      </w14:textFill>
                    </w:rPr>
                  </w:pPr>
                  <w:r>
                    <w:rPr>
                      <w:rFonts w:hint="eastAsia"/>
                      <w:color w:val="000000" w:themeColor="text1"/>
                      <w:kern w:val="0"/>
                      <w:szCs w:val="21"/>
                      <w:u w:val="single"/>
                      <w14:textFill>
                        <w14:solidFill>
                          <w14:schemeClr w14:val="tx1"/>
                        </w14:solidFill>
                      </w14:textFill>
                    </w:rPr>
                    <w:t>0.1</w:t>
                  </w:r>
                </w:p>
              </w:tc>
              <w:tc>
                <w:tcPr>
                  <w:tcW w:w="438" w:type="pct"/>
                  <w:tcBorders>
                    <w:left w:val="single" w:color="auto" w:sz="4" w:space="0"/>
                    <w:bottom w:val="single" w:color="auto" w:sz="4" w:space="0"/>
                    <w:right w:val="single" w:color="auto" w:sz="4" w:space="0"/>
                  </w:tcBorders>
                  <w:vAlign w:val="center"/>
                </w:tcPr>
                <w:p w14:paraId="214F1851">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资质单置位处</w:t>
                  </w:r>
                </w:p>
              </w:tc>
              <w:tc>
                <w:tcPr>
                  <w:tcW w:w="641" w:type="pct"/>
                  <w:tcBorders>
                    <w:top w:val="nil"/>
                    <w:left w:val="nil"/>
                    <w:bottom w:val="single" w:color="auto" w:sz="4" w:space="0"/>
                    <w:right w:val="single" w:color="auto" w:sz="4" w:space="0"/>
                  </w:tcBorders>
                  <w:shd w:val="clear" w:color="auto" w:fill="auto"/>
                  <w:vAlign w:val="center"/>
                </w:tcPr>
                <w:p w14:paraId="43AD9A85">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危险废物</w:t>
                  </w:r>
                </w:p>
              </w:tc>
            </w:tr>
            <w:tr w14:paraId="75243373">
              <w:tblPrEx>
                <w:tblCellMar>
                  <w:top w:w="0" w:type="dxa"/>
                  <w:left w:w="108" w:type="dxa"/>
                  <w:bottom w:w="0" w:type="dxa"/>
                  <w:right w:w="108" w:type="dxa"/>
                </w:tblCellMar>
              </w:tblPrEx>
              <w:trPr>
                <w:trHeight w:val="34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4F87D420">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2</w:t>
                  </w:r>
                  <w:r>
                    <w:rPr>
                      <w:rFonts w:hint="eastAsia"/>
                      <w:color w:val="000000" w:themeColor="text1"/>
                      <w:kern w:val="0"/>
                      <w:szCs w:val="21"/>
                      <w:u w:val="single"/>
                      <w14:textFill>
                        <w14:solidFill>
                          <w14:schemeClr w14:val="tx1"/>
                        </w14:solidFill>
                      </w14:textFill>
                    </w:rPr>
                    <w:t>9</w:t>
                  </w:r>
                </w:p>
              </w:tc>
              <w:tc>
                <w:tcPr>
                  <w:tcW w:w="1060" w:type="pct"/>
                  <w:tcBorders>
                    <w:top w:val="nil"/>
                    <w:left w:val="nil"/>
                    <w:bottom w:val="single" w:color="auto" w:sz="4" w:space="0"/>
                    <w:right w:val="single" w:color="auto" w:sz="4" w:space="0"/>
                  </w:tcBorders>
                  <w:shd w:val="clear" w:color="auto" w:fill="auto"/>
                  <w:vAlign w:val="center"/>
                </w:tcPr>
                <w:p w14:paraId="2E95821B">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辅助设施</w:t>
                  </w:r>
                </w:p>
              </w:tc>
              <w:tc>
                <w:tcPr>
                  <w:tcW w:w="1072" w:type="pct"/>
                  <w:tcBorders>
                    <w:top w:val="nil"/>
                    <w:left w:val="nil"/>
                    <w:bottom w:val="single" w:color="auto" w:sz="4" w:space="0"/>
                    <w:right w:val="single" w:color="auto" w:sz="4" w:space="0"/>
                  </w:tcBorders>
                  <w:shd w:val="clear" w:color="auto" w:fill="auto"/>
                  <w:vAlign w:val="center"/>
                </w:tcPr>
                <w:p w14:paraId="2392892C">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生活垃圾</w:t>
                  </w:r>
                </w:p>
              </w:tc>
              <w:tc>
                <w:tcPr>
                  <w:tcW w:w="467" w:type="pct"/>
                  <w:tcBorders>
                    <w:top w:val="nil"/>
                    <w:left w:val="nil"/>
                    <w:bottom w:val="single" w:color="auto" w:sz="4" w:space="0"/>
                    <w:right w:val="single" w:color="auto" w:sz="4" w:space="0"/>
                  </w:tcBorders>
                  <w:shd w:val="clear" w:color="auto" w:fill="auto"/>
                  <w:vAlign w:val="center"/>
                </w:tcPr>
                <w:p w14:paraId="064C2831">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t/a</w:t>
                  </w:r>
                </w:p>
              </w:tc>
              <w:tc>
                <w:tcPr>
                  <w:tcW w:w="467" w:type="pct"/>
                  <w:tcBorders>
                    <w:top w:val="nil"/>
                    <w:left w:val="nil"/>
                    <w:bottom w:val="single" w:color="auto" w:sz="4" w:space="0"/>
                    <w:right w:val="single" w:color="auto" w:sz="4" w:space="0"/>
                  </w:tcBorders>
                  <w:shd w:val="clear" w:color="auto" w:fill="auto"/>
                  <w:vAlign w:val="center"/>
                </w:tcPr>
                <w:p w14:paraId="057F3EFC">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间断</w:t>
                  </w:r>
                </w:p>
              </w:tc>
              <w:tc>
                <w:tcPr>
                  <w:tcW w:w="546" w:type="pct"/>
                  <w:tcBorders>
                    <w:top w:val="nil"/>
                    <w:left w:val="nil"/>
                    <w:bottom w:val="single" w:color="auto" w:sz="4" w:space="0"/>
                    <w:right w:val="single" w:color="auto" w:sz="4" w:space="0"/>
                  </w:tcBorders>
                  <w:shd w:val="clear" w:color="auto" w:fill="auto"/>
                  <w:vAlign w:val="center"/>
                </w:tcPr>
                <w:p w14:paraId="1C55E2F7">
                  <w:pPr>
                    <w:widowControl/>
                    <w:jc w:val="center"/>
                    <w:rPr>
                      <w:color w:val="000000" w:themeColor="text1"/>
                      <w:kern w:val="0"/>
                      <w:szCs w:val="21"/>
                      <w:u w:val="single"/>
                      <w14:textFill>
                        <w14:solidFill>
                          <w14:schemeClr w14:val="tx1"/>
                        </w14:solidFill>
                      </w14:textFill>
                    </w:rPr>
                  </w:pPr>
                  <w:r>
                    <w:rPr>
                      <w:color w:val="000000" w:themeColor="text1"/>
                      <w:kern w:val="0"/>
                      <w:szCs w:val="21"/>
                      <w:u w:val="single"/>
                      <w14:textFill>
                        <w14:solidFill>
                          <w14:schemeClr w14:val="tx1"/>
                        </w14:solidFill>
                      </w14:textFill>
                    </w:rPr>
                    <w:t>175</w:t>
                  </w:r>
                </w:p>
              </w:tc>
              <w:tc>
                <w:tcPr>
                  <w:tcW w:w="438" w:type="pct"/>
                  <w:tcBorders>
                    <w:top w:val="nil"/>
                    <w:left w:val="nil"/>
                    <w:bottom w:val="single" w:color="auto" w:sz="4" w:space="0"/>
                    <w:right w:val="single" w:color="auto" w:sz="4" w:space="0"/>
                  </w:tcBorders>
                  <w:shd w:val="clear" w:color="auto" w:fill="auto"/>
                  <w:vAlign w:val="center"/>
                </w:tcPr>
                <w:p w14:paraId="74346A73">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环卫外运</w:t>
                  </w:r>
                </w:p>
              </w:tc>
              <w:tc>
                <w:tcPr>
                  <w:tcW w:w="641" w:type="pct"/>
                  <w:tcBorders>
                    <w:top w:val="nil"/>
                    <w:left w:val="nil"/>
                    <w:bottom w:val="single" w:color="auto" w:sz="4" w:space="0"/>
                    <w:right w:val="single" w:color="auto" w:sz="4" w:space="0"/>
                  </w:tcBorders>
                  <w:shd w:val="clear" w:color="auto" w:fill="auto"/>
                  <w:vAlign w:val="center"/>
                </w:tcPr>
                <w:p w14:paraId="4A09FB30">
                  <w:pPr>
                    <w:widowControl/>
                    <w:jc w:val="center"/>
                    <w:rPr>
                      <w:rFonts w:cs="宋体"/>
                      <w:color w:val="000000" w:themeColor="text1"/>
                      <w:kern w:val="0"/>
                      <w:szCs w:val="21"/>
                      <w:u w:val="single"/>
                      <w14:textFill>
                        <w14:solidFill>
                          <w14:schemeClr w14:val="tx1"/>
                        </w14:solidFill>
                      </w14:textFill>
                    </w:rPr>
                  </w:pPr>
                  <w:r>
                    <w:rPr>
                      <w:rFonts w:hint="eastAsia" w:cs="宋体"/>
                      <w:color w:val="000000" w:themeColor="text1"/>
                      <w:kern w:val="0"/>
                      <w:szCs w:val="21"/>
                      <w:u w:val="single"/>
                      <w14:textFill>
                        <w14:solidFill>
                          <w14:schemeClr w14:val="tx1"/>
                        </w14:solidFill>
                      </w14:textFill>
                    </w:rPr>
                    <w:t>一般固废</w:t>
                  </w:r>
                </w:p>
              </w:tc>
            </w:tr>
          </w:tbl>
          <w:p w14:paraId="7AF5E256">
            <w:pPr>
              <w:spacing w:line="500" w:lineRule="atLeast"/>
              <w:ind w:firstLine="482" w:firstLineChars="200"/>
              <w:jc w:val="left"/>
              <w:rPr>
                <w:rFonts w:hint="eastAsia" w:eastAsia="宋体"/>
                <w:b/>
                <w:sz w:val="24"/>
                <w:lang w:val="en-US" w:eastAsia="zh-CN"/>
              </w:rPr>
            </w:pPr>
            <w:r>
              <w:rPr>
                <w:rFonts w:hint="eastAsia"/>
                <w:b/>
                <w:sz w:val="24"/>
                <w:lang w:val="en-US" w:eastAsia="zh-CN"/>
              </w:rPr>
              <w:t>六、现有工程环境管理现状</w:t>
            </w:r>
          </w:p>
          <w:p w14:paraId="36BF0CA1">
            <w:pPr>
              <w:spacing w:line="500" w:lineRule="atLeast"/>
              <w:ind w:firstLine="482" w:firstLineChars="200"/>
              <w:jc w:val="left"/>
              <w:rPr>
                <w:rFonts w:hint="default" w:eastAsia="宋体"/>
                <w:b/>
                <w:sz w:val="24"/>
                <w:lang w:val="en-US" w:eastAsia="zh-CN"/>
              </w:rPr>
            </w:pPr>
            <w:r>
              <w:rPr>
                <w:rFonts w:hint="eastAsia"/>
                <w:b/>
                <w:sz w:val="24"/>
                <w:lang w:val="en-US" w:eastAsia="zh-CN"/>
              </w:rPr>
              <w:t>6.1环境管理</w:t>
            </w:r>
          </w:p>
          <w:p w14:paraId="6471D8BB">
            <w:pPr>
              <w:spacing w:line="500" w:lineRule="atLeast"/>
              <w:ind w:firstLine="480" w:firstLineChars="200"/>
              <w:jc w:val="left"/>
              <w:rPr>
                <w:rFonts w:hint="eastAsia"/>
                <w:b w:val="0"/>
                <w:bCs/>
                <w:sz w:val="24"/>
              </w:rPr>
            </w:pPr>
            <w:r>
              <w:rPr>
                <w:rFonts w:hint="eastAsia"/>
                <w:b w:val="0"/>
                <w:bCs/>
                <w:sz w:val="24"/>
              </w:rPr>
              <w:t>建设单位设有安全环保部门，负责管理环境、安全、职业卫生工作，已制定了厂区的相应规章制度。该部门主要职责包括：宣传贯彻国家及地方各项环保、安全和职业卫生相关法规、条例和标准，并协助、指导公司内各企业严格落实实施；制定本公司各项环保管理制度，规定和控制污染物的排放指标，并督促检查，落实执行；负责组织环境污染事故的调查、处理、建档、协调和开展“三废”日常管理和例行监测；协助拟定并组织执行应急演习计划。</w:t>
            </w:r>
          </w:p>
          <w:p w14:paraId="2538157B">
            <w:pPr>
              <w:spacing w:line="500" w:lineRule="atLeast"/>
              <w:ind w:firstLine="480" w:firstLineChars="200"/>
              <w:jc w:val="left"/>
              <w:rPr>
                <w:rFonts w:hint="eastAsia"/>
                <w:b w:val="0"/>
                <w:bCs/>
                <w:sz w:val="24"/>
              </w:rPr>
            </w:pPr>
            <w:r>
              <w:rPr>
                <w:rFonts w:hint="eastAsia"/>
                <w:b w:val="0"/>
                <w:bCs/>
                <w:sz w:val="24"/>
              </w:rPr>
              <w:t>为了搞好公司的环境保护工作，防止造成环境污染，公司已制定了环境保护管理制度，规定了各部门在环境保护方面的职责，从技术角度规定了“三废”治理排放的管理措施。</w:t>
            </w:r>
          </w:p>
          <w:p w14:paraId="20C00AF8">
            <w:pPr>
              <w:spacing w:line="500" w:lineRule="atLeast"/>
              <w:ind w:firstLine="482" w:firstLineChars="200"/>
              <w:jc w:val="left"/>
              <w:rPr>
                <w:rFonts w:hint="eastAsia" w:eastAsia="宋体"/>
                <w:b/>
                <w:bCs w:val="0"/>
                <w:sz w:val="24"/>
                <w:lang w:val="en-US" w:eastAsia="zh-CN"/>
              </w:rPr>
            </w:pPr>
            <w:r>
              <w:rPr>
                <w:rFonts w:hint="eastAsia"/>
                <w:b/>
                <w:bCs w:val="0"/>
                <w:sz w:val="24"/>
                <w:lang w:val="en-US" w:eastAsia="zh-CN"/>
              </w:rPr>
              <w:t>6.2环境风险管理</w:t>
            </w:r>
          </w:p>
          <w:p w14:paraId="43986C87">
            <w:pPr>
              <w:spacing w:line="500" w:lineRule="atLeast"/>
              <w:ind w:firstLine="482" w:firstLineChars="200"/>
              <w:jc w:val="left"/>
              <w:rPr>
                <w:rFonts w:hint="default" w:eastAsia="宋体"/>
                <w:b/>
                <w:bCs w:val="0"/>
                <w:sz w:val="24"/>
                <w:u w:val="single"/>
                <w:lang w:val="en-US" w:eastAsia="zh-CN"/>
              </w:rPr>
            </w:pPr>
            <w:r>
              <w:rPr>
                <w:rFonts w:hint="eastAsia"/>
                <w:b/>
                <w:bCs w:val="0"/>
                <w:sz w:val="24"/>
                <w:u w:val="single"/>
                <w:lang w:val="en-US" w:eastAsia="zh-CN"/>
              </w:rPr>
              <w:t>1、现有工程风险回顾</w:t>
            </w:r>
          </w:p>
          <w:p w14:paraId="7BB80C7A">
            <w:pPr>
              <w:spacing w:line="500" w:lineRule="atLeast"/>
              <w:ind w:firstLine="480" w:firstLineChars="200"/>
              <w:jc w:val="left"/>
              <w:rPr>
                <w:rFonts w:hint="eastAsia"/>
                <w:b w:val="0"/>
                <w:bCs/>
                <w:sz w:val="24"/>
                <w:u w:val="single"/>
              </w:rPr>
            </w:pPr>
            <w:r>
              <w:rPr>
                <w:rFonts w:hint="eastAsia"/>
                <w:b w:val="0"/>
                <w:bCs/>
                <w:sz w:val="24"/>
                <w:u w:val="single"/>
              </w:rPr>
              <w:t>广西华谊能化在钦州石化产业园厂区，被海豚路一分为二，海豚路西侧厂区为广西能化一期及二期项目，海豚路东侧为广西能化三期项目（甲醇制烯烃及下游深加工一体化项目），目前为在建状态。本项目位于海豚路西侧厂区，两个厂区相对独立，因此本项目重点回顾西侧厂区涉及的内容。</w:t>
            </w:r>
          </w:p>
          <w:p w14:paraId="454A1644">
            <w:pPr>
              <w:spacing w:line="500" w:lineRule="atLeast"/>
              <w:ind w:firstLine="482" w:firstLineChars="200"/>
              <w:jc w:val="left"/>
              <w:rPr>
                <w:rFonts w:hint="eastAsia" w:eastAsia="宋体"/>
                <w:b/>
                <w:bCs w:val="0"/>
                <w:sz w:val="24"/>
                <w:u w:val="single"/>
                <w:lang w:eastAsia="zh-CN"/>
              </w:rPr>
            </w:pPr>
            <w:r>
              <w:rPr>
                <w:rFonts w:hint="eastAsia"/>
                <w:b/>
                <w:bCs w:val="0"/>
                <w:sz w:val="24"/>
                <w:u w:val="single"/>
                <w:lang w:val="en-US" w:eastAsia="zh-CN"/>
              </w:rPr>
              <w:t>2、</w:t>
            </w:r>
            <w:r>
              <w:rPr>
                <w:rFonts w:hint="eastAsia"/>
                <w:b/>
                <w:bCs w:val="0"/>
                <w:sz w:val="24"/>
                <w:u w:val="single"/>
                <w:lang w:eastAsia="zh-CN"/>
              </w:rPr>
              <w:t>现有工程的行业、工艺和化学品情况</w:t>
            </w:r>
          </w:p>
          <w:p w14:paraId="041DB9C8">
            <w:pPr>
              <w:spacing w:line="500" w:lineRule="atLeast"/>
              <w:ind w:firstLine="480" w:firstLineChars="200"/>
              <w:jc w:val="left"/>
              <w:rPr>
                <w:rFonts w:hint="eastAsia"/>
                <w:b w:val="0"/>
                <w:bCs/>
                <w:sz w:val="24"/>
                <w:u w:val="single"/>
              </w:rPr>
            </w:pPr>
            <w:r>
              <w:rPr>
                <w:rFonts w:hint="default" w:ascii="Times New Roman" w:hAnsi="Times New Roman" w:eastAsia="宋体" w:cs="Times New Roman"/>
                <w:b w:val="0"/>
                <w:bCs/>
                <w:sz w:val="24"/>
                <w:u w:val="single"/>
                <w:lang w:eastAsia="zh-CN"/>
              </w:rPr>
              <w:t>（</w:t>
            </w:r>
            <w:r>
              <w:rPr>
                <w:rFonts w:hint="default" w:ascii="Times New Roman" w:hAnsi="Times New Roman" w:eastAsia="宋体" w:cs="Times New Roman"/>
                <w:b w:val="0"/>
                <w:bCs/>
                <w:sz w:val="24"/>
                <w:u w:val="single"/>
                <w:lang w:val="en-US" w:eastAsia="zh-CN"/>
              </w:rPr>
              <w:t>1</w:t>
            </w:r>
            <w:r>
              <w:rPr>
                <w:rFonts w:hint="default" w:ascii="Times New Roman" w:hAnsi="Times New Roman" w:eastAsia="宋体" w:cs="Times New Roman"/>
                <w:b w:val="0"/>
                <w:bCs/>
                <w:sz w:val="24"/>
                <w:u w:val="single"/>
                <w:lang w:eastAsia="zh-CN"/>
              </w:rPr>
              <w:t>）</w:t>
            </w:r>
            <w:r>
              <w:rPr>
                <w:rFonts w:hint="default" w:ascii="Times New Roman" w:hAnsi="Times New Roman" w:cs="Times New Roman"/>
                <w:b w:val="0"/>
                <w:bCs/>
                <w:sz w:val="24"/>
                <w:u w:val="single"/>
                <w:lang w:eastAsia="zh-CN"/>
              </w:rPr>
              <w:t>现有工程概述及生产工艺特点</w:t>
            </w:r>
          </w:p>
          <w:p w14:paraId="5929AEAB">
            <w:pPr>
              <w:spacing w:line="500" w:lineRule="atLeast"/>
              <w:ind w:firstLine="480" w:firstLineChars="200"/>
              <w:jc w:val="left"/>
              <w:rPr>
                <w:rFonts w:hint="eastAsia"/>
                <w:b w:val="0"/>
                <w:bCs/>
                <w:sz w:val="24"/>
                <w:u w:val="single"/>
              </w:rPr>
            </w:pPr>
            <w:r>
              <w:rPr>
                <w:rFonts w:hint="eastAsia"/>
                <w:b w:val="0"/>
                <w:bCs/>
                <w:sz w:val="24"/>
                <w:u w:val="single"/>
              </w:rPr>
              <w:t>现有工程主要从事煤气化、空分、氢气、乙二醇、硫磺、甲醇、醋酸等的生产，属于化工行业。上述各装置均有独立的生产区域。对照《建设项目环境风险评价技术导则》（HJ169-2018，以下简称“风险导则”）附录C表6.1中“石化、化工”行业范围，企业的生产工艺情况为：</w:t>
            </w:r>
          </w:p>
          <w:p w14:paraId="395FB899">
            <w:pPr>
              <w:spacing w:line="500" w:lineRule="atLeast"/>
              <w:ind w:firstLine="480" w:firstLineChars="200"/>
              <w:jc w:val="left"/>
              <w:rPr>
                <w:rFonts w:hint="eastAsia"/>
                <w:b w:val="0"/>
                <w:bCs/>
                <w:sz w:val="24"/>
                <w:u w:val="single"/>
              </w:rPr>
            </w:pPr>
            <w:r>
              <w:rPr>
                <w:rFonts w:hint="eastAsia"/>
                <w:b w:val="0"/>
                <w:bCs/>
                <w:sz w:val="24"/>
                <w:u w:val="single"/>
              </w:rPr>
              <w:t>企业共有煤制甲醇两套、甲醇制醋酸两套、煤制乙二醇一套，其均属于新型煤化工工艺；</w:t>
            </w:r>
          </w:p>
          <w:p w14:paraId="55DF6164">
            <w:pPr>
              <w:spacing w:line="500" w:lineRule="atLeast"/>
              <w:ind w:firstLine="480" w:firstLineChars="200"/>
              <w:jc w:val="left"/>
              <w:rPr>
                <w:rFonts w:hint="eastAsia"/>
                <w:b w:val="0"/>
                <w:bCs/>
                <w:sz w:val="24"/>
                <w:u w:val="single"/>
              </w:rPr>
            </w:pPr>
            <w:r>
              <w:rPr>
                <w:rFonts w:hint="eastAsia"/>
                <w:b w:val="0"/>
                <w:bCs/>
                <w:sz w:val="24"/>
                <w:u w:val="single"/>
              </w:rPr>
              <w:t>涉及危险物质储存罐区；</w:t>
            </w:r>
          </w:p>
          <w:p w14:paraId="63E3AA57">
            <w:pPr>
              <w:spacing w:line="500" w:lineRule="atLeast"/>
              <w:ind w:firstLine="480" w:firstLineChars="200"/>
              <w:jc w:val="left"/>
              <w:rPr>
                <w:rFonts w:hint="eastAsia"/>
                <w:b w:val="0"/>
                <w:bCs/>
                <w:sz w:val="24"/>
                <w:u w:val="single"/>
              </w:rPr>
            </w:pPr>
            <w:r>
              <w:rPr>
                <w:rFonts w:hint="eastAsia"/>
                <w:b w:val="0"/>
                <w:bCs/>
                <w:sz w:val="24"/>
                <w:u w:val="single"/>
              </w:rPr>
              <w:t>现有工程涉及生产工艺温度≥300℃的高温工序，不涉及压力容器的设计压力（p）≥10.0MPa高压工序的生产过程；</w:t>
            </w:r>
          </w:p>
          <w:p w14:paraId="694F636F">
            <w:pPr>
              <w:spacing w:line="500" w:lineRule="atLeast"/>
              <w:ind w:firstLine="480" w:firstLineChars="200"/>
              <w:jc w:val="left"/>
              <w:rPr>
                <w:rFonts w:hint="eastAsia"/>
                <w:b w:val="0"/>
                <w:bCs/>
                <w:sz w:val="24"/>
                <w:u w:val="single"/>
              </w:rPr>
            </w:pPr>
            <w:r>
              <w:rPr>
                <w:rFonts w:hint="eastAsia"/>
                <w:b w:val="0"/>
                <w:bCs/>
                <w:sz w:val="24"/>
                <w:u w:val="single"/>
              </w:rPr>
              <w:t>不涉及无机酸制酸工艺、焦化工艺。</w:t>
            </w:r>
          </w:p>
          <w:p w14:paraId="739A416E">
            <w:pPr>
              <w:spacing w:line="500" w:lineRule="atLeast"/>
              <w:ind w:firstLine="480" w:firstLineChars="200"/>
              <w:jc w:val="left"/>
              <w:rPr>
                <w:rFonts w:hint="eastAsia" w:ascii="宋体" w:hAnsi="宋体" w:eastAsia="宋体" w:cs="宋体"/>
                <w:b w:val="0"/>
                <w:bCs/>
                <w:sz w:val="24"/>
                <w:u w:val="single"/>
              </w:rPr>
            </w:pPr>
            <w:r>
              <w:rPr>
                <w:rFonts w:hint="default" w:ascii="Times New Roman" w:hAnsi="Times New Roman" w:eastAsia="宋体" w:cs="Times New Roman"/>
                <w:b w:val="0"/>
                <w:bCs/>
                <w:sz w:val="24"/>
                <w:u w:val="single"/>
                <w:lang w:eastAsia="zh-CN"/>
              </w:rPr>
              <w:t>（</w:t>
            </w:r>
            <w:r>
              <w:rPr>
                <w:rFonts w:hint="default" w:ascii="Times New Roman" w:hAnsi="Times New Roman" w:eastAsia="宋体" w:cs="Times New Roman"/>
                <w:b w:val="0"/>
                <w:bCs/>
                <w:sz w:val="24"/>
                <w:u w:val="single"/>
                <w:lang w:val="en-US" w:eastAsia="zh-CN"/>
              </w:rPr>
              <w:t>2</w:t>
            </w:r>
            <w:r>
              <w:rPr>
                <w:rFonts w:hint="default" w:ascii="Times New Roman" w:hAnsi="Times New Roman" w:eastAsia="宋体" w:cs="Times New Roman"/>
                <w:b w:val="0"/>
                <w:bCs/>
                <w:sz w:val="24"/>
                <w:u w:val="single"/>
                <w:lang w:eastAsia="zh-CN"/>
              </w:rPr>
              <w:t>）</w:t>
            </w:r>
            <w:r>
              <w:rPr>
                <w:rFonts w:hint="default" w:ascii="Times New Roman" w:hAnsi="Times New Roman" w:eastAsia="宋体" w:cs="Times New Roman"/>
                <w:b w:val="0"/>
                <w:bCs/>
                <w:sz w:val="24"/>
                <w:u w:val="single"/>
              </w:rPr>
              <w:t>化学品使用情况</w:t>
            </w:r>
          </w:p>
          <w:p w14:paraId="03071A21">
            <w:pPr>
              <w:spacing w:line="500" w:lineRule="atLeast"/>
              <w:ind w:firstLine="480" w:firstLineChars="200"/>
              <w:jc w:val="left"/>
              <w:rPr>
                <w:rFonts w:hint="eastAsia"/>
                <w:b w:val="0"/>
                <w:bCs/>
                <w:sz w:val="24"/>
                <w:u w:val="single"/>
              </w:rPr>
            </w:pPr>
            <w:r>
              <w:rPr>
                <w:rFonts w:hint="eastAsia"/>
                <w:b w:val="0"/>
                <w:bCs/>
                <w:sz w:val="24"/>
                <w:u w:val="single"/>
              </w:rPr>
              <w:t>各装置涉及的主要化学品情况见表</w:t>
            </w:r>
            <w:r>
              <w:rPr>
                <w:rFonts w:hint="eastAsia"/>
                <w:b w:val="0"/>
                <w:bCs/>
                <w:sz w:val="24"/>
                <w:u w:val="single"/>
                <w:lang w:val="en-US" w:eastAsia="zh-CN"/>
              </w:rPr>
              <w:t>2-22</w:t>
            </w:r>
            <w:r>
              <w:rPr>
                <w:rFonts w:hint="eastAsia"/>
                <w:b w:val="0"/>
                <w:bCs/>
                <w:sz w:val="24"/>
                <w:u w:val="single"/>
              </w:rPr>
              <w:t>。</w:t>
            </w:r>
          </w:p>
          <w:p w14:paraId="3F71AC79">
            <w:pPr>
              <w:pStyle w:val="51"/>
              <w:numPr>
                <w:ilvl w:val="2"/>
                <w:numId w:val="3"/>
              </w:numPr>
              <w:spacing w:line="500" w:lineRule="atLeast"/>
              <w:ind w:firstLineChars="0"/>
              <w:jc w:val="center"/>
              <w:rPr>
                <w:rFonts w:hint="eastAsia"/>
                <w:b w:val="0"/>
                <w:bCs/>
                <w:sz w:val="24"/>
                <w:u w:val="single"/>
              </w:rPr>
            </w:pPr>
            <w:r>
              <w:rPr>
                <w:rFonts w:hint="eastAsia"/>
                <w:b/>
                <w:sz w:val="24"/>
                <w:u w:val="single"/>
              </w:rPr>
              <w:t>各装置涉及的主要化学品情况</w:t>
            </w:r>
          </w:p>
          <w:tbl>
            <w:tblPr>
              <w:tblStyle w:val="26"/>
              <w:tblW w:w="5000" w:type="pct"/>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760"/>
              <w:gridCol w:w="6152"/>
            </w:tblGrid>
            <w:tr w14:paraId="7B73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98" w:type="pct"/>
                  <w:noWrap w:val="0"/>
                  <w:tcMar>
                    <w:left w:w="28" w:type="dxa"/>
                    <w:right w:w="28" w:type="dxa"/>
                  </w:tcMar>
                  <w:vAlign w:val="center"/>
                </w:tcPr>
                <w:p w14:paraId="258D20FD">
                  <w:pPr>
                    <w:pStyle w:val="83"/>
                    <w:rPr>
                      <w:bCs/>
                      <w:sz w:val="21"/>
                      <w:szCs w:val="21"/>
                      <w:u w:val="single"/>
                    </w:rPr>
                  </w:pPr>
                  <w:r>
                    <w:rPr>
                      <w:bCs/>
                      <w:sz w:val="21"/>
                      <w:szCs w:val="21"/>
                      <w:u w:val="single"/>
                    </w:rPr>
                    <w:t>序号</w:t>
                  </w:r>
                </w:p>
              </w:tc>
              <w:tc>
                <w:tcPr>
                  <w:tcW w:w="1046" w:type="pct"/>
                  <w:noWrap w:val="0"/>
                  <w:tcMar>
                    <w:left w:w="28" w:type="dxa"/>
                    <w:right w:w="28" w:type="dxa"/>
                  </w:tcMar>
                  <w:vAlign w:val="center"/>
                </w:tcPr>
                <w:p w14:paraId="312AD2B9">
                  <w:pPr>
                    <w:pStyle w:val="83"/>
                    <w:rPr>
                      <w:bCs/>
                      <w:sz w:val="21"/>
                      <w:szCs w:val="21"/>
                      <w:u w:val="single"/>
                    </w:rPr>
                  </w:pPr>
                  <w:r>
                    <w:rPr>
                      <w:bCs/>
                      <w:sz w:val="21"/>
                      <w:szCs w:val="21"/>
                      <w:u w:val="single"/>
                    </w:rPr>
                    <w:t>装置</w:t>
                  </w:r>
                </w:p>
              </w:tc>
              <w:tc>
                <w:tcPr>
                  <w:tcW w:w="3656" w:type="pct"/>
                  <w:noWrap w:val="0"/>
                  <w:vAlign w:val="center"/>
                </w:tcPr>
                <w:p w14:paraId="646DADA7">
                  <w:pPr>
                    <w:pStyle w:val="83"/>
                    <w:rPr>
                      <w:bCs/>
                      <w:sz w:val="21"/>
                      <w:szCs w:val="21"/>
                      <w:u w:val="single"/>
                    </w:rPr>
                  </w:pPr>
                  <w:r>
                    <w:rPr>
                      <w:bCs/>
                      <w:sz w:val="21"/>
                      <w:szCs w:val="21"/>
                      <w:u w:val="single"/>
                    </w:rPr>
                    <w:t>涉及的主要化学品</w:t>
                  </w:r>
                </w:p>
              </w:tc>
            </w:tr>
            <w:tr w14:paraId="2BD8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67786090">
                  <w:pPr>
                    <w:pStyle w:val="83"/>
                    <w:rPr>
                      <w:sz w:val="21"/>
                      <w:szCs w:val="21"/>
                      <w:u w:val="single"/>
                    </w:rPr>
                  </w:pPr>
                  <w:r>
                    <w:rPr>
                      <w:sz w:val="21"/>
                      <w:szCs w:val="21"/>
                      <w:u w:val="single"/>
                    </w:rPr>
                    <w:t>1</w:t>
                  </w:r>
                </w:p>
              </w:tc>
              <w:tc>
                <w:tcPr>
                  <w:tcW w:w="1046" w:type="pct"/>
                  <w:noWrap w:val="0"/>
                  <w:tcMar>
                    <w:left w:w="28" w:type="dxa"/>
                    <w:right w:w="28" w:type="dxa"/>
                  </w:tcMar>
                  <w:vAlign w:val="center"/>
                </w:tcPr>
                <w:p w14:paraId="1947F5CC">
                  <w:pPr>
                    <w:pStyle w:val="83"/>
                    <w:rPr>
                      <w:sz w:val="21"/>
                      <w:szCs w:val="21"/>
                      <w:u w:val="single"/>
                    </w:rPr>
                  </w:pPr>
                  <w:r>
                    <w:rPr>
                      <w:rFonts w:hint="eastAsia"/>
                      <w:sz w:val="21"/>
                      <w:szCs w:val="21"/>
                      <w:u w:val="single"/>
                    </w:rPr>
                    <w:t>煤气化装置</w:t>
                  </w:r>
                </w:p>
              </w:tc>
              <w:tc>
                <w:tcPr>
                  <w:tcW w:w="3656" w:type="pct"/>
                  <w:noWrap w:val="0"/>
                  <w:vAlign w:val="center"/>
                </w:tcPr>
                <w:p w14:paraId="2D7E9F0E">
                  <w:pPr>
                    <w:pStyle w:val="83"/>
                    <w:rPr>
                      <w:sz w:val="21"/>
                      <w:szCs w:val="21"/>
                      <w:u w:val="single"/>
                    </w:rPr>
                  </w:pPr>
                  <w:r>
                    <w:rPr>
                      <w:rFonts w:hint="eastAsia"/>
                      <w:sz w:val="21"/>
                      <w:szCs w:val="21"/>
                      <w:u w:val="single"/>
                    </w:rPr>
                    <w:t>煤、氧气、C</w:t>
                  </w:r>
                  <w:r>
                    <w:rPr>
                      <w:sz w:val="21"/>
                      <w:szCs w:val="21"/>
                      <w:u w:val="single"/>
                    </w:rPr>
                    <w:t>O</w:t>
                  </w:r>
                  <w:r>
                    <w:rPr>
                      <w:sz w:val="21"/>
                      <w:szCs w:val="21"/>
                      <w:u w:val="single"/>
                      <w:vertAlign w:val="subscript"/>
                    </w:rPr>
                    <w:t>2</w:t>
                  </w:r>
                  <w:r>
                    <w:rPr>
                      <w:rFonts w:hint="eastAsia"/>
                      <w:sz w:val="21"/>
                      <w:szCs w:val="21"/>
                      <w:u w:val="single"/>
                    </w:rPr>
                    <w:t>、粗煤气等</w:t>
                  </w:r>
                </w:p>
              </w:tc>
            </w:tr>
            <w:tr w14:paraId="4B54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7CADE2BA">
                  <w:pPr>
                    <w:pStyle w:val="83"/>
                    <w:rPr>
                      <w:sz w:val="21"/>
                      <w:szCs w:val="21"/>
                      <w:u w:val="single"/>
                    </w:rPr>
                  </w:pPr>
                  <w:r>
                    <w:rPr>
                      <w:sz w:val="21"/>
                      <w:szCs w:val="21"/>
                      <w:u w:val="single"/>
                    </w:rPr>
                    <w:t>2</w:t>
                  </w:r>
                </w:p>
              </w:tc>
              <w:tc>
                <w:tcPr>
                  <w:tcW w:w="1046" w:type="pct"/>
                  <w:noWrap w:val="0"/>
                  <w:tcMar>
                    <w:left w:w="28" w:type="dxa"/>
                    <w:right w:w="28" w:type="dxa"/>
                  </w:tcMar>
                  <w:vAlign w:val="center"/>
                </w:tcPr>
                <w:p w14:paraId="06FEBEDA">
                  <w:pPr>
                    <w:pStyle w:val="83"/>
                    <w:rPr>
                      <w:sz w:val="21"/>
                      <w:szCs w:val="21"/>
                      <w:u w:val="single"/>
                    </w:rPr>
                  </w:pPr>
                  <w:r>
                    <w:rPr>
                      <w:rFonts w:hint="eastAsia"/>
                      <w:sz w:val="21"/>
                      <w:szCs w:val="21"/>
                      <w:u w:val="single"/>
                    </w:rPr>
                    <w:t>净化及C</w:t>
                  </w:r>
                  <w:r>
                    <w:rPr>
                      <w:sz w:val="21"/>
                      <w:szCs w:val="21"/>
                      <w:u w:val="single"/>
                    </w:rPr>
                    <w:t>O</w:t>
                  </w:r>
                  <w:r>
                    <w:rPr>
                      <w:rFonts w:hint="eastAsia"/>
                      <w:sz w:val="21"/>
                      <w:szCs w:val="21"/>
                      <w:u w:val="single"/>
                    </w:rPr>
                    <w:t>分离装置</w:t>
                  </w:r>
                </w:p>
              </w:tc>
              <w:tc>
                <w:tcPr>
                  <w:tcW w:w="3656" w:type="pct"/>
                  <w:noWrap w:val="0"/>
                  <w:vAlign w:val="center"/>
                </w:tcPr>
                <w:p w14:paraId="0E33BC5A">
                  <w:pPr>
                    <w:pStyle w:val="83"/>
                    <w:rPr>
                      <w:sz w:val="21"/>
                      <w:szCs w:val="21"/>
                      <w:u w:val="single"/>
                    </w:rPr>
                  </w:pPr>
                  <w:r>
                    <w:rPr>
                      <w:rFonts w:hint="eastAsia"/>
                      <w:sz w:val="21"/>
                      <w:szCs w:val="21"/>
                      <w:u w:val="single"/>
                    </w:rPr>
                    <w:t>粗煤气、氨水、甲醇、氢气、燃料气、硫磺、C</w:t>
                  </w:r>
                  <w:r>
                    <w:rPr>
                      <w:sz w:val="21"/>
                      <w:szCs w:val="21"/>
                      <w:u w:val="single"/>
                    </w:rPr>
                    <w:t>O</w:t>
                  </w:r>
                  <w:r>
                    <w:rPr>
                      <w:rFonts w:hint="eastAsia"/>
                      <w:sz w:val="21"/>
                      <w:szCs w:val="21"/>
                      <w:u w:val="single"/>
                    </w:rPr>
                    <w:t>等</w:t>
                  </w:r>
                </w:p>
              </w:tc>
            </w:tr>
            <w:tr w14:paraId="44BE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14E6E3FA">
                  <w:pPr>
                    <w:pStyle w:val="83"/>
                    <w:rPr>
                      <w:sz w:val="21"/>
                      <w:szCs w:val="21"/>
                      <w:u w:val="single"/>
                    </w:rPr>
                  </w:pPr>
                  <w:r>
                    <w:rPr>
                      <w:sz w:val="21"/>
                      <w:szCs w:val="21"/>
                      <w:u w:val="single"/>
                    </w:rPr>
                    <w:t>3</w:t>
                  </w:r>
                </w:p>
              </w:tc>
              <w:tc>
                <w:tcPr>
                  <w:tcW w:w="1046" w:type="pct"/>
                  <w:noWrap w:val="0"/>
                  <w:tcMar>
                    <w:left w:w="28" w:type="dxa"/>
                    <w:right w:w="28" w:type="dxa"/>
                  </w:tcMar>
                  <w:vAlign w:val="center"/>
                </w:tcPr>
                <w:p w14:paraId="440EA013">
                  <w:pPr>
                    <w:pStyle w:val="83"/>
                    <w:rPr>
                      <w:sz w:val="21"/>
                      <w:szCs w:val="21"/>
                      <w:u w:val="single"/>
                    </w:rPr>
                  </w:pPr>
                  <w:r>
                    <w:rPr>
                      <w:rFonts w:hint="eastAsia"/>
                      <w:sz w:val="21"/>
                      <w:szCs w:val="21"/>
                      <w:u w:val="single"/>
                    </w:rPr>
                    <w:t>制氢装置</w:t>
                  </w:r>
                </w:p>
              </w:tc>
              <w:tc>
                <w:tcPr>
                  <w:tcW w:w="3656" w:type="pct"/>
                  <w:noWrap w:val="0"/>
                  <w:vAlign w:val="center"/>
                </w:tcPr>
                <w:p w14:paraId="57C83915">
                  <w:pPr>
                    <w:pStyle w:val="83"/>
                    <w:rPr>
                      <w:sz w:val="21"/>
                      <w:szCs w:val="21"/>
                      <w:u w:val="single"/>
                    </w:rPr>
                  </w:pPr>
                  <w:r>
                    <w:rPr>
                      <w:rFonts w:hint="eastAsia"/>
                      <w:sz w:val="21"/>
                      <w:szCs w:val="21"/>
                      <w:u w:val="single"/>
                    </w:rPr>
                    <w:t>氢气等</w:t>
                  </w:r>
                </w:p>
              </w:tc>
            </w:tr>
            <w:tr w14:paraId="7A47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401F5F8C">
                  <w:pPr>
                    <w:pStyle w:val="83"/>
                    <w:rPr>
                      <w:sz w:val="21"/>
                      <w:szCs w:val="21"/>
                      <w:u w:val="single"/>
                    </w:rPr>
                  </w:pPr>
                  <w:r>
                    <w:rPr>
                      <w:rFonts w:hint="eastAsia"/>
                      <w:sz w:val="21"/>
                      <w:szCs w:val="21"/>
                      <w:u w:val="single"/>
                    </w:rPr>
                    <w:t>4</w:t>
                  </w:r>
                </w:p>
              </w:tc>
              <w:tc>
                <w:tcPr>
                  <w:tcW w:w="1046" w:type="pct"/>
                  <w:noWrap w:val="0"/>
                  <w:tcMar>
                    <w:left w:w="28" w:type="dxa"/>
                    <w:right w:w="28" w:type="dxa"/>
                  </w:tcMar>
                  <w:vAlign w:val="center"/>
                </w:tcPr>
                <w:p w14:paraId="72E4CE82">
                  <w:pPr>
                    <w:pStyle w:val="83"/>
                    <w:rPr>
                      <w:sz w:val="21"/>
                      <w:szCs w:val="21"/>
                      <w:u w:val="single"/>
                    </w:rPr>
                  </w:pPr>
                  <w:r>
                    <w:rPr>
                      <w:rFonts w:hint="eastAsia"/>
                      <w:sz w:val="21"/>
                      <w:szCs w:val="21"/>
                      <w:u w:val="single"/>
                    </w:rPr>
                    <w:t>甲醇装置</w:t>
                  </w:r>
                </w:p>
              </w:tc>
              <w:tc>
                <w:tcPr>
                  <w:tcW w:w="3656" w:type="pct"/>
                  <w:noWrap w:val="0"/>
                  <w:vAlign w:val="center"/>
                </w:tcPr>
                <w:p w14:paraId="7185F079">
                  <w:pPr>
                    <w:pStyle w:val="83"/>
                    <w:rPr>
                      <w:sz w:val="21"/>
                      <w:szCs w:val="21"/>
                      <w:u w:val="single"/>
                    </w:rPr>
                  </w:pPr>
                  <w:r>
                    <w:rPr>
                      <w:rFonts w:hint="eastAsia"/>
                      <w:sz w:val="21"/>
                      <w:szCs w:val="21"/>
                      <w:u w:val="single"/>
                    </w:rPr>
                    <w:t>甲醇、氢气等</w:t>
                  </w:r>
                </w:p>
              </w:tc>
            </w:tr>
            <w:tr w14:paraId="4077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52634065">
                  <w:pPr>
                    <w:pStyle w:val="83"/>
                    <w:rPr>
                      <w:sz w:val="21"/>
                      <w:szCs w:val="21"/>
                      <w:u w:val="single"/>
                    </w:rPr>
                  </w:pPr>
                  <w:r>
                    <w:rPr>
                      <w:rFonts w:hint="eastAsia"/>
                      <w:sz w:val="21"/>
                      <w:szCs w:val="21"/>
                      <w:u w:val="single"/>
                    </w:rPr>
                    <w:t>5</w:t>
                  </w:r>
                </w:p>
              </w:tc>
              <w:tc>
                <w:tcPr>
                  <w:tcW w:w="1046" w:type="pct"/>
                  <w:noWrap w:val="0"/>
                  <w:tcMar>
                    <w:left w:w="28" w:type="dxa"/>
                    <w:right w:w="28" w:type="dxa"/>
                  </w:tcMar>
                  <w:vAlign w:val="center"/>
                </w:tcPr>
                <w:p w14:paraId="6D10E758">
                  <w:pPr>
                    <w:pStyle w:val="83"/>
                    <w:rPr>
                      <w:sz w:val="21"/>
                      <w:szCs w:val="21"/>
                      <w:u w:val="single"/>
                    </w:rPr>
                  </w:pPr>
                  <w:r>
                    <w:rPr>
                      <w:rFonts w:hint="eastAsia"/>
                      <w:sz w:val="21"/>
                      <w:szCs w:val="21"/>
                      <w:u w:val="single"/>
                    </w:rPr>
                    <w:t>醋酸装置</w:t>
                  </w:r>
                </w:p>
              </w:tc>
              <w:tc>
                <w:tcPr>
                  <w:tcW w:w="3656" w:type="pct"/>
                  <w:noWrap w:val="0"/>
                  <w:vAlign w:val="center"/>
                </w:tcPr>
                <w:p w14:paraId="1DA23CED">
                  <w:pPr>
                    <w:pStyle w:val="83"/>
                    <w:rPr>
                      <w:sz w:val="21"/>
                      <w:szCs w:val="21"/>
                      <w:u w:val="single"/>
                    </w:rPr>
                  </w:pPr>
                  <w:r>
                    <w:rPr>
                      <w:rFonts w:hint="eastAsia"/>
                      <w:sz w:val="21"/>
                      <w:szCs w:val="21"/>
                      <w:u w:val="single"/>
                    </w:rPr>
                    <w:t>甲醇、C</w:t>
                  </w:r>
                  <w:r>
                    <w:rPr>
                      <w:sz w:val="21"/>
                      <w:szCs w:val="21"/>
                      <w:u w:val="single"/>
                    </w:rPr>
                    <w:t>O</w:t>
                  </w:r>
                  <w:r>
                    <w:rPr>
                      <w:rFonts w:hint="eastAsia"/>
                      <w:sz w:val="21"/>
                      <w:szCs w:val="21"/>
                      <w:u w:val="single"/>
                    </w:rPr>
                    <w:t>、H</w:t>
                  </w:r>
                  <w:r>
                    <w:rPr>
                      <w:sz w:val="21"/>
                      <w:szCs w:val="21"/>
                      <w:u w:val="single"/>
                    </w:rPr>
                    <w:t>I</w:t>
                  </w:r>
                  <w:r>
                    <w:rPr>
                      <w:rFonts w:hint="eastAsia"/>
                      <w:sz w:val="21"/>
                      <w:szCs w:val="21"/>
                      <w:u w:val="single"/>
                    </w:rPr>
                    <w:t>、氢氧化钾、醋酸等</w:t>
                  </w:r>
                </w:p>
              </w:tc>
            </w:tr>
            <w:tr w14:paraId="6B4E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8" w:type="pct"/>
                  <w:noWrap w:val="0"/>
                  <w:tcMar>
                    <w:left w:w="28" w:type="dxa"/>
                    <w:right w:w="28" w:type="dxa"/>
                  </w:tcMar>
                  <w:vAlign w:val="center"/>
                </w:tcPr>
                <w:p w14:paraId="658DD1F3">
                  <w:pPr>
                    <w:pStyle w:val="83"/>
                    <w:rPr>
                      <w:sz w:val="21"/>
                      <w:szCs w:val="21"/>
                      <w:u w:val="single"/>
                    </w:rPr>
                  </w:pPr>
                  <w:r>
                    <w:rPr>
                      <w:rFonts w:hint="eastAsia"/>
                      <w:sz w:val="21"/>
                      <w:szCs w:val="21"/>
                      <w:u w:val="single"/>
                    </w:rPr>
                    <w:t>6</w:t>
                  </w:r>
                </w:p>
              </w:tc>
              <w:tc>
                <w:tcPr>
                  <w:tcW w:w="1046" w:type="pct"/>
                  <w:noWrap w:val="0"/>
                  <w:tcMar>
                    <w:left w:w="28" w:type="dxa"/>
                    <w:right w:w="28" w:type="dxa"/>
                  </w:tcMar>
                  <w:vAlign w:val="center"/>
                </w:tcPr>
                <w:p w14:paraId="1ADEDE6F">
                  <w:pPr>
                    <w:pStyle w:val="83"/>
                    <w:rPr>
                      <w:sz w:val="21"/>
                      <w:szCs w:val="21"/>
                      <w:u w:val="single"/>
                    </w:rPr>
                  </w:pPr>
                  <w:r>
                    <w:rPr>
                      <w:rFonts w:hint="eastAsia"/>
                      <w:sz w:val="21"/>
                      <w:szCs w:val="21"/>
                      <w:u w:val="single"/>
                    </w:rPr>
                    <w:t>乙二醇装置</w:t>
                  </w:r>
                </w:p>
              </w:tc>
              <w:tc>
                <w:tcPr>
                  <w:tcW w:w="3656" w:type="pct"/>
                  <w:noWrap w:val="0"/>
                  <w:vAlign w:val="center"/>
                </w:tcPr>
                <w:p w14:paraId="1FB26649">
                  <w:pPr>
                    <w:pStyle w:val="83"/>
                    <w:rPr>
                      <w:sz w:val="21"/>
                      <w:szCs w:val="21"/>
                      <w:u w:val="single"/>
                    </w:rPr>
                  </w:pPr>
                  <w:r>
                    <w:rPr>
                      <w:rFonts w:hint="eastAsia"/>
                      <w:sz w:val="21"/>
                      <w:szCs w:val="21"/>
                      <w:u w:val="single"/>
                    </w:rPr>
                    <w:t>C</w:t>
                  </w:r>
                  <w:r>
                    <w:rPr>
                      <w:sz w:val="21"/>
                      <w:szCs w:val="21"/>
                      <w:u w:val="single"/>
                    </w:rPr>
                    <w:t>O</w:t>
                  </w:r>
                  <w:r>
                    <w:rPr>
                      <w:rFonts w:hint="eastAsia"/>
                      <w:sz w:val="21"/>
                      <w:szCs w:val="21"/>
                      <w:u w:val="single"/>
                    </w:rPr>
                    <w:t>、氢气、甲醇、氧气、硝酸、氢氧化钠、亚硝酸钠、乙二醇、碳酸二甲酯等</w:t>
                  </w:r>
                </w:p>
              </w:tc>
            </w:tr>
          </w:tbl>
          <w:p w14:paraId="6342C35B">
            <w:pPr>
              <w:spacing w:line="500" w:lineRule="atLeast"/>
              <w:ind w:firstLine="480" w:firstLineChars="200"/>
              <w:jc w:val="left"/>
              <w:rPr>
                <w:rFonts w:hint="eastAsia"/>
                <w:b w:val="0"/>
                <w:bCs/>
                <w:sz w:val="24"/>
                <w:u w:val="single"/>
              </w:rPr>
            </w:pPr>
            <w:r>
              <w:rPr>
                <w:rFonts w:hint="eastAsia"/>
                <w:b w:val="0"/>
                <w:bCs/>
                <w:sz w:val="24"/>
                <w:u w:val="single"/>
              </w:rPr>
              <w:t>对照风险导则附录B，各装置中列入重点关注危险物质的物料为：煤气、氨水、甲醇、硫磺、CO、亚硝酸钠、硝酸等。</w:t>
            </w:r>
          </w:p>
          <w:p w14:paraId="7DC749DD">
            <w:pPr>
              <w:spacing w:line="500" w:lineRule="atLeast"/>
              <w:ind w:firstLine="480" w:firstLineChars="200"/>
              <w:jc w:val="left"/>
              <w:rPr>
                <w:rFonts w:hint="eastAsia"/>
                <w:b w:val="0"/>
                <w:bCs/>
                <w:sz w:val="24"/>
                <w:u w:val="single"/>
              </w:rPr>
            </w:pPr>
            <w:r>
              <w:rPr>
                <w:rFonts w:hint="eastAsia"/>
                <w:b w:val="0"/>
                <w:bCs/>
                <w:sz w:val="24"/>
                <w:u w:val="single"/>
              </w:rPr>
              <w:t>由企业涉及的原辅料情况看，涉及的危险物质种类较多，且其中CO的毒性较高，企业针对该物质设置了相应的风险防范措施，以防止发生事故后对周边产生较大影响。</w:t>
            </w:r>
          </w:p>
          <w:p w14:paraId="560EF4DC">
            <w:pPr>
              <w:spacing w:line="500" w:lineRule="atLeast"/>
              <w:ind w:firstLine="482" w:firstLineChars="200"/>
              <w:jc w:val="left"/>
              <w:rPr>
                <w:rFonts w:hint="eastAsia"/>
                <w:b/>
                <w:bCs w:val="0"/>
                <w:sz w:val="24"/>
                <w:u w:val="single"/>
              </w:rPr>
            </w:pPr>
            <w:r>
              <w:rPr>
                <w:rFonts w:hint="eastAsia"/>
                <w:b/>
                <w:bCs w:val="0"/>
                <w:sz w:val="24"/>
                <w:u w:val="single"/>
                <w:lang w:val="en-US" w:eastAsia="zh-CN"/>
              </w:rPr>
              <w:t>3、</w:t>
            </w:r>
            <w:r>
              <w:rPr>
                <w:rFonts w:hint="eastAsia"/>
                <w:b/>
                <w:bCs w:val="0"/>
                <w:sz w:val="24"/>
                <w:u w:val="single"/>
              </w:rPr>
              <w:t>现有工程主要可能风险事故情况</w:t>
            </w:r>
          </w:p>
          <w:p w14:paraId="066B6259">
            <w:pPr>
              <w:spacing w:line="500" w:lineRule="atLeast"/>
              <w:ind w:firstLine="480" w:firstLineChars="200"/>
              <w:jc w:val="left"/>
              <w:rPr>
                <w:rFonts w:hint="eastAsia"/>
                <w:b w:val="0"/>
                <w:bCs/>
                <w:sz w:val="24"/>
                <w:u w:val="single"/>
              </w:rPr>
            </w:pPr>
            <w:r>
              <w:rPr>
                <w:rFonts w:hint="eastAsia"/>
                <w:b w:val="0"/>
                <w:bCs/>
                <w:sz w:val="24"/>
                <w:u w:val="single"/>
              </w:rPr>
              <w:t>根据建设单位“环境风险”分类及情况，列表说明并至少从以下几个方面分析可能引发或 次生突发环境事件的最坏情景。</w:t>
            </w:r>
          </w:p>
          <w:p w14:paraId="536FA411">
            <w:pPr>
              <w:spacing w:line="500" w:lineRule="atLeast"/>
              <w:ind w:firstLine="480" w:firstLineChars="200"/>
              <w:jc w:val="left"/>
              <w:rPr>
                <w:rFonts w:hint="eastAsia"/>
                <w:b w:val="0"/>
                <w:bCs/>
                <w:sz w:val="24"/>
                <w:u w:val="single"/>
              </w:rPr>
            </w:pPr>
            <w:r>
              <w:rPr>
                <w:rFonts w:hint="eastAsia"/>
                <w:b w:val="0"/>
                <w:bCs/>
                <w:sz w:val="24"/>
                <w:u w:val="single"/>
              </w:rPr>
              <w:t>A.火灾、爆炸、泄漏等生产安全事故及可能引起的次生、衍生厂外环境污染及人 员伤亡事故（例如，因生产安全事故导致有毒有害气体扩散出厂界，消防水、物料泄漏物及反应生成物，从雨水排口、清净下水排口、污水排口、厂门或围墙排出厂界，污染环境等）；B、环境风险防控设施失灵或非正常操作（如雨水阀门不能正常关闭，化工行业火炬意外灭火）；C、非正常工况（如开、停车等）；D、污染治理设施非正常运行；E、非法排污；F、停电、断水、停气等；G、讯或运输系统故障；H、多种自然灾害、极端天气或不利气象条件；I、其他可能的情景。</w:t>
            </w:r>
          </w:p>
          <w:p w14:paraId="1D461F7E">
            <w:pPr>
              <w:pStyle w:val="51"/>
              <w:numPr>
                <w:ilvl w:val="2"/>
                <w:numId w:val="3"/>
              </w:numPr>
              <w:spacing w:line="500" w:lineRule="atLeast"/>
              <w:ind w:firstLineChars="0"/>
              <w:jc w:val="center"/>
              <w:rPr>
                <w:rFonts w:hint="eastAsia"/>
                <w:b w:val="0"/>
                <w:bCs/>
                <w:sz w:val="24"/>
                <w:u w:val="single"/>
              </w:rPr>
            </w:pPr>
            <w:r>
              <w:rPr>
                <w:rFonts w:hint="eastAsia"/>
                <w:b/>
                <w:sz w:val="24"/>
                <w:u w:val="single"/>
              </w:rPr>
              <w:t>企业突发环境事件情景分析</w:t>
            </w:r>
          </w:p>
          <w:tbl>
            <w:tblPr>
              <w:tblStyle w:val="26"/>
              <w:tblW w:w="5000"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411"/>
              <w:gridCol w:w="4622"/>
              <w:gridCol w:w="1894"/>
            </w:tblGrid>
            <w:tr w14:paraId="3E154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56225DF7">
                  <w:pPr>
                    <w:pStyle w:val="83"/>
                    <w:autoSpaceDE w:val="0"/>
                    <w:autoSpaceDN w:val="0"/>
                    <w:rPr>
                      <w:rFonts w:hint="eastAsia"/>
                      <w:sz w:val="21"/>
                      <w:szCs w:val="21"/>
                      <w:u w:val="single"/>
                    </w:rPr>
                  </w:pPr>
                  <w:r>
                    <w:rPr>
                      <w:rFonts w:hint="eastAsia"/>
                      <w:sz w:val="21"/>
                      <w:szCs w:val="21"/>
                      <w:u w:val="single"/>
                    </w:rPr>
                    <w:t>序号</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52F628B7">
                  <w:pPr>
                    <w:pStyle w:val="83"/>
                    <w:autoSpaceDE w:val="0"/>
                    <w:autoSpaceDN w:val="0"/>
                    <w:rPr>
                      <w:sz w:val="21"/>
                      <w:szCs w:val="21"/>
                      <w:u w:val="single"/>
                    </w:rPr>
                  </w:pPr>
                  <w:r>
                    <w:rPr>
                      <w:rFonts w:hint="eastAsia"/>
                      <w:sz w:val="21"/>
                      <w:szCs w:val="21"/>
                      <w:u w:val="single"/>
                    </w:rPr>
                    <w:t>突发环境</w:t>
                  </w:r>
                </w:p>
                <w:p w14:paraId="75166DDE">
                  <w:pPr>
                    <w:pStyle w:val="83"/>
                    <w:autoSpaceDE w:val="0"/>
                    <w:autoSpaceDN w:val="0"/>
                    <w:rPr>
                      <w:rFonts w:hint="eastAsia"/>
                      <w:sz w:val="21"/>
                      <w:szCs w:val="21"/>
                      <w:u w:val="single"/>
                    </w:rPr>
                  </w:pPr>
                  <w:r>
                    <w:rPr>
                      <w:rFonts w:hint="eastAsia"/>
                      <w:sz w:val="21"/>
                      <w:szCs w:val="21"/>
                      <w:u w:val="single"/>
                    </w:rPr>
                    <w:t>事件类别</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67F97CA9">
                  <w:pPr>
                    <w:pStyle w:val="83"/>
                    <w:autoSpaceDE w:val="0"/>
                    <w:autoSpaceDN w:val="0"/>
                    <w:rPr>
                      <w:rFonts w:hint="eastAsia"/>
                      <w:sz w:val="21"/>
                      <w:szCs w:val="21"/>
                      <w:u w:val="single"/>
                    </w:rPr>
                  </w:pPr>
                  <w:r>
                    <w:rPr>
                      <w:rFonts w:hint="eastAsia"/>
                      <w:sz w:val="21"/>
                      <w:szCs w:val="21"/>
                      <w:u w:val="single"/>
                    </w:rPr>
                    <w:t>突发环境事件情景分析</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2F80A2FC">
                  <w:pPr>
                    <w:pStyle w:val="83"/>
                    <w:autoSpaceDE w:val="0"/>
                    <w:autoSpaceDN w:val="0"/>
                    <w:rPr>
                      <w:rFonts w:hint="eastAsia"/>
                      <w:sz w:val="21"/>
                      <w:szCs w:val="21"/>
                      <w:u w:val="single"/>
                    </w:rPr>
                  </w:pPr>
                  <w:r>
                    <w:rPr>
                      <w:rFonts w:hint="eastAsia"/>
                      <w:sz w:val="21"/>
                      <w:szCs w:val="21"/>
                      <w:u w:val="single"/>
                    </w:rPr>
                    <w:t>最坏情况</w:t>
                  </w:r>
                </w:p>
              </w:tc>
            </w:tr>
            <w:tr w14:paraId="7C519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3649790C">
                  <w:pPr>
                    <w:pStyle w:val="83"/>
                    <w:autoSpaceDE w:val="0"/>
                    <w:autoSpaceDN w:val="0"/>
                    <w:rPr>
                      <w:sz w:val="21"/>
                      <w:szCs w:val="21"/>
                      <w:u w:val="single"/>
                    </w:rPr>
                  </w:pPr>
                  <w:r>
                    <w:rPr>
                      <w:sz w:val="21"/>
                      <w:szCs w:val="21"/>
                      <w:u w:val="single"/>
                    </w:rPr>
                    <w:t>1</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0CEDCE01">
                  <w:pPr>
                    <w:pStyle w:val="83"/>
                    <w:autoSpaceDE w:val="0"/>
                    <w:autoSpaceDN w:val="0"/>
                    <w:rPr>
                      <w:sz w:val="21"/>
                      <w:szCs w:val="21"/>
                      <w:u w:val="single"/>
                    </w:rPr>
                  </w:pPr>
                  <w:r>
                    <w:rPr>
                      <w:rFonts w:hint="eastAsia"/>
                      <w:sz w:val="21"/>
                      <w:szCs w:val="21"/>
                      <w:u w:val="single"/>
                    </w:rPr>
                    <w:t>火灾、泄漏等 生产安全事故 及可能引起的 次生、衍生厂 外环境污染及 人员伤亡事故</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54E0FDC9">
                  <w:pPr>
                    <w:pStyle w:val="83"/>
                    <w:autoSpaceDE w:val="0"/>
                    <w:autoSpaceDN w:val="0"/>
                    <w:jc w:val="left"/>
                    <w:rPr>
                      <w:rFonts w:hint="eastAsia"/>
                      <w:sz w:val="21"/>
                      <w:szCs w:val="21"/>
                      <w:u w:val="single"/>
                    </w:rPr>
                  </w:pPr>
                  <w:r>
                    <w:rPr>
                      <w:sz w:val="21"/>
                      <w:szCs w:val="21"/>
                      <w:u w:val="single"/>
                    </w:rPr>
                    <w:t>A.</w:t>
                  </w:r>
                  <w:r>
                    <w:rPr>
                      <w:rFonts w:hint="eastAsia"/>
                      <w:sz w:val="21"/>
                      <w:szCs w:val="21"/>
                      <w:u w:val="single"/>
                    </w:rPr>
                    <w:t>生产过程使用的原、辅料以及甲醇、醋酸等产品泄漏挥发吸入后对上呼吸道有刺激性；摄入后可引起头晕、头痛、恶心、呕吐、胃肠道刺激，可致死，造成环境污染，严重可导致人员中毒伤亡；</w:t>
                  </w:r>
                </w:p>
                <w:p w14:paraId="610EE12D">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．装卸原料、产品等阶段具有较大的泄漏危险性，泄漏后挥发可能引起大气污染；</w:t>
                  </w:r>
                </w:p>
                <w:p w14:paraId="43453EBF">
                  <w:pPr>
                    <w:pStyle w:val="83"/>
                    <w:autoSpaceDE w:val="0"/>
                    <w:autoSpaceDN w:val="0"/>
                    <w:jc w:val="left"/>
                    <w:rPr>
                      <w:rFonts w:hint="eastAsia"/>
                      <w:sz w:val="21"/>
                      <w:szCs w:val="21"/>
                      <w:u w:val="single"/>
                    </w:rPr>
                  </w:pPr>
                  <w:r>
                    <w:rPr>
                      <w:sz w:val="21"/>
                      <w:szCs w:val="21"/>
                      <w:u w:val="single"/>
                    </w:rPr>
                    <w:t>C</w:t>
                  </w:r>
                  <w:r>
                    <w:rPr>
                      <w:rFonts w:hint="eastAsia"/>
                      <w:sz w:val="21"/>
                      <w:szCs w:val="21"/>
                      <w:u w:val="single"/>
                    </w:rPr>
                    <w:t>．仓库、车间储存有大量物料，操作不当、罐体、物料桶破坏等因素可导致储存物料发生泄漏或爆炸，大部分有毒性，有的遇火源可引发重大的火灾爆炸事故，造成人员伤亡；</w:t>
                  </w:r>
                </w:p>
                <w:p w14:paraId="16188B67">
                  <w:pPr>
                    <w:pStyle w:val="83"/>
                    <w:autoSpaceDE w:val="0"/>
                    <w:autoSpaceDN w:val="0"/>
                    <w:jc w:val="left"/>
                    <w:rPr>
                      <w:rFonts w:hint="eastAsia"/>
                      <w:sz w:val="21"/>
                      <w:szCs w:val="21"/>
                      <w:u w:val="single"/>
                    </w:rPr>
                  </w:pPr>
                  <w:r>
                    <w:rPr>
                      <w:sz w:val="21"/>
                      <w:szCs w:val="21"/>
                      <w:u w:val="single"/>
                    </w:rPr>
                    <w:t xml:space="preserve">D. </w:t>
                  </w:r>
                  <w:r>
                    <w:rPr>
                      <w:rFonts w:hint="eastAsia"/>
                      <w:sz w:val="21"/>
                      <w:szCs w:val="21"/>
                      <w:u w:val="single"/>
                    </w:rPr>
                    <w:t>当设备的安全附件（安全阀、压力表等）失效、失控、金属材料腐蚀、疲劳、未进行定期保养或其他因素时，存在着灌区泄漏等风险，造成土壤及地下水污染；公用工程中有空压机、冷冻机等装置，操作不慎或设备缺陷有物理爆炸的危险。</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2BC73C91">
                  <w:pPr>
                    <w:pStyle w:val="83"/>
                    <w:autoSpaceDE w:val="0"/>
                    <w:autoSpaceDN w:val="0"/>
                    <w:jc w:val="left"/>
                    <w:rPr>
                      <w:rFonts w:hint="eastAsia"/>
                      <w:sz w:val="21"/>
                      <w:szCs w:val="21"/>
                      <w:u w:val="single"/>
                    </w:rPr>
                  </w:pPr>
                  <w:r>
                    <w:rPr>
                      <w:rFonts w:hint="eastAsia"/>
                      <w:sz w:val="21"/>
                      <w:szCs w:val="21"/>
                      <w:u w:val="single"/>
                    </w:rPr>
                    <w:t>储罐（甲醇、醋酸、乙二醇）泄漏、火灾事故</w:t>
                  </w:r>
                </w:p>
              </w:tc>
            </w:tr>
            <w:tr w14:paraId="125C9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53C12475">
                  <w:pPr>
                    <w:pStyle w:val="83"/>
                    <w:autoSpaceDE w:val="0"/>
                    <w:autoSpaceDN w:val="0"/>
                    <w:rPr>
                      <w:sz w:val="21"/>
                      <w:szCs w:val="21"/>
                      <w:u w:val="single"/>
                    </w:rPr>
                  </w:pPr>
                  <w:r>
                    <w:rPr>
                      <w:sz w:val="21"/>
                      <w:szCs w:val="21"/>
                      <w:u w:val="single"/>
                    </w:rPr>
                    <w:t>2</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71917229">
                  <w:pPr>
                    <w:pStyle w:val="83"/>
                    <w:autoSpaceDE w:val="0"/>
                    <w:autoSpaceDN w:val="0"/>
                    <w:rPr>
                      <w:rFonts w:hint="eastAsia"/>
                      <w:sz w:val="21"/>
                      <w:szCs w:val="21"/>
                      <w:u w:val="single"/>
                    </w:rPr>
                  </w:pPr>
                  <w:r>
                    <w:rPr>
                      <w:rFonts w:hint="eastAsia"/>
                      <w:sz w:val="21"/>
                      <w:szCs w:val="21"/>
                      <w:u w:val="single"/>
                    </w:rPr>
                    <w:t>环境风险防控设施失灵或非正常操作</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77F7AAFD">
                  <w:pPr>
                    <w:pStyle w:val="83"/>
                    <w:autoSpaceDE w:val="0"/>
                    <w:autoSpaceDN w:val="0"/>
                    <w:jc w:val="left"/>
                    <w:rPr>
                      <w:rFonts w:hint="eastAsia"/>
                      <w:sz w:val="21"/>
                      <w:szCs w:val="21"/>
                      <w:u w:val="single"/>
                    </w:rPr>
                  </w:pPr>
                  <w:r>
                    <w:rPr>
                      <w:sz w:val="21"/>
                      <w:szCs w:val="21"/>
                      <w:u w:val="single"/>
                    </w:rPr>
                    <w:t xml:space="preserve">A </w:t>
                  </w:r>
                  <w:r>
                    <w:rPr>
                      <w:rFonts w:hint="eastAsia"/>
                      <w:sz w:val="21"/>
                      <w:szCs w:val="21"/>
                      <w:u w:val="single"/>
                    </w:rPr>
                    <w:t>切断闸不能正常关闭，受污染的雨水污染外界水环境；</w:t>
                  </w:r>
                </w:p>
                <w:p w14:paraId="20615BC5">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罐区液位报警器失灵、转发阀失灵。</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6CFEB7DD">
                  <w:pPr>
                    <w:pStyle w:val="83"/>
                    <w:autoSpaceDE w:val="0"/>
                    <w:autoSpaceDN w:val="0"/>
                    <w:jc w:val="left"/>
                    <w:rPr>
                      <w:rFonts w:hint="eastAsia"/>
                      <w:sz w:val="21"/>
                      <w:szCs w:val="21"/>
                      <w:u w:val="single"/>
                    </w:rPr>
                  </w:pPr>
                  <w:r>
                    <w:rPr>
                      <w:rFonts w:hint="eastAsia"/>
                      <w:sz w:val="21"/>
                      <w:szCs w:val="21"/>
                      <w:u w:val="single"/>
                    </w:rPr>
                    <w:t>受污染的雨水、事故 废液造成水体污染</w:t>
                  </w:r>
                </w:p>
              </w:tc>
            </w:tr>
            <w:tr w14:paraId="01C17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5BE8066D">
                  <w:pPr>
                    <w:pStyle w:val="83"/>
                    <w:autoSpaceDE w:val="0"/>
                    <w:autoSpaceDN w:val="0"/>
                    <w:rPr>
                      <w:sz w:val="21"/>
                      <w:szCs w:val="21"/>
                      <w:u w:val="single"/>
                    </w:rPr>
                  </w:pPr>
                  <w:r>
                    <w:rPr>
                      <w:sz w:val="21"/>
                      <w:szCs w:val="21"/>
                      <w:u w:val="single"/>
                    </w:rPr>
                    <w:t>3</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24ECF994">
                  <w:pPr>
                    <w:pStyle w:val="83"/>
                    <w:autoSpaceDE w:val="0"/>
                    <w:autoSpaceDN w:val="0"/>
                    <w:rPr>
                      <w:rFonts w:hint="eastAsia"/>
                      <w:sz w:val="21"/>
                      <w:szCs w:val="21"/>
                      <w:u w:val="single"/>
                    </w:rPr>
                  </w:pPr>
                  <w:r>
                    <w:rPr>
                      <w:rFonts w:hint="eastAsia"/>
                      <w:sz w:val="21"/>
                      <w:szCs w:val="21"/>
                      <w:u w:val="single"/>
                    </w:rPr>
                    <w:t>非正常工况（如开、停车</w:t>
                  </w:r>
                </w:p>
                <w:p w14:paraId="7871F11C">
                  <w:pPr>
                    <w:pStyle w:val="83"/>
                    <w:autoSpaceDE w:val="0"/>
                    <w:autoSpaceDN w:val="0"/>
                    <w:rPr>
                      <w:rFonts w:hint="eastAsia"/>
                      <w:sz w:val="21"/>
                      <w:szCs w:val="21"/>
                      <w:u w:val="single"/>
                    </w:rPr>
                  </w:pPr>
                  <w:r>
                    <w:rPr>
                      <w:rFonts w:hint="eastAsia"/>
                      <w:sz w:val="21"/>
                      <w:szCs w:val="21"/>
                      <w:u w:val="single"/>
                    </w:rPr>
                    <w:t>等）</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67D31468">
                  <w:pPr>
                    <w:pStyle w:val="83"/>
                    <w:autoSpaceDE w:val="0"/>
                    <w:autoSpaceDN w:val="0"/>
                    <w:jc w:val="left"/>
                    <w:rPr>
                      <w:rFonts w:hint="eastAsia"/>
                      <w:sz w:val="21"/>
                      <w:szCs w:val="21"/>
                      <w:u w:val="single"/>
                    </w:rPr>
                  </w:pPr>
                  <w:r>
                    <w:rPr>
                      <w:rFonts w:hint="eastAsia"/>
                      <w:sz w:val="21"/>
                      <w:szCs w:val="21"/>
                      <w:u w:val="single"/>
                    </w:rPr>
                    <w:t>设备检修停车，生产装置中氮氧化物、二氧化硫及烟粉尘，造成环境空气污染。</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58DC0969">
                  <w:pPr>
                    <w:pStyle w:val="83"/>
                    <w:autoSpaceDE w:val="0"/>
                    <w:autoSpaceDN w:val="0"/>
                    <w:jc w:val="left"/>
                    <w:rPr>
                      <w:rFonts w:hint="eastAsia"/>
                      <w:sz w:val="21"/>
                      <w:szCs w:val="21"/>
                      <w:u w:val="single"/>
                    </w:rPr>
                  </w:pPr>
                  <w:r>
                    <w:rPr>
                      <w:rFonts w:hint="eastAsia"/>
                      <w:sz w:val="21"/>
                      <w:szCs w:val="21"/>
                      <w:u w:val="single"/>
                    </w:rPr>
                    <w:t>脱硫脱硝除尘处理装置停车检修时，锅炉烟气污染空气</w:t>
                  </w:r>
                </w:p>
              </w:tc>
            </w:tr>
            <w:tr w14:paraId="5D1C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374A6280">
                  <w:pPr>
                    <w:pStyle w:val="83"/>
                    <w:autoSpaceDE w:val="0"/>
                    <w:autoSpaceDN w:val="0"/>
                    <w:rPr>
                      <w:sz w:val="21"/>
                      <w:szCs w:val="21"/>
                      <w:u w:val="single"/>
                    </w:rPr>
                  </w:pPr>
                  <w:r>
                    <w:rPr>
                      <w:sz w:val="21"/>
                      <w:szCs w:val="21"/>
                      <w:u w:val="single"/>
                    </w:rPr>
                    <w:t>4</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49C8CE06">
                  <w:pPr>
                    <w:pStyle w:val="83"/>
                    <w:autoSpaceDE w:val="0"/>
                    <w:autoSpaceDN w:val="0"/>
                    <w:rPr>
                      <w:sz w:val="21"/>
                      <w:szCs w:val="21"/>
                      <w:u w:val="single"/>
                    </w:rPr>
                  </w:pPr>
                  <w:r>
                    <w:rPr>
                      <w:rFonts w:hint="eastAsia"/>
                      <w:sz w:val="21"/>
                      <w:szCs w:val="21"/>
                      <w:u w:val="single"/>
                    </w:rPr>
                    <w:t>污染治理设施非正常运行</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73CF201F">
                  <w:pPr>
                    <w:pStyle w:val="83"/>
                    <w:autoSpaceDE w:val="0"/>
                    <w:autoSpaceDN w:val="0"/>
                    <w:jc w:val="left"/>
                    <w:rPr>
                      <w:rFonts w:hint="eastAsia"/>
                      <w:sz w:val="21"/>
                      <w:szCs w:val="21"/>
                      <w:u w:val="single"/>
                    </w:rPr>
                  </w:pPr>
                  <w:r>
                    <w:rPr>
                      <w:sz w:val="21"/>
                      <w:szCs w:val="21"/>
                      <w:u w:val="single"/>
                    </w:rPr>
                    <w:t>A.</w:t>
                  </w:r>
                  <w:r>
                    <w:rPr>
                      <w:rFonts w:hint="eastAsia"/>
                      <w:sz w:val="21"/>
                      <w:szCs w:val="21"/>
                      <w:u w:val="single"/>
                    </w:rPr>
                    <w:t>污水处理装置不能正常运行等导致废水超标；</w:t>
                  </w:r>
                </w:p>
                <w:p w14:paraId="249CA769">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生产废气处理装置不能正常运行，废气超标排放。</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217C8C07">
                  <w:pPr>
                    <w:pStyle w:val="83"/>
                    <w:autoSpaceDE w:val="0"/>
                    <w:autoSpaceDN w:val="0"/>
                    <w:jc w:val="left"/>
                    <w:rPr>
                      <w:rFonts w:hint="eastAsia"/>
                      <w:sz w:val="21"/>
                      <w:szCs w:val="21"/>
                      <w:u w:val="single"/>
                    </w:rPr>
                  </w:pPr>
                  <w:r>
                    <w:rPr>
                      <w:rFonts w:hint="eastAsia"/>
                      <w:sz w:val="21"/>
                      <w:szCs w:val="21"/>
                      <w:u w:val="single"/>
                    </w:rPr>
                    <w:t>污水处理装置不能正常运行；生产废气未经有效处理直接排放</w:t>
                  </w:r>
                </w:p>
              </w:tc>
            </w:tr>
            <w:tr w14:paraId="34CAC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56ACF8EB">
                  <w:pPr>
                    <w:pStyle w:val="83"/>
                    <w:autoSpaceDE w:val="0"/>
                    <w:autoSpaceDN w:val="0"/>
                    <w:rPr>
                      <w:sz w:val="21"/>
                      <w:szCs w:val="21"/>
                      <w:u w:val="single"/>
                    </w:rPr>
                  </w:pPr>
                  <w:r>
                    <w:rPr>
                      <w:sz w:val="21"/>
                      <w:szCs w:val="21"/>
                      <w:u w:val="single"/>
                    </w:rPr>
                    <w:t>5</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64CFAD1F">
                  <w:pPr>
                    <w:pStyle w:val="83"/>
                    <w:autoSpaceDE w:val="0"/>
                    <w:autoSpaceDN w:val="0"/>
                    <w:rPr>
                      <w:sz w:val="21"/>
                      <w:szCs w:val="21"/>
                      <w:u w:val="single"/>
                    </w:rPr>
                  </w:pPr>
                  <w:r>
                    <w:rPr>
                      <w:rFonts w:hint="eastAsia"/>
                      <w:sz w:val="21"/>
                      <w:szCs w:val="21"/>
                      <w:u w:val="single"/>
                    </w:rPr>
                    <w:t>违法排污</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121DECC4">
                  <w:pPr>
                    <w:pStyle w:val="83"/>
                    <w:autoSpaceDE w:val="0"/>
                    <w:autoSpaceDN w:val="0"/>
                    <w:jc w:val="left"/>
                    <w:rPr>
                      <w:rFonts w:hint="eastAsia"/>
                      <w:sz w:val="21"/>
                      <w:szCs w:val="21"/>
                      <w:u w:val="single"/>
                    </w:rPr>
                  </w:pPr>
                  <w:r>
                    <w:rPr>
                      <w:sz w:val="21"/>
                      <w:szCs w:val="21"/>
                      <w:u w:val="single"/>
                    </w:rPr>
                    <w:t>A.</w:t>
                  </w:r>
                  <w:r>
                    <w:rPr>
                      <w:rFonts w:hint="eastAsia"/>
                      <w:sz w:val="21"/>
                      <w:szCs w:val="21"/>
                      <w:u w:val="single"/>
                    </w:rPr>
                    <w:t>生产废水未全部回用，排放外环境；</w:t>
                  </w:r>
                </w:p>
                <w:p w14:paraId="501A8D97">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生产废气处理装置停开，生产废气直接排放，污染环境空气</w:t>
                  </w:r>
                </w:p>
              </w:tc>
              <w:tc>
                <w:tcPr>
                  <w:tcW w:w="1126" w:type="pct"/>
                  <w:vMerge w:val="restart"/>
                  <w:tcBorders>
                    <w:top w:val="nil"/>
                    <w:left w:val="single" w:color="000000" w:sz="2" w:space="0"/>
                    <w:bottom w:val="nil"/>
                    <w:right w:val="single" w:color="000000" w:sz="2" w:space="0"/>
                  </w:tcBorders>
                  <w:noWrap w:val="0"/>
                  <w:vAlign w:val="center"/>
                </w:tcPr>
                <w:p w14:paraId="1A96A8B0">
                  <w:pPr>
                    <w:pStyle w:val="83"/>
                    <w:autoSpaceDE w:val="0"/>
                    <w:autoSpaceDN w:val="0"/>
                    <w:jc w:val="left"/>
                    <w:rPr>
                      <w:rFonts w:hint="eastAsia"/>
                      <w:sz w:val="21"/>
                      <w:szCs w:val="21"/>
                      <w:u w:val="single"/>
                    </w:rPr>
                  </w:pPr>
                  <w:r>
                    <w:rPr>
                      <w:rFonts w:hint="eastAsia"/>
                      <w:sz w:val="21"/>
                      <w:szCs w:val="21"/>
                      <w:u w:val="single"/>
                    </w:rPr>
                    <w:t>生产废水直接排入外环境；生产废气直接排放</w:t>
                  </w:r>
                </w:p>
              </w:tc>
            </w:tr>
            <w:tr w14:paraId="190D2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0A02E2EF">
                  <w:pPr>
                    <w:pStyle w:val="83"/>
                    <w:autoSpaceDE w:val="0"/>
                    <w:autoSpaceDN w:val="0"/>
                    <w:rPr>
                      <w:sz w:val="21"/>
                      <w:szCs w:val="21"/>
                      <w:u w:val="single"/>
                    </w:rPr>
                  </w:pPr>
                  <w:r>
                    <w:rPr>
                      <w:sz w:val="21"/>
                      <w:szCs w:val="21"/>
                      <w:u w:val="single"/>
                    </w:rPr>
                    <w:t>6</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04BC01F9">
                  <w:pPr>
                    <w:pStyle w:val="83"/>
                    <w:autoSpaceDE w:val="0"/>
                    <w:autoSpaceDN w:val="0"/>
                    <w:rPr>
                      <w:sz w:val="21"/>
                      <w:szCs w:val="21"/>
                      <w:u w:val="single"/>
                    </w:rPr>
                  </w:pPr>
                  <w:r>
                    <w:rPr>
                      <w:rFonts w:hint="eastAsia"/>
                      <w:sz w:val="21"/>
                      <w:szCs w:val="21"/>
                      <w:u w:val="single"/>
                    </w:rPr>
                    <w:t>停电、断水、 停气等</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2FDE24B4">
                  <w:pPr>
                    <w:pStyle w:val="83"/>
                    <w:autoSpaceDE w:val="0"/>
                    <w:autoSpaceDN w:val="0"/>
                    <w:jc w:val="left"/>
                    <w:rPr>
                      <w:sz w:val="21"/>
                      <w:szCs w:val="21"/>
                      <w:u w:val="single"/>
                    </w:rPr>
                  </w:pPr>
                  <w:r>
                    <w:rPr>
                      <w:sz w:val="21"/>
                      <w:szCs w:val="21"/>
                      <w:u w:val="single"/>
                    </w:rPr>
                    <w:t>A.</w:t>
                  </w:r>
                  <w:r>
                    <w:rPr>
                      <w:rFonts w:hint="eastAsia"/>
                      <w:sz w:val="21"/>
                      <w:szCs w:val="21"/>
                      <w:u w:val="single"/>
                    </w:rPr>
                    <w:t>企业停电，污水处理装置不正常运行；</w:t>
                  </w:r>
                </w:p>
                <w:p w14:paraId="1C0B34F1">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企业停电废气处理装置无法运行，粉尘不经处理直接外排，污染环境。</w:t>
                  </w:r>
                </w:p>
              </w:tc>
              <w:tc>
                <w:tcPr>
                  <w:tcW w:w="1126" w:type="pct"/>
                  <w:vMerge w:val="continue"/>
                  <w:tcBorders>
                    <w:top w:val="nil"/>
                    <w:left w:val="single" w:color="000000" w:sz="2" w:space="0"/>
                    <w:bottom w:val="nil"/>
                    <w:right w:val="single" w:color="000000" w:sz="2" w:space="0"/>
                  </w:tcBorders>
                  <w:noWrap w:val="0"/>
                  <w:vAlign w:val="center"/>
                </w:tcPr>
                <w:p w14:paraId="56A47774">
                  <w:pPr>
                    <w:pStyle w:val="83"/>
                    <w:autoSpaceDE w:val="0"/>
                    <w:autoSpaceDN w:val="0"/>
                    <w:jc w:val="left"/>
                    <w:rPr>
                      <w:sz w:val="21"/>
                      <w:szCs w:val="21"/>
                      <w:u w:val="single"/>
                    </w:rPr>
                  </w:pPr>
                </w:p>
              </w:tc>
            </w:tr>
            <w:tr w14:paraId="75B9D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2CF629CF">
                  <w:pPr>
                    <w:pStyle w:val="83"/>
                    <w:autoSpaceDE w:val="0"/>
                    <w:autoSpaceDN w:val="0"/>
                    <w:rPr>
                      <w:rFonts w:hint="eastAsia"/>
                      <w:sz w:val="21"/>
                      <w:szCs w:val="21"/>
                      <w:u w:val="single"/>
                    </w:rPr>
                  </w:pPr>
                  <w:r>
                    <w:rPr>
                      <w:sz w:val="21"/>
                      <w:szCs w:val="21"/>
                      <w:u w:val="single"/>
                    </w:rPr>
                    <w:t>7</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53E6568F">
                  <w:pPr>
                    <w:pStyle w:val="83"/>
                    <w:autoSpaceDE w:val="0"/>
                    <w:autoSpaceDN w:val="0"/>
                    <w:rPr>
                      <w:sz w:val="21"/>
                      <w:szCs w:val="21"/>
                      <w:u w:val="single"/>
                    </w:rPr>
                  </w:pPr>
                  <w:r>
                    <w:rPr>
                      <w:rFonts w:hint="eastAsia"/>
                      <w:sz w:val="21"/>
                      <w:szCs w:val="21"/>
                      <w:u w:val="single"/>
                    </w:rPr>
                    <w:t>通讯或运输系统故障</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1EBABF42">
                  <w:pPr>
                    <w:pStyle w:val="83"/>
                    <w:autoSpaceDE w:val="0"/>
                    <w:autoSpaceDN w:val="0"/>
                    <w:jc w:val="left"/>
                    <w:rPr>
                      <w:rFonts w:hint="eastAsia"/>
                      <w:sz w:val="21"/>
                      <w:szCs w:val="21"/>
                      <w:u w:val="single"/>
                    </w:rPr>
                  </w:pPr>
                  <w:r>
                    <w:rPr>
                      <w:rFonts w:hint="eastAsia"/>
                      <w:sz w:val="21"/>
                      <w:szCs w:val="21"/>
                      <w:u w:val="single"/>
                    </w:rPr>
                    <w:t>厂内运输、装卸过程中物料泄漏</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52CCCDE3">
                  <w:pPr>
                    <w:pStyle w:val="83"/>
                    <w:autoSpaceDE w:val="0"/>
                    <w:autoSpaceDN w:val="0"/>
                    <w:jc w:val="left"/>
                    <w:rPr>
                      <w:rFonts w:hint="eastAsia"/>
                      <w:sz w:val="21"/>
                      <w:szCs w:val="21"/>
                      <w:u w:val="single"/>
                    </w:rPr>
                  </w:pPr>
                  <w:r>
                    <w:rPr>
                      <w:rFonts w:hint="eastAsia"/>
                      <w:sz w:val="21"/>
                      <w:szCs w:val="21"/>
                      <w:u w:val="single"/>
                    </w:rPr>
                    <w:t>运输、装卸过程中物料泄漏</w:t>
                  </w:r>
                </w:p>
              </w:tc>
            </w:tr>
            <w:tr w14:paraId="09688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tcBorders>
                    <w:top w:val="single" w:color="000000" w:sz="2" w:space="0"/>
                    <w:left w:val="single" w:color="000000" w:sz="2" w:space="0"/>
                    <w:bottom w:val="single" w:color="000000" w:sz="2" w:space="0"/>
                    <w:right w:val="single" w:color="000000" w:sz="2" w:space="0"/>
                  </w:tcBorders>
                  <w:noWrap w:val="0"/>
                  <w:vAlign w:val="center"/>
                </w:tcPr>
                <w:p w14:paraId="60D0F80A">
                  <w:pPr>
                    <w:pStyle w:val="83"/>
                    <w:autoSpaceDE w:val="0"/>
                    <w:autoSpaceDN w:val="0"/>
                    <w:rPr>
                      <w:sz w:val="21"/>
                      <w:szCs w:val="21"/>
                      <w:u w:val="single"/>
                    </w:rPr>
                  </w:pPr>
                  <w:r>
                    <w:rPr>
                      <w:sz w:val="21"/>
                      <w:szCs w:val="21"/>
                      <w:u w:val="single"/>
                    </w:rPr>
                    <w:t>8</w:t>
                  </w:r>
                </w:p>
              </w:tc>
              <w:tc>
                <w:tcPr>
                  <w:tcW w:w="838" w:type="pct"/>
                  <w:tcBorders>
                    <w:top w:val="single" w:color="000000" w:sz="2" w:space="0"/>
                    <w:left w:val="single" w:color="000000" w:sz="2" w:space="0"/>
                    <w:bottom w:val="single" w:color="000000" w:sz="2" w:space="0"/>
                    <w:right w:val="single" w:color="000000" w:sz="2" w:space="0"/>
                  </w:tcBorders>
                  <w:noWrap w:val="0"/>
                  <w:vAlign w:val="center"/>
                </w:tcPr>
                <w:p w14:paraId="5142E7F7">
                  <w:pPr>
                    <w:pStyle w:val="83"/>
                    <w:autoSpaceDE w:val="0"/>
                    <w:autoSpaceDN w:val="0"/>
                    <w:rPr>
                      <w:rFonts w:hint="eastAsia"/>
                      <w:sz w:val="21"/>
                      <w:szCs w:val="21"/>
                      <w:u w:val="single"/>
                    </w:rPr>
                  </w:pPr>
                  <w:r>
                    <w:rPr>
                      <w:rFonts w:hint="eastAsia"/>
                      <w:sz w:val="21"/>
                      <w:szCs w:val="21"/>
                      <w:u w:val="single"/>
                    </w:rPr>
                    <w:t>各种自然灾害、极端天气或不利气象条件</w:t>
                  </w:r>
                </w:p>
              </w:tc>
              <w:tc>
                <w:tcPr>
                  <w:tcW w:w="2746" w:type="pct"/>
                  <w:tcBorders>
                    <w:top w:val="single" w:color="000000" w:sz="2" w:space="0"/>
                    <w:left w:val="single" w:color="000000" w:sz="2" w:space="0"/>
                    <w:bottom w:val="single" w:color="000000" w:sz="2" w:space="0"/>
                    <w:right w:val="single" w:color="000000" w:sz="2" w:space="0"/>
                  </w:tcBorders>
                  <w:noWrap w:val="0"/>
                  <w:vAlign w:val="center"/>
                </w:tcPr>
                <w:p w14:paraId="00624272">
                  <w:pPr>
                    <w:pStyle w:val="83"/>
                    <w:autoSpaceDE w:val="0"/>
                    <w:autoSpaceDN w:val="0"/>
                    <w:jc w:val="left"/>
                    <w:rPr>
                      <w:rFonts w:hint="eastAsia"/>
                      <w:sz w:val="21"/>
                      <w:szCs w:val="21"/>
                      <w:u w:val="single"/>
                    </w:rPr>
                  </w:pPr>
                  <w:r>
                    <w:rPr>
                      <w:sz w:val="21"/>
                      <w:szCs w:val="21"/>
                      <w:u w:val="single"/>
                    </w:rPr>
                    <w:t>A.</w:t>
                  </w:r>
                  <w:r>
                    <w:rPr>
                      <w:rFonts w:hint="eastAsia"/>
                      <w:sz w:val="21"/>
                      <w:szCs w:val="21"/>
                      <w:u w:val="single"/>
                    </w:rPr>
                    <w:t>静风天气，排放废气未能及时扩散，导致局部环境空气质量超标；</w:t>
                  </w:r>
                </w:p>
                <w:p w14:paraId="5F15C219">
                  <w:pPr>
                    <w:pStyle w:val="83"/>
                    <w:autoSpaceDE w:val="0"/>
                    <w:autoSpaceDN w:val="0"/>
                    <w:jc w:val="left"/>
                    <w:rPr>
                      <w:rFonts w:hint="eastAsia"/>
                      <w:sz w:val="21"/>
                      <w:szCs w:val="21"/>
                      <w:u w:val="single"/>
                    </w:rPr>
                  </w:pPr>
                  <w:r>
                    <w:rPr>
                      <w:sz w:val="21"/>
                      <w:szCs w:val="21"/>
                      <w:u w:val="single"/>
                    </w:rPr>
                    <w:t>B.</w:t>
                  </w:r>
                  <w:r>
                    <w:rPr>
                      <w:rFonts w:hint="eastAsia"/>
                      <w:sz w:val="21"/>
                      <w:szCs w:val="21"/>
                      <w:u w:val="single"/>
                    </w:rPr>
                    <w:t>冰雹导致生产装置、储存装置破裂，泄漏导致土壤、地下水、地表水污染；</w:t>
                  </w:r>
                  <w:r>
                    <w:rPr>
                      <w:sz w:val="21"/>
                      <w:szCs w:val="21"/>
                      <w:u w:val="single"/>
                    </w:rPr>
                    <w:t>C.</w:t>
                  </w:r>
                  <w:r>
                    <w:rPr>
                      <w:rFonts w:hint="eastAsia"/>
                      <w:sz w:val="21"/>
                      <w:szCs w:val="21"/>
                      <w:u w:val="single"/>
                    </w:rPr>
                    <w:t>地震导致生产装置、储存装置破裂，泄漏导致地表水及土壤污染；</w:t>
                  </w:r>
                </w:p>
                <w:p w14:paraId="5D11BA7E">
                  <w:pPr>
                    <w:pStyle w:val="83"/>
                    <w:autoSpaceDE w:val="0"/>
                    <w:autoSpaceDN w:val="0"/>
                    <w:jc w:val="left"/>
                    <w:rPr>
                      <w:rFonts w:hint="eastAsia"/>
                      <w:sz w:val="21"/>
                      <w:szCs w:val="21"/>
                      <w:u w:val="single"/>
                    </w:rPr>
                  </w:pPr>
                  <w:r>
                    <w:rPr>
                      <w:sz w:val="21"/>
                      <w:szCs w:val="21"/>
                      <w:u w:val="single"/>
                    </w:rPr>
                    <w:t>D.</w:t>
                  </w:r>
                  <w:r>
                    <w:rPr>
                      <w:rFonts w:hint="eastAsia"/>
                      <w:sz w:val="21"/>
                      <w:szCs w:val="21"/>
                      <w:u w:val="single"/>
                    </w:rPr>
                    <w:t>雷击导致生产装置、储存装置起火爆炸。</w:t>
                  </w:r>
                </w:p>
              </w:tc>
              <w:tc>
                <w:tcPr>
                  <w:tcW w:w="1126" w:type="pct"/>
                  <w:tcBorders>
                    <w:top w:val="single" w:color="000000" w:sz="2" w:space="0"/>
                    <w:left w:val="single" w:color="000000" w:sz="2" w:space="0"/>
                    <w:bottom w:val="single" w:color="000000" w:sz="2" w:space="0"/>
                    <w:right w:val="single" w:color="000000" w:sz="2" w:space="0"/>
                  </w:tcBorders>
                  <w:noWrap w:val="0"/>
                  <w:vAlign w:val="center"/>
                </w:tcPr>
                <w:p w14:paraId="7F3DE444">
                  <w:pPr>
                    <w:pStyle w:val="83"/>
                    <w:autoSpaceDE w:val="0"/>
                    <w:autoSpaceDN w:val="0"/>
                    <w:jc w:val="left"/>
                    <w:rPr>
                      <w:sz w:val="21"/>
                      <w:szCs w:val="21"/>
                      <w:u w:val="single"/>
                    </w:rPr>
                  </w:pPr>
                  <w:r>
                    <w:rPr>
                      <w:rFonts w:hint="eastAsia"/>
                      <w:sz w:val="21"/>
                      <w:szCs w:val="21"/>
                      <w:u w:val="single"/>
                    </w:rPr>
                    <w:t>雷击导致生产车间、 仓库物料泄漏、挥发</w:t>
                  </w:r>
                </w:p>
              </w:tc>
            </w:tr>
          </w:tbl>
          <w:p w14:paraId="507DE985">
            <w:pPr>
              <w:spacing w:line="500" w:lineRule="atLeast"/>
              <w:ind w:firstLine="482" w:firstLineChars="200"/>
              <w:jc w:val="left"/>
              <w:rPr>
                <w:rFonts w:hint="eastAsia"/>
                <w:b/>
                <w:bCs w:val="0"/>
                <w:sz w:val="24"/>
                <w:u w:val="single"/>
              </w:rPr>
            </w:pPr>
            <w:r>
              <w:rPr>
                <w:rFonts w:hint="eastAsia"/>
                <w:b/>
                <w:bCs w:val="0"/>
                <w:sz w:val="24"/>
                <w:u w:val="single"/>
                <w:lang w:val="en-US" w:eastAsia="zh-CN"/>
              </w:rPr>
              <w:t>4、</w:t>
            </w:r>
            <w:r>
              <w:rPr>
                <w:rFonts w:hint="eastAsia"/>
                <w:b/>
                <w:bCs w:val="0"/>
                <w:sz w:val="24"/>
                <w:u w:val="single"/>
              </w:rPr>
              <w:t>现有工程风险防范措施</w:t>
            </w:r>
          </w:p>
          <w:p w14:paraId="74555A4B">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1</w:t>
            </w:r>
            <w:r>
              <w:rPr>
                <w:rFonts w:hint="eastAsia"/>
                <w:b/>
                <w:bCs w:val="0"/>
                <w:sz w:val="24"/>
                <w:u w:val="single"/>
                <w:lang w:eastAsia="zh-CN"/>
              </w:rPr>
              <w:t>）</w:t>
            </w:r>
            <w:r>
              <w:rPr>
                <w:rFonts w:hint="eastAsia"/>
                <w:b/>
                <w:bCs w:val="0"/>
                <w:sz w:val="24"/>
                <w:u w:val="single"/>
              </w:rPr>
              <w:t>水环境风险防范措施</w:t>
            </w:r>
          </w:p>
          <w:p w14:paraId="70159B3C">
            <w:pPr>
              <w:spacing w:line="500" w:lineRule="atLeast"/>
              <w:ind w:firstLine="480" w:firstLineChars="200"/>
              <w:jc w:val="left"/>
              <w:rPr>
                <w:rFonts w:hint="eastAsia"/>
                <w:b w:val="0"/>
                <w:bCs/>
                <w:sz w:val="24"/>
                <w:u w:val="single"/>
              </w:rPr>
            </w:pPr>
            <w:r>
              <w:rPr>
                <w:rFonts w:hint="eastAsia"/>
                <w:b w:val="0"/>
                <w:bCs/>
                <w:sz w:val="24"/>
                <w:u w:val="single"/>
              </w:rPr>
              <w:t>根据《广西华谊能源化工有限公司突发环境事件应急预案》，水环境风险防范措施如下：</w:t>
            </w:r>
          </w:p>
          <w:p w14:paraId="31E32642">
            <w:pPr>
              <w:spacing w:line="500" w:lineRule="atLeast"/>
              <w:ind w:firstLine="480" w:firstLineChars="200"/>
              <w:jc w:val="left"/>
              <w:rPr>
                <w:rFonts w:hint="eastAsia" w:eastAsia="宋体"/>
                <w:b w:val="0"/>
                <w:bCs/>
                <w:sz w:val="24"/>
                <w:u w:val="single"/>
                <w:lang w:eastAsia="zh-CN"/>
              </w:rPr>
            </w:pPr>
            <w:r>
              <w:rPr>
                <w:rFonts w:hint="eastAsia"/>
                <w:b w:val="0"/>
                <w:bCs/>
                <w:sz w:val="24"/>
                <w:u w:val="single"/>
              </w:rPr>
              <w:t>厂内事故排水收集措施</w:t>
            </w:r>
            <w:r>
              <w:rPr>
                <w:rFonts w:hint="eastAsia"/>
                <w:b w:val="0"/>
                <w:bCs/>
                <w:sz w:val="24"/>
                <w:u w:val="single"/>
                <w:lang w:eastAsia="zh-CN"/>
              </w:rPr>
              <w:t>：</w:t>
            </w:r>
          </w:p>
          <w:p w14:paraId="1B0A2A92">
            <w:pPr>
              <w:spacing w:line="500" w:lineRule="atLeast"/>
              <w:ind w:firstLine="480" w:firstLineChars="200"/>
              <w:jc w:val="left"/>
              <w:rPr>
                <w:rFonts w:hint="eastAsia"/>
                <w:b w:val="0"/>
                <w:bCs/>
                <w:sz w:val="24"/>
                <w:u w:val="single"/>
              </w:rPr>
            </w:pPr>
            <w:r>
              <w:rPr>
                <w:rFonts w:hint="eastAsia"/>
                <w:b w:val="0"/>
                <w:bCs/>
                <w:sz w:val="24"/>
                <w:u w:val="single"/>
              </w:rPr>
              <w:t>一级防控：车间第一发现人事件发生的车间通过工艺调整，尽可能迅速切断污染源；</w:t>
            </w:r>
          </w:p>
          <w:p w14:paraId="53BF76DA">
            <w:pPr>
              <w:spacing w:line="500" w:lineRule="atLeast"/>
              <w:ind w:firstLine="480" w:firstLineChars="200"/>
              <w:jc w:val="left"/>
              <w:rPr>
                <w:rFonts w:hint="eastAsia"/>
                <w:b w:val="0"/>
                <w:bCs/>
                <w:sz w:val="24"/>
                <w:u w:val="single"/>
              </w:rPr>
            </w:pPr>
            <w:r>
              <w:rPr>
                <w:rFonts w:hint="eastAsia"/>
                <w:b w:val="0"/>
                <w:bCs/>
                <w:sz w:val="24"/>
                <w:u w:val="single"/>
              </w:rPr>
              <w:t>二级防控：有危险化学品泄漏时，应立即启动《危险化学品专项应急预案》；</w:t>
            </w:r>
          </w:p>
          <w:p w14:paraId="66AFE42F">
            <w:pPr>
              <w:spacing w:line="500" w:lineRule="atLeast"/>
              <w:ind w:firstLine="480" w:firstLineChars="200"/>
              <w:jc w:val="left"/>
              <w:rPr>
                <w:rFonts w:hint="eastAsia"/>
                <w:b w:val="0"/>
                <w:bCs/>
                <w:sz w:val="24"/>
                <w:u w:val="single"/>
              </w:rPr>
            </w:pPr>
            <w:r>
              <w:rPr>
                <w:rFonts w:hint="eastAsia"/>
                <w:b w:val="0"/>
                <w:bCs/>
                <w:sz w:val="24"/>
                <w:u w:val="single"/>
              </w:rPr>
              <w:t>三级防控：抢险救援组组织事件发生的车间分析污染物质可能造成的对外环境的污染路径，组织采取措施：</w:t>
            </w:r>
          </w:p>
          <w:p w14:paraId="6173B5C8">
            <w:pPr>
              <w:spacing w:line="500" w:lineRule="atLeast"/>
              <w:ind w:firstLine="480" w:firstLineChars="200"/>
              <w:jc w:val="left"/>
              <w:rPr>
                <w:rFonts w:hint="eastAsia"/>
                <w:b w:val="0"/>
                <w:bCs/>
                <w:sz w:val="24"/>
                <w:u w:val="single"/>
              </w:rPr>
            </w:pPr>
            <w:r>
              <w:rPr>
                <w:rFonts w:hint="eastAsia"/>
                <w:b w:val="0"/>
                <w:bCs/>
                <w:sz w:val="24"/>
                <w:u w:val="single"/>
              </w:rPr>
              <w:t>①尽可能采取围、堵、拦的方式将污染物拦截在围堰内，避免进入公司雨水沟或污水沟内；</w:t>
            </w:r>
          </w:p>
          <w:p w14:paraId="5D734C27">
            <w:pPr>
              <w:spacing w:line="500" w:lineRule="atLeast"/>
              <w:ind w:firstLine="480" w:firstLineChars="200"/>
              <w:jc w:val="left"/>
              <w:rPr>
                <w:rFonts w:hint="eastAsia"/>
                <w:b w:val="0"/>
                <w:bCs/>
                <w:sz w:val="24"/>
                <w:u w:val="single"/>
              </w:rPr>
            </w:pPr>
            <w:r>
              <w:rPr>
                <w:rFonts w:hint="eastAsia"/>
                <w:b w:val="0"/>
                <w:bCs/>
                <w:sz w:val="24"/>
                <w:u w:val="single"/>
              </w:rPr>
              <w:t>②对应的区域或装置关闭相应区域的外排阀门，将事故废水收集于相应的事故废水收集措施（初期雨水池、事故应急池）内。</w:t>
            </w:r>
          </w:p>
          <w:p w14:paraId="674C2FDE">
            <w:pPr>
              <w:spacing w:line="500" w:lineRule="atLeast"/>
              <w:ind w:firstLine="480" w:firstLineChars="200"/>
              <w:jc w:val="left"/>
              <w:rPr>
                <w:rFonts w:hint="eastAsia" w:eastAsia="宋体"/>
                <w:b w:val="0"/>
                <w:bCs/>
                <w:sz w:val="24"/>
                <w:u w:val="single"/>
                <w:lang w:eastAsia="zh-CN"/>
              </w:rPr>
            </w:pPr>
            <w:r>
              <w:rPr>
                <w:rFonts w:hint="eastAsia"/>
                <w:b w:val="0"/>
                <w:bCs/>
                <w:sz w:val="24"/>
                <w:u w:val="single"/>
              </w:rPr>
              <w:t>厂内消防废水</w:t>
            </w:r>
            <w:r>
              <w:rPr>
                <w:rFonts w:hint="eastAsia"/>
                <w:b w:val="0"/>
                <w:bCs/>
                <w:sz w:val="24"/>
                <w:u w:val="single"/>
                <w:lang w:eastAsia="zh-CN"/>
              </w:rPr>
              <w:t>：</w:t>
            </w:r>
          </w:p>
          <w:p w14:paraId="7B2077B7">
            <w:pPr>
              <w:spacing w:line="500" w:lineRule="atLeast"/>
              <w:ind w:firstLine="480" w:firstLineChars="200"/>
              <w:jc w:val="left"/>
              <w:rPr>
                <w:rFonts w:hint="eastAsia"/>
                <w:b w:val="0"/>
                <w:bCs/>
                <w:sz w:val="24"/>
                <w:u w:val="single"/>
              </w:rPr>
            </w:pPr>
            <w:r>
              <w:rPr>
                <w:rFonts w:hint="eastAsia"/>
                <w:b w:val="0"/>
                <w:bCs/>
                <w:sz w:val="24"/>
                <w:u w:val="single"/>
              </w:rPr>
              <w:t>一旦发生火灾、爆炸事故，将产生的大量消防水，应立即用沙、土等对消防废水进行围堰，防止消防废水向四周蔓延，同时把消防废水引入公司事故应急池储存。最后通过污水管网送至天宜</w:t>
            </w:r>
            <w:r>
              <w:rPr>
                <w:rFonts w:hint="eastAsia"/>
                <w:b w:val="0"/>
                <w:bCs/>
                <w:sz w:val="24"/>
                <w:u w:val="single"/>
                <w:lang w:eastAsia="zh-CN"/>
              </w:rPr>
              <w:t>污水处理厂</w:t>
            </w:r>
            <w:r>
              <w:rPr>
                <w:rFonts w:hint="eastAsia"/>
                <w:b w:val="0"/>
                <w:bCs/>
                <w:sz w:val="24"/>
                <w:u w:val="single"/>
              </w:rPr>
              <w:t>处理。</w:t>
            </w:r>
          </w:p>
          <w:p w14:paraId="74F42073">
            <w:pPr>
              <w:spacing w:line="500" w:lineRule="atLeast"/>
              <w:ind w:firstLine="480" w:firstLineChars="200"/>
              <w:jc w:val="left"/>
              <w:rPr>
                <w:rFonts w:hint="eastAsia" w:eastAsia="宋体"/>
                <w:b w:val="0"/>
                <w:bCs/>
                <w:sz w:val="24"/>
                <w:u w:val="single"/>
                <w:lang w:eastAsia="zh-CN"/>
              </w:rPr>
            </w:pPr>
            <w:r>
              <w:rPr>
                <w:rFonts w:hint="eastAsia"/>
                <w:b w:val="0"/>
                <w:bCs/>
                <w:sz w:val="24"/>
                <w:u w:val="single"/>
              </w:rPr>
              <w:t>厂外废水封堵措施</w:t>
            </w:r>
            <w:r>
              <w:rPr>
                <w:rFonts w:hint="eastAsia"/>
                <w:b w:val="0"/>
                <w:bCs/>
                <w:sz w:val="24"/>
                <w:u w:val="single"/>
                <w:lang w:eastAsia="zh-CN"/>
              </w:rPr>
              <w:t>：</w:t>
            </w:r>
          </w:p>
          <w:p w14:paraId="5BC79820">
            <w:pPr>
              <w:spacing w:line="500" w:lineRule="atLeast"/>
              <w:ind w:firstLine="480" w:firstLineChars="200"/>
              <w:jc w:val="left"/>
              <w:rPr>
                <w:rFonts w:hint="eastAsia"/>
                <w:b w:val="0"/>
                <w:bCs/>
                <w:sz w:val="24"/>
                <w:u w:val="single"/>
              </w:rPr>
            </w:pPr>
            <w:r>
              <w:rPr>
                <w:rFonts w:hint="eastAsia"/>
                <w:b w:val="0"/>
                <w:bCs/>
                <w:sz w:val="24"/>
                <w:u w:val="single"/>
              </w:rPr>
              <w:t>当厂区三级防控体系无法接纳事故废水，或者三级防控体系失效时，事故废水通过雨水排放口进入簕沟内河，再通过潮汐作用进而影响到七十二径片，为减少影响建议采取以下措施：</w:t>
            </w:r>
          </w:p>
          <w:p w14:paraId="223BDD34">
            <w:pPr>
              <w:spacing w:line="500" w:lineRule="atLeast"/>
              <w:ind w:firstLine="480" w:firstLineChars="200"/>
              <w:jc w:val="left"/>
              <w:rPr>
                <w:rFonts w:hint="eastAsia"/>
                <w:b w:val="0"/>
                <w:bCs/>
                <w:sz w:val="24"/>
                <w:u w:val="single"/>
              </w:rPr>
            </w:pPr>
            <w:r>
              <w:rPr>
                <w:rFonts w:hint="eastAsia"/>
                <w:b w:val="0"/>
                <w:bCs/>
                <w:sz w:val="24"/>
                <w:u w:val="single"/>
              </w:rPr>
              <w:t>（1）一级堵漏措施：使用防汛沙袋封堵雨水外排管线与果鹰大道雨水管网连接处（堵漏点1）；</w:t>
            </w:r>
          </w:p>
          <w:p w14:paraId="553E6C29">
            <w:pPr>
              <w:spacing w:line="500" w:lineRule="atLeast"/>
              <w:ind w:firstLine="480" w:firstLineChars="200"/>
              <w:jc w:val="left"/>
              <w:rPr>
                <w:rFonts w:hint="eastAsia"/>
                <w:b w:val="0"/>
                <w:bCs/>
                <w:sz w:val="24"/>
                <w:u w:val="single"/>
              </w:rPr>
            </w:pPr>
            <w:r>
              <w:rPr>
                <w:rFonts w:hint="eastAsia"/>
                <w:b w:val="0"/>
                <w:bCs/>
                <w:sz w:val="24"/>
                <w:u w:val="single"/>
              </w:rPr>
              <w:t>（2）二级堵漏措施：当一级堵漏措施无法阻挡事故废水溢流时，使用防汛沙袋封堵果鹰大道与南港大道雨水管网连接处（堵漏点2）、磨煤单元西南侧场外雨水管网（堵漏点4），防止事故废水进入南港大道雨水管网。</w:t>
            </w:r>
          </w:p>
          <w:p w14:paraId="63E7D0B0">
            <w:pPr>
              <w:spacing w:line="500" w:lineRule="atLeast"/>
              <w:ind w:firstLine="480" w:firstLineChars="200"/>
              <w:jc w:val="left"/>
              <w:rPr>
                <w:rFonts w:hint="eastAsia"/>
                <w:b w:val="0"/>
                <w:bCs/>
                <w:sz w:val="24"/>
                <w:u w:val="single"/>
              </w:rPr>
            </w:pPr>
            <w:r>
              <w:rPr>
                <w:rFonts w:hint="eastAsia"/>
                <w:b w:val="0"/>
                <w:bCs/>
                <w:sz w:val="24"/>
                <w:u w:val="single"/>
              </w:rPr>
              <w:t>（3）三级堵漏措施：当一级、二级堵漏均失效时，使用防汛沙袋封堵果鹰大道与港区铁路雨水管网连接处（堵漏点3）。</w:t>
            </w:r>
          </w:p>
          <w:p w14:paraId="70222434">
            <w:pPr>
              <w:widowControl/>
              <w:jc w:val="left"/>
              <w:rPr>
                <w:u w:val="single"/>
              </w:rPr>
            </w:pPr>
            <w:r>
              <w:rPr>
                <w:rFonts w:ascii="宋体" w:hAnsi="宋体" w:eastAsia="宋体" w:cs="宋体"/>
                <w:kern w:val="0"/>
                <w:sz w:val="24"/>
                <w:szCs w:val="24"/>
                <w:u w:val="single"/>
                <w:lang w:bidi="ar"/>
              </w:rPr>
              <w:fldChar w:fldCharType="begin"/>
            </w:r>
            <w:r>
              <w:rPr>
                <w:rFonts w:ascii="宋体" w:hAnsi="宋体" w:eastAsia="宋体" w:cs="宋体"/>
                <w:kern w:val="0"/>
                <w:sz w:val="24"/>
                <w:szCs w:val="24"/>
                <w:u w:val="single"/>
                <w:lang w:bidi="ar"/>
              </w:rPr>
              <w:instrText xml:space="preserve">INCLUDEPICTURE \d "C:\\Users\\Administrator\\AppData\\Roaming\\Tencent\\Users\\849768552\\QQ\\WinTemp\\RichOle\\I3]{NCLCUD[P5PNB]_5BQZJ.png" \* MERGEFORMATINET </w:instrText>
            </w:r>
            <w:r>
              <w:rPr>
                <w:rFonts w:ascii="宋体" w:hAnsi="宋体" w:eastAsia="宋体" w:cs="宋体"/>
                <w:kern w:val="0"/>
                <w:sz w:val="24"/>
                <w:szCs w:val="24"/>
                <w:u w:val="single"/>
                <w:lang w:bidi="ar"/>
              </w:rPr>
              <w:fldChar w:fldCharType="separate"/>
            </w:r>
            <w:r>
              <w:rPr>
                <w:rFonts w:ascii="宋体" w:hAnsi="宋体" w:eastAsia="宋体" w:cs="宋体"/>
                <w:kern w:val="0"/>
                <w:sz w:val="24"/>
                <w:szCs w:val="24"/>
                <w:u w:val="single"/>
                <w:lang w:bidi="ar"/>
              </w:rPr>
              <w:drawing>
                <wp:inline distT="0" distB="0" distL="114300" distR="114300">
                  <wp:extent cx="5042535" cy="3208020"/>
                  <wp:effectExtent l="0" t="0" r="5715" b="1143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9"/>
                          <a:stretch>
                            <a:fillRect/>
                          </a:stretch>
                        </pic:blipFill>
                        <pic:spPr>
                          <a:xfrm>
                            <a:off x="0" y="0"/>
                            <a:ext cx="5042535" cy="3208020"/>
                          </a:xfrm>
                          <a:prstGeom prst="rect">
                            <a:avLst/>
                          </a:prstGeom>
                          <a:noFill/>
                          <a:ln>
                            <a:noFill/>
                          </a:ln>
                        </pic:spPr>
                      </pic:pic>
                    </a:graphicData>
                  </a:graphic>
                </wp:inline>
              </w:drawing>
            </w:r>
            <w:r>
              <w:rPr>
                <w:rFonts w:ascii="宋体" w:hAnsi="宋体" w:eastAsia="宋体" w:cs="宋体"/>
                <w:kern w:val="0"/>
                <w:sz w:val="24"/>
                <w:szCs w:val="24"/>
                <w:u w:val="single"/>
                <w:lang w:bidi="ar"/>
              </w:rPr>
              <w:fldChar w:fldCharType="end"/>
            </w:r>
          </w:p>
          <w:p w14:paraId="4FDDDC72">
            <w:pPr>
              <w:spacing w:line="500" w:lineRule="atLeast"/>
              <w:ind w:left="0" w:leftChars="0" w:right="0" w:rightChars="0" w:firstLine="0" w:firstLineChars="0"/>
              <w:jc w:val="center"/>
              <w:rPr>
                <w:rFonts w:hint="eastAsia"/>
                <w:b w:val="0"/>
                <w:bCs/>
                <w:sz w:val="24"/>
                <w:u w:val="single"/>
              </w:rPr>
            </w:pPr>
            <w:r>
              <w:rPr>
                <w:rFonts w:hint="eastAsia" w:ascii="Times New Roman" w:hAnsi="Times New Roman" w:cs="Times New Roman"/>
                <w:b/>
                <w:bCs/>
                <w:szCs w:val="24"/>
                <w:u w:val="single"/>
              </w:rPr>
              <w:t xml:space="preserve">图 </w:t>
            </w:r>
            <w:r>
              <w:rPr>
                <w:rFonts w:hint="eastAsia" w:ascii="Times New Roman" w:hAnsi="Times New Roman" w:cs="Times New Roman"/>
                <w:b/>
                <w:bCs/>
                <w:szCs w:val="24"/>
                <w:u w:val="single"/>
                <w:lang w:val="en-US" w:eastAsia="zh-CN"/>
              </w:rPr>
              <w:t>2-6</w:t>
            </w:r>
            <w:r>
              <w:rPr>
                <w:rFonts w:hint="eastAsia" w:ascii="Times New Roman" w:hAnsi="Times New Roman" w:cs="Times New Roman"/>
                <w:b/>
                <w:bCs/>
                <w:szCs w:val="24"/>
                <w:u w:val="single"/>
              </w:rPr>
              <w:t>事故废水控制及封堵系统图</w:t>
            </w:r>
          </w:p>
          <w:p w14:paraId="5A21D933">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2</w:t>
            </w:r>
            <w:r>
              <w:rPr>
                <w:rFonts w:hint="eastAsia"/>
                <w:b/>
                <w:bCs w:val="0"/>
                <w:sz w:val="24"/>
                <w:u w:val="single"/>
                <w:lang w:eastAsia="zh-CN"/>
              </w:rPr>
              <w:t>）</w:t>
            </w:r>
            <w:r>
              <w:rPr>
                <w:rFonts w:hint="eastAsia"/>
                <w:b/>
                <w:bCs w:val="0"/>
                <w:sz w:val="24"/>
                <w:u w:val="single"/>
              </w:rPr>
              <w:t xml:space="preserve">截流措施 </w:t>
            </w:r>
          </w:p>
          <w:p w14:paraId="14A5CFF4">
            <w:pPr>
              <w:spacing w:line="500" w:lineRule="atLeast"/>
              <w:ind w:firstLine="480" w:firstLineChars="200"/>
              <w:jc w:val="left"/>
              <w:rPr>
                <w:rFonts w:hint="eastAsia"/>
                <w:b w:val="0"/>
                <w:bCs/>
                <w:sz w:val="24"/>
                <w:u w:val="single"/>
              </w:rPr>
            </w:pPr>
            <w:r>
              <w:rPr>
                <w:rFonts w:hint="eastAsia"/>
                <w:b w:val="0"/>
                <w:bCs/>
                <w:sz w:val="24"/>
                <w:u w:val="single"/>
              </w:rPr>
              <w:t>各环境风险单元配置的截流措施如下表所示。</w:t>
            </w:r>
          </w:p>
          <w:p w14:paraId="153824FD">
            <w:pPr>
              <w:pStyle w:val="51"/>
              <w:numPr>
                <w:ilvl w:val="2"/>
                <w:numId w:val="3"/>
              </w:numPr>
              <w:spacing w:line="500" w:lineRule="atLeast"/>
              <w:ind w:firstLineChars="0"/>
              <w:jc w:val="center"/>
              <w:rPr>
                <w:rFonts w:hint="eastAsia"/>
                <w:b w:val="0"/>
                <w:bCs/>
                <w:sz w:val="24"/>
                <w:u w:val="single"/>
              </w:rPr>
            </w:pPr>
            <w:r>
              <w:rPr>
                <w:rFonts w:hint="eastAsia"/>
                <w:b/>
                <w:sz w:val="24"/>
                <w:u w:val="single"/>
              </w:rPr>
              <w:t>截流措施汇总表</w:t>
            </w:r>
          </w:p>
          <w:tbl>
            <w:tblPr>
              <w:tblStyle w:val="26"/>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304"/>
              <w:gridCol w:w="1683"/>
              <w:gridCol w:w="1164"/>
              <w:gridCol w:w="3623"/>
            </w:tblGrid>
            <w:tr w14:paraId="59DF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12516FFB">
                  <w:pPr>
                    <w:pStyle w:val="83"/>
                    <w:autoSpaceDE w:val="0"/>
                    <w:autoSpaceDN w:val="0"/>
                    <w:rPr>
                      <w:rFonts w:hint="eastAsia"/>
                      <w:sz w:val="21"/>
                      <w:szCs w:val="21"/>
                      <w:u w:val="single"/>
                    </w:rPr>
                  </w:pPr>
                  <w:r>
                    <w:rPr>
                      <w:rFonts w:hint="eastAsia"/>
                      <w:sz w:val="21"/>
                      <w:szCs w:val="21"/>
                      <w:u w:val="single"/>
                    </w:rPr>
                    <w:t>序号</w:t>
                  </w:r>
                </w:p>
              </w:tc>
              <w:tc>
                <w:tcPr>
                  <w:tcW w:w="775" w:type="pct"/>
                  <w:noWrap w:val="0"/>
                  <w:vAlign w:val="center"/>
                </w:tcPr>
                <w:p w14:paraId="40A51421">
                  <w:pPr>
                    <w:pStyle w:val="83"/>
                    <w:autoSpaceDE w:val="0"/>
                    <w:autoSpaceDN w:val="0"/>
                    <w:rPr>
                      <w:rFonts w:hint="eastAsia"/>
                      <w:sz w:val="21"/>
                      <w:szCs w:val="21"/>
                      <w:u w:val="single"/>
                    </w:rPr>
                  </w:pPr>
                  <w:r>
                    <w:rPr>
                      <w:rFonts w:hint="eastAsia"/>
                      <w:sz w:val="21"/>
                      <w:szCs w:val="21"/>
                      <w:u w:val="single"/>
                    </w:rPr>
                    <w:t>风险单元名称</w:t>
                  </w:r>
                </w:p>
              </w:tc>
              <w:tc>
                <w:tcPr>
                  <w:tcW w:w="1000" w:type="pct"/>
                  <w:noWrap w:val="0"/>
                  <w:vAlign w:val="center"/>
                </w:tcPr>
                <w:p w14:paraId="5FBD30B1">
                  <w:pPr>
                    <w:pStyle w:val="83"/>
                    <w:autoSpaceDE w:val="0"/>
                    <w:autoSpaceDN w:val="0"/>
                    <w:rPr>
                      <w:rFonts w:hint="eastAsia"/>
                      <w:sz w:val="21"/>
                      <w:szCs w:val="21"/>
                      <w:u w:val="single"/>
                    </w:rPr>
                  </w:pPr>
                  <w:r>
                    <w:rPr>
                      <w:rFonts w:hint="eastAsia"/>
                      <w:sz w:val="21"/>
                      <w:szCs w:val="21"/>
                      <w:u w:val="single"/>
                    </w:rPr>
                    <w:t>截流措施</w:t>
                  </w:r>
                  <w:r>
                    <w:rPr>
                      <w:sz w:val="21"/>
                      <w:szCs w:val="21"/>
                      <w:u w:val="single"/>
                    </w:rPr>
                    <w:t>/</w:t>
                  </w:r>
                  <w:r>
                    <w:rPr>
                      <w:rFonts w:hint="eastAsia"/>
                      <w:sz w:val="21"/>
                      <w:szCs w:val="21"/>
                      <w:u w:val="single"/>
                    </w:rPr>
                    <w:t>监控措施</w:t>
                  </w:r>
                </w:p>
              </w:tc>
              <w:tc>
                <w:tcPr>
                  <w:tcW w:w="692" w:type="pct"/>
                  <w:noWrap w:val="0"/>
                  <w:vAlign w:val="center"/>
                </w:tcPr>
                <w:p w14:paraId="2A2D356A">
                  <w:pPr>
                    <w:pStyle w:val="83"/>
                    <w:autoSpaceDE w:val="0"/>
                    <w:autoSpaceDN w:val="0"/>
                    <w:rPr>
                      <w:rFonts w:hint="eastAsia"/>
                      <w:sz w:val="21"/>
                      <w:szCs w:val="21"/>
                      <w:u w:val="single"/>
                    </w:rPr>
                  </w:pPr>
                  <w:r>
                    <w:rPr>
                      <w:rFonts w:hint="eastAsia"/>
                      <w:sz w:val="21"/>
                      <w:szCs w:val="21"/>
                      <w:u w:val="single"/>
                    </w:rPr>
                    <w:t>围堰外是否 设切换阀</w:t>
                  </w:r>
                </w:p>
              </w:tc>
              <w:tc>
                <w:tcPr>
                  <w:tcW w:w="2153" w:type="pct"/>
                  <w:noWrap w:val="0"/>
                  <w:vAlign w:val="center"/>
                </w:tcPr>
                <w:p w14:paraId="426BC00A">
                  <w:pPr>
                    <w:pStyle w:val="83"/>
                    <w:autoSpaceDE w:val="0"/>
                    <w:autoSpaceDN w:val="0"/>
                    <w:rPr>
                      <w:rFonts w:hint="eastAsia"/>
                      <w:sz w:val="21"/>
                      <w:szCs w:val="21"/>
                      <w:u w:val="single"/>
                    </w:rPr>
                  </w:pPr>
                  <w:r>
                    <w:rPr>
                      <w:rFonts w:hint="eastAsia"/>
                      <w:sz w:val="21"/>
                      <w:szCs w:val="21"/>
                      <w:u w:val="single"/>
                    </w:rPr>
                    <w:t>该截流措施配置及管理情况（切换阀通向，日常管理情况等）</w:t>
                  </w:r>
                </w:p>
              </w:tc>
            </w:tr>
            <w:tr w14:paraId="1B787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380" w:type="pct"/>
                  <w:noWrap w:val="0"/>
                  <w:vAlign w:val="center"/>
                </w:tcPr>
                <w:p w14:paraId="38B88A17">
                  <w:pPr>
                    <w:pStyle w:val="83"/>
                    <w:autoSpaceDE w:val="0"/>
                    <w:autoSpaceDN w:val="0"/>
                    <w:rPr>
                      <w:rFonts w:hint="eastAsia"/>
                      <w:sz w:val="21"/>
                      <w:szCs w:val="21"/>
                      <w:u w:val="single"/>
                    </w:rPr>
                  </w:pPr>
                  <w:r>
                    <w:rPr>
                      <w:sz w:val="21"/>
                      <w:szCs w:val="21"/>
                      <w:u w:val="single"/>
                    </w:rPr>
                    <w:t>1</w:t>
                  </w:r>
                </w:p>
              </w:tc>
              <w:tc>
                <w:tcPr>
                  <w:tcW w:w="775" w:type="pct"/>
                  <w:noWrap w:val="0"/>
                  <w:vAlign w:val="center"/>
                </w:tcPr>
                <w:p w14:paraId="73F42154">
                  <w:pPr>
                    <w:pStyle w:val="83"/>
                    <w:autoSpaceDE w:val="0"/>
                    <w:autoSpaceDN w:val="0"/>
                    <w:rPr>
                      <w:sz w:val="21"/>
                      <w:szCs w:val="21"/>
                      <w:u w:val="single"/>
                    </w:rPr>
                  </w:pPr>
                  <w:r>
                    <w:rPr>
                      <w:rFonts w:hint="eastAsia"/>
                      <w:sz w:val="21"/>
                      <w:szCs w:val="21"/>
                      <w:u w:val="single"/>
                    </w:rPr>
                    <w:t>煤气化装置</w:t>
                  </w:r>
                </w:p>
              </w:tc>
              <w:tc>
                <w:tcPr>
                  <w:tcW w:w="1000" w:type="pct"/>
                  <w:noWrap w:val="0"/>
                  <w:vAlign w:val="center"/>
                </w:tcPr>
                <w:p w14:paraId="6DA349E6">
                  <w:pPr>
                    <w:pStyle w:val="83"/>
                    <w:autoSpaceDE w:val="0"/>
                    <w:autoSpaceDN w:val="0"/>
                    <w:rPr>
                      <w:rFonts w:hint="eastAsia"/>
                      <w:sz w:val="21"/>
                      <w:szCs w:val="21"/>
                      <w:u w:val="single"/>
                    </w:rPr>
                  </w:pPr>
                  <w:r>
                    <w:rPr>
                      <w:rFonts w:hint="eastAsia"/>
                      <w:sz w:val="21"/>
                      <w:szCs w:val="21"/>
                      <w:u w:val="single"/>
                    </w:rPr>
                    <w:t>地面明沟、混凝土 硬化地面</w:t>
                  </w:r>
                </w:p>
              </w:tc>
              <w:tc>
                <w:tcPr>
                  <w:tcW w:w="692" w:type="pct"/>
                  <w:noWrap w:val="0"/>
                  <w:vAlign w:val="center"/>
                </w:tcPr>
                <w:p w14:paraId="1F8F8D08">
                  <w:pPr>
                    <w:pStyle w:val="83"/>
                    <w:autoSpaceDE w:val="0"/>
                    <w:autoSpaceDN w:val="0"/>
                    <w:rPr>
                      <w:rFonts w:hint="eastAsia"/>
                      <w:sz w:val="21"/>
                      <w:szCs w:val="21"/>
                      <w:u w:val="single"/>
                    </w:rPr>
                  </w:pPr>
                  <w:r>
                    <w:rPr>
                      <w:rFonts w:hint="eastAsia"/>
                      <w:sz w:val="21"/>
                      <w:szCs w:val="21"/>
                      <w:u w:val="single"/>
                    </w:rPr>
                    <w:t>否</w:t>
                  </w:r>
                </w:p>
              </w:tc>
              <w:tc>
                <w:tcPr>
                  <w:tcW w:w="2153" w:type="pct"/>
                  <w:noWrap w:val="0"/>
                  <w:vAlign w:val="center"/>
                </w:tcPr>
                <w:p w14:paraId="65A3D703">
                  <w:pPr>
                    <w:pStyle w:val="83"/>
                    <w:autoSpaceDE w:val="0"/>
                    <w:autoSpaceDN w:val="0"/>
                    <w:jc w:val="left"/>
                    <w:rPr>
                      <w:rFonts w:hint="eastAsia"/>
                      <w:sz w:val="21"/>
                      <w:szCs w:val="21"/>
                      <w:u w:val="single"/>
                    </w:rPr>
                  </w:pPr>
                  <w:r>
                    <w:rPr>
                      <w:rFonts w:hint="eastAsia"/>
                      <w:sz w:val="21"/>
                      <w:szCs w:val="21"/>
                      <w:u w:val="single"/>
                    </w:rPr>
                    <w:t>装置区四周设有地沟，装置区内设有事故初 期雨水池，装置区内的废水首先收集在初期雨水池内，自动监控初期雨水池液位，启动 输送泵将废水送至废水处理站。</w:t>
                  </w:r>
                </w:p>
              </w:tc>
            </w:tr>
            <w:tr w14:paraId="7AA1F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4F6E64AB">
                  <w:pPr>
                    <w:pStyle w:val="83"/>
                    <w:autoSpaceDE w:val="0"/>
                    <w:autoSpaceDN w:val="0"/>
                    <w:rPr>
                      <w:sz w:val="21"/>
                      <w:szCs w:val="21"/>
                      <w:u w:val="single"/>
                    </w:rPr>
                  </w:pPr>
                  <w:r>
                    <w:rPr>
                      <w:sz w:val="21"/>
                      <w:szCs w:val="21"/>
                      <w:u w:val="single"/>
                    </w:rPr>
                    <w:t>2</w:t>
                  </w:r>
                </w:p>
              </w:tc>
              <w:tc>
                <w:tcPr>
                  <w:tcW w:w="775" w:type="pct"/>
                  <w:noWrap w:val="0"/>
                  <w:vAlign w:val="center"/>
                </w:tcPr>
                <w:p w14:paraId="740F46A2">
                  <w:pPr>
                    <w:pStyle w:val="83"/>
                    <w:autoSpaceDE w:val="0"/>
                    <w:autoSpaceDN w:val="0"/>
                    <w:rPr>
                      <w:sz w:val="21"/>
                      <w:szCs w:val="21"/>
                      <w:u w:val="single"/>
                    </w:rPr>
                  </w:pPr>
                  <w:r>
                    <w:rPr>
                      <w:rFonts w:hint="eastAsia"/>
                      <w:sz w:val="21"/>
                      <w:szCs w:val="21"/>
                      <w:u w:val="single"/>
                    </w:rPr>
                    <w:t xml:space="preserve">净化及 </w:t>
                  </w:r>
                  <w:r>
                    <w:rPr>
                      <w:sz w:val="21"/>
                      <w:szCs w:val="21"/>
                      <w:u w:val="single"/>
                    </w:rPr>
                    <w:t xml:space="preserve">CO </w:t>
                  </w:r>
                  <w:r>
                    <w:rPr>
                      <w:rFonts w:hint="eastAsia"/>
                      <w:sz w:val="21"/>
                      <w:szCs w:val="21"/>
                      <w:u w:val="single"/>
                    </w:rPr>
                    <w:t>分离装置</w:t>
                  </w:r>
                </w:p>
              </w:tc>
              <w:tc>
                <w:tcPr>
                  <w:tcW w:w="1000" w:type="pct"/>
                  <w:noWrap w:val="0"/>
                  <w:vAlign w:val="center"/>
                </w:tcPr>
                <w:p w14:paraId="3C617016">
                  <w:pPr>
                    <w:pStyle w:val="83"/>
                    <w:autoSpaceDE w:val="0"/>
                    <w:autoSpaceDN w:val="0"/>
                    <w:rPr>
                      <w:rFonts w:hint="eastAsia"/>
                      <w:sz w:val="21"/>
                      <w:szCs w:val="21"/>
                      <w:u w:val="single"/>
                    </w:rPr>
                  </w:pPr>
                  <w:r>
                    <w:rPr>
                      <w:rFonts w:hint="eastAsia"/>
                      <w:sz w:val="21"/>
                      <w:szCs w:val="21"/>
                      <w:u w:val="single"/>
                    </w:rPr>
                    <w:t>地面明沟、混凝土</w:t>
                  </w:r>
                </w:p>
                <w:p w14:paraId="7FB2C844">
                  <w:pPr>
                    <w:pStyle w:val="83"/>
                    <w:autoSpaceDE w:val="0"/>
                    <w:autoSpaceDN w:val="0"/>
                    <w:rPr>
                      <w:rFonts w:hint="eastAsia"/>
                      <w:sz w:val="21"/>
                      <w:szCs w:val="21"/>
                      <w:u w:val="single"/>
                    </w:rPr>
                  </w:pPr>
                  <w:r>
                    <w:rPr>
                      <w:rFonts w:hint="eastAsia"/>
                      <w:sz w:val="21"/>
                      <w:szCs w:val="21"/>
                      <w:u w:val="single"/>
                    </w:rPr>
                    <w:t>硬化地面加装防酸</w:t>
                  </w:r>
                </w:p>
                <w:p w14:paraId="40085EC5">
                  <w:pPr>
                    <w:pStyle w:val="83"/>
                    <w:autoSpaceDE w:val="0"/>
                    <w:autoSpaceDN w:val="0"/>
                    <w:rPr>
                      <w:rFonts w:hint="eastAsia"/>
                      <w:sz w:val="21"/>
                      <w:szCs w:val="21"/>
                      <w:u w:val="single"/>
                    </w:rPr>
                  </w:pPr>
                  <w:r>
                    <w:rPr>
                      <w:rFonts w:hint="eastAsia"/>
                      <w:sz w:val="21"/>
                      <w:szCs w:val="21"/>
                      <w:u w:val="single"/>
                    </w:rPr>
                    <w:t>地砖</w:t>
                  </w:r>
                </w:p>
              </w:tc>
              <w:tc>
                <w:tcPr>
                  <w:tcW w:w="692" w:type="pct"/>
                  <w:noWrap w:val="0"/>
                  <w:vAlign w:val="center"/>
                </w:tcPr>
                <w:p w14:paraId="3CBA11B5">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4D39F754">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4334F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4EAD6994">
                  <w:pPr>
                    <w:pStyle w:val="83"/>
                    <w:autoSpaceDE w:val="0"/>
                    <w:autoSpaceDN w:val="0"/>
                    <w:rPr>
                      <w:sz w:val="21"/>
                      <w:szCs w:val="21"/>
                      <w:u w:val="single"/>
                    </w:rPr>
                  </w:pPr>
                  <w:r>
                    <w:rPr>
                      <w:sz w:val="21"/>
                      <w:szCs w:val="21"/>
                      <w:u w:val="single"/>
                    </w:rPr>
                    <w:t>3</w:t>
                  </w:r>
                </w:p>
              </w:tc>
              <w:tc>
                <w:tcPr>
                  <w:tcW w:w="775" w:type="pct"/>
                  <w:noWrap w:val="0"/>
                  <w:vAlign w:val="center"/>
                </w:tcPr>
                <w:p w14:paraId="38892573">
                  <w:pPr>
                    <w:pStyle w:val="83"/>
                    <w:autoSpaceDE w:val="0"/>
                    <w:autoSpaceDN w:val="0"/>
                    <w:rPr>
                      <w:sz w:val="21"/>
                      <w:szCs w:val="21"/>
                      <w:u w:val="single"/>
                    </w:rPr>
                  </w:pPr>
                  <w:r>
                    <w:rPr>
                      <w:rFonts w:hint="eastAsia"/>
                      <w:sz w:val="21"/>
                      <w:szCs w:val="21"/>
                      <w:u w:val="single"/>
                    </w:rPr>
                    <w:t>制氢装置</w:t>
                  </w:r>
                </w:p>
              </w:tc>
              <w:tc>
                <w:tcPr>
                  <w:tcW w:w="1000" w:type="pct"/>
                  <w:noWrap w:val="0"/>
                  <w:vAlign w:val="center"/>
                </w:tcPr>
                <w:p w14:paraId="13D5B96B">
                  <w:pPr>
                    <w:pStyle w:val="83"/>
                    <w:autoSpaceDE w:val="0"/>
                    <w:autoSpaceDN w:val="0"/>
                    <w:rPr>
                      <w:rFonts w:hint="eastAsia"/>
                      <w:sz w:val="21"/>
                      <w:szCs w:val="21"/>
                      <w:u w:val="single"/>
                    </w:rPr>
                  </w:pPr>
                  <w:r>
                    <w:rPr>
                      <w:rFonts w:hint="eastAsia"/>
                      <w:sz w:val="21"/>
                      <w:szCs w:val="21"/>
                      <w:u w:val="single"/>
                    </w:rPr>
                    <w:t>地面明沟、防火堤、 混凝土硬化地面</w:t>
                  </w:r>
                </w:p>
              </w:tc>
              <w:tc>
                <w:tcPr>
                  <w:tcW w:w="692" w:type="pct"/>
                  <w:noWrap w:val="0"/>
                  <w:vAlign w:val="center"/>
                </w:tcPr>
                <w:p w14:paraId="10BD38D9">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2406C15A">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343A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5A99ED39">
                  <w:pPr>
                    <w:pStyle w:val="83"/>
                    <w:autoSpaceDE w:val="0"/>
                    <w:autoSpaceDN w:val="0"/>
                    <w:rPr>
                      <w:sz w:val="21"/>
                      <w:szCs w:val="21"/>
                      <w:u w:val="single"/>
                    </w:rPr>
                  </w:pPr>
                  <w:r>
                    <w:rPr>
                      <w:sz w:val="21"/>
                      <w:szCs w:val="21"/>
                      <w:u w:val="single"/>
                    </w:rPr>
                    <w:t>4</w:t>
                  </w:r>
                </w:p>
              </w:tc>
              <w:tc>
                <w:tcPr>
                  <w:tcW w:w="775" w:type="pct"/>
                  <w:noWrap w:val="0"/>
                  <w:vAlign w:val="center"/>
                </w:tcPr>
                <w:p w14:paraId="01F08D30">
                  <w:pPr>
                    <w:pStyle w:val="83"/>
                    <w:autoSpaceDE w:val="0"/>
                    <w:autoSpaceDN w:val="0"/>
                    <w:rPr>
                      <w:sz w:val="21"/>
                      <w:szCs w:val="21"/>
                      <w:u w:val="single"/>
                    </w:rPr>
                  </w:pPr>
                  <w:r>
                    <w:rPr>
                      <w:rFonts w:hint="eastAsia"/>
                      <w:sz w:val="21"/>
                      <w:szCs w:val="21"/>
                      <w:u w:val="single"/>
                    </w:rPr>
                    <w:t>甲醇装置</w:t>
                  </w:r>
                </w:p>
              </w:tc>
              <w:tc>
                <w:tcPr>
                  <w:tcW w:w="1000" w:type="pct"/>
                  <w:noWrap w:val="0"/>
                  <w:vAlign w:val="center"/>
                </w:tcPr>
                <w:p w14:paraId="6EBAED42">
                  <w:pPr>
                    <w:pStyle w:val="83"/>
                    <w:autoSpaceDE w:val="0"/>
                    <w:autoSpaceDN w:val="0"/>
                    <w:rPr>
                      <w:rFonts w:hint="eastAsia"/>
                      <w:sz w:val="21"/>
                      <w:szCs w:val="21"/>
                      <w:u w:val="single"/>
                    </w:rPr>
                  </w:pPr>
                  <w:r>
                    <w:rPr>
                      <w:rFonts w:hint="eastAsia"/>
                      <w:sz w:val="21"/>
                      <w:szCs w:val="21"/>
                      <w:u w:val="single"/>
                    </w:rPr>
                    <w:t>地面明沟、围堰、</w:t>
                  </w:r>
                </w:p>
                <w:p w14:paraId="7E50AF92">
                  <w:pPr>
                    <w:pStyle w:val="83"/>
                    <w:autoSpaceDE w:val="0"/>
                    <w:autoSpaceDN w:val="0"/>
                    <w:rPr>
                      <w:rFonts w:hint="eastAsia"/>
                      <w:sz w:val="21"/>
                      <w:szCs w:val="21"/>
                      <w:u w:val="single"/>
                    </w:rPr>
                  </w:pPr>
                  <w:r>
                    <w:rPr>
                      <w:rFonts w:hint="eastAsia"/>
                      <w:sz w:val="21"/>
                      <w:szCs w:val="21"/>
                      <w:u w:val="single"/>
                    </w:rPr>
                    <w:t>防火堤、混凝土硬 化地面</w:t>
                  </w:r>
                </w:p>
              </w:tc>
              <w:tc>
                <w:tcPr>
                  <w:tcW w:w="692" w:type="pct"/>
                  <w:noWrap w:val="0"/>
                  <w:vAlign w:val="center"/>
                </w:tcPr>
                <w:p w14:paraId="6E6D6186">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0CCB767E">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 自动监控初期雨水池液位，启动 输送泵将废水送至废水处理站。</w:t>
                  </w:r>
                </w:p>
              </w:tc>
            </w:tr>
            <w:tr w14:paraId="344CD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456F0C07">
                  <w:pPr>
                    <w:pStyle w:val="83"/>
                    <w:autoSpaceDE w:val="0"/>
                    <w:autoSpaceDN w:val="0"/>
                    <w:rPr>
                      <w:sz w:val="21"/>
                      <w:szCs w:val="21"/>
                      <w:u w:val="single"/>
                    </w:rPr>
                  </w:pPr>
                  <w:r>
                    <w:rPr>
                      <w:sz w:val="21"/>
                      <w:szCs w:val="21"/>
                      <w:u w:val="single"/>
                    </w:rPr>
                    <w:t>5</w:t>
                  </w:r>
                </w:p>
              </w:tc>
              <w:tc>
                <w:tcPr>
                  <w:tcW w:w="775" w:type="pct"/>
                  <w:noWrap w:val="0"/>
                  <w:vAlign w:val="center"/>
                </w:tcPr>
                <w:p w14:paraId="31A2646A">
                  <w:pPr>
                    <w:pStyle w:val="83"/>
                    <w:autoSpaceDE w:val="0"/>
                    <w:autoSpaceDN w:val="0"/>
                    <w:rPr>
                      <w:sz w:val="21"/>
                      <w:szCs w:val="21"/>
                      <w:u w:val="single"/>
                    </w:rPr>
                  </w:pPr>
                  <w:r>
                    <w:rPr>
                      <w:rFonts w:hint="eastAsia"/>
                      <w:sz w:val="21"/>
                      <w:szCs w:val="21"/>
                      <w:u w:val="single"/>
                    </w:rPr>
                    <w:t>乙二醇装置</w:t>
                  </w:r>
                </w:p>
              </w:tc>
              <w:tc>
                <w:tcPr>
                  <w:tcW w:w="1000" w:type="pct"/>
                  <w:noWrap w:val="0"/>
                  <w:vAlign w:val="center"/>
                </w:tcPr>
                <w:p w14:paraId="6A101CC1">
                  <w:pPr>
                    <w:pStyle w:val="83"/>
                    <w:autoSpaceDE w:val="0"/>
                    <w:autoSpaceDN w:val="0"/>
                    <w:rPr>
                      <w:rFonts w:hint="eastAsia"/>
                      <w:sz w:val="21"/>
                      <w:szCs w:val="21"/>
                      <w:u w:val="single"/>
                    </w:rPr>
                  </w:pPr>
                  <w:r>
                    <w:rPr>
                      <w:rFonts w:hint="eastAsia"/>
                      <w:sz w:val="21"/>
                      <w:szCs w:val="21"/>
                      <w:u w:val="single"/>
                    </w:rPr>
                    <w:t>地面明沟、防火堤、 混凝土硬化地面</w:t>
                  </w:r>
                </w:p>
              </w:tc>
              <w:tc>
                <w:tcPr>
                  <w:tcW w:w="692" w:type="pct"/>
                  <w:noWrap w:val="0"/>
                  <w:vAlign w:val="center"/>
                </w:tcPr>
                <w:p w14:paraId="1C976780">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2F5F4FE4">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5194C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19E657C7">
                  <w:pPr>
                    <w:pStyle w:val="83"/>
                    <w:autoSpaceDE w:val="0"/>
                    <w:autoSpaceDN w:val="0"/>
                    <w:rPr>
                      <w:sz w:val="21"/>
                      <w:szCs w:val="21"/>
                      <w:u w:val="single"/>
                    </w:rPr>
                  </w:pPr>
                  <w:r>
                    <w:rPr>
                      <w:sz w:val="21"/>
                      <w:szCs w:val="21"/>
                      <w:u w:val="single"/>
                    </w:rPr>
                    <w:t>6</w:t>
                  </w:r>
                </w:p>
              </w:tc>
              <w:tc>
                <w:tcPr>
                  <w:tcW w:w="775" w:type="pct"/>
                  <w:noWrap w:val="0"/>
                  <w:vAlign w:val="center"/>
                </w:tcPr>
                <w:p w14:paraId="12DA5D0A">
                  <w:pPr>
                    <w:pStyle w:val="83"/>
                    <w:autoSpaceDE w:val="0"/>
                    <w:autoSpaceDN w:val="0"/>
                    <w:rPr>
                      <w:sz w:val="21"/>
                      <w:szCs w:val="21"/>
                      <w:u w:val="single"/>
                    </w:rPr>
                  </w:pPr>
                  <w:r>
                    <w:rPr>
                      <w:rFonts w:hint="eastAsia"/>
                      <w:sz w:val="21"/>
                      <w:szCs w:val="21"/>
                      <w:u w:val="single"/>
                    </w:rPr>
                    <w:t>醋酸装置</w:t>
                  </w:r>
                </w:p>
              </w:tc>
              <w:tc>
                <w:tcPr>
                  <w:tcW w:w="1000" w:type="pct"/>
                  <w:noWrap w:val="0"/>
                  <w:vAlign w:val="center"/>
                </w:tcPr>
                <w:p w14:paraId="1E10B25A">
                  <w:pPr>
                    <w:pStyle w:val="83"/>
                    <w:autoSpaceDE w:val="0"/>
                    <w:autoSpaceDN w:val="0"/>
                    <w:rPr>
                      <w:rFonts w:hint="eastAsia"/>
                      <w:sz w:val="21"/>
                      <w:szCs w:val="21"/>
                      <w:u w:val="single"/>
                    </w:rPr>
                  </w:pPr>
                  <w:r>
                    <w:rPr>
                      <w:rFonts w:hint="eastAsia"/>
                      <w:sz w:val="21"/>
                      <w:szCs w:val="21"/>
                      <w:u w:val="single"/>
                    </w:rPr>
                    <w:t>地面明沟、防火堤、 混凝土硬化地面</w:t>
                  </w:r>
                </w:p>
              </w:tc>
              <w:tc>
                <w:tcPr>
                  <w:tcW w:w="692" w:type="pct"/>
                  <w:noWrap w:val="0"/>
                  <w:vAlign w:val="center"/>
                </w:tcPr>
                <w:p w14:paraId="4720773C">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546AE042">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0F777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3AEC0987">
                  <w:pPr>
                    <w:pStyle w:val="83"/>
                    <w:autoSpaceDE w:val="0"/>
                    <w:autoSpaceDN w:val="0"/>
                    <w:rPr>
                      <w:sz w:val="21"/>
                      <w:szCs w:val="21"/>
                      <w:u w:val="single"/>
                    </w:rPr>
                  </w:pPr>
                  <w:r>
                    <w:rPr>
                      <w:sz w:val="21"/>
                      <w:szCs w:val="21"/>
                      <w:u w:val="single"/>
                    </w:rPr>
                    <w:t>7</w:t>
                  </w:r>
                </w:p>
              </w:tc>
              <w:tc>
                <w:tcPr>
                  <w:tcW w:w="775" w:type="pct"/>
                  <w:noWrap w:val="0"/>
                  <w:vAlign w:val="center"/>
                </w:tcPr>
                <w:p w14:paraId="328872B6">
                  <w:pPr>
                    <w:pStyle w:val="83"/>
                    <w:autoSpaceDE w:val="0"/>
                    <w:autoSpaceDN w:val="0"/>
                    <w:rPr>
                      <w:sz w:val="21"/>
                      <w:szCs w:val="21"/>
                      <w:u w:val="single"/>
                    </w:rPr>
                  </w:pPr>
                  <w:r>
                    <w:rPr>
                      <w:rFonts w:hint="eastAsia"/>
                      <w:sz w:val="21"/>
                      <w:szCs w:val="21"/>
                      <w:u w:val="single"/>
                    </w:rPr>
                    <w:t>硫回收装置</w:t>
                  </w:r>
                </w:p>
              </w:tc>
              <w:tc>
                <w:tcPr>
                  <w:tcW w:w="1000" w:type="pct"/>
                  <w:noWrap w:val="0"/>
                  <w:vAlign w:val="center"/>
                </w:tcPr>
                <w:p w14:paraId="262942CF">
                  <w:pPr>
                    <w:pStyle w:val="83"/>
                    <w:autoSpaceDE w:val="0"/>
                    <w:autoSpaceDN w:val="0"/>
                    <w:rPr>
                      <w:rFonts w:hint="eastAsia"/>
                      <w:sz w:val="21"/>
                      <w:szCs w:val="21"/>
                      <w:u w:val="single"/>
                    </w:rPr>
                  </w:pPr>
                  <w:r>
                    <w:rPr>
                      <w:rFonts w:hint="eastAsia"/>
                      <w:sz w:val="21"/>
                      <w:szCs w:val="21"/>
                      <w:u w:val="single"/>
                    </w:rPr>
                    <w:t>地面明沟、防火堤、 混凝土硬化地面</w:t>
                  </w:r>
                </w:p>
              </w:tc>
              <w:tc>
                <w:tcPr>
                  <w:tcW w:w="692" w:type="pct"/>
                  <w:noWrap w:val="0"/>
                  <w:vAlign w:val="center"/>
                </w:tcPr>
                <w:p w14:paraId="03891474">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5D2B1E85">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1B75A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44E2B0E4">
                  <w:pPr>
                    <w:pStyle w:val="83"/>
                    <w:autoSpaceDE w:val="0"/>
                    <w:autoSpaceDN w:val="0"/>
                    <w:rPr>
                      <w:sz w:val="21"/>
                      <w:szCs w:val="21"/>
                      <w:u w:val="single"/>
                    </w:rPr>
                  </w:pPr>
                  <w:r>
                    <w:rPr>
                      <w:sz w:val="21"/>
                      <w:szCs w:val="21"/>
                      <w:u w:val="single"/>
                    </w:rPr>
                    <w:t>8</w:t>
                  </w:r>
                </w:p>
              </w:tc>
              <w:tc>
                <w:tcPr>
                  <w:tcW w:w="775" w:type="pct"/>
                  <w:noWrap w:val="0"/>
                  <w:vAlign w:val="center"/>
                </w:tcPr>
                <w:p w14:paraId="5540F92E">
                  <w:pPr>
                    <w:pStyle w:val="83"/>
                    <w:autoSpaceDE w:val="0"/>
                    <w:autoSpaceDN w:val="0"/>
                    <w:rPr>
                      <w:sz w:val="21"/>
                      <w:szCs w:val="21"/>
                      <w:u w:val="single"/>
                    </w:rPr>
                  </w:pPr>
                  <w:r>
                    <w:rPr>
                      <w:rFonts w:hint="eastAsia"/>
                      <w:sz w:val="21"/>
                      <w:szCs w:val="21"/>
                      <w:u w:val="single"/>
                    </w:rPr>
                    <w:t>氨回收装置</w:t>
                  </w:r>
                </w:p>
              </w:tc>
              <w:tc>
                <w:tcPr>
                  <w:tcW w:w="1000" w:type="pct"/>
                  <w:noWrap w:val="0"/>
                  <w:vAlign w:val="center"/>
                </w:tcPr>
                <w:p w14:paraId="0847C354">
                  <w:pPr>
                    <w:pStyle w:val="83"/>
                    <w:autoSpaceDE w:val="0"/>
                    <w:autoSpaceDN w:val="0"/>
                    <w:rPr>
                      <w:rFonts w:hint="eastAsia"/>
                      <w:sz w:val="21"/>
                      <w:szCs w:val="21"/>
                      <w:u w:val="single"/>
                    </w:rPr>
                  </w:pPr>
                  <w:r>
                    <w:rPr>
                      <w:rFonts w:hint="eastAsia"/>
                      <w:sz w:val="21"/>
                      <w:szCs w:val="21"/>
                      <w:u w:val="single"/>
                    </w:rPr>
                    <w:t>地面明沟、防火堤、 混凝土硬化地面</w:t>
                  </w:r>
                </w:p>
              </w:tc>
              <w:tc>
                <w:tcPr>
                  <w:tcW w:w="692" w:type="pct"/>
                  <w:noWrap w:val="0"/>
                  <w:vAlign w:val="center"/>
                </w:tcPr>
                <w:p w14:paraId="7422AB29">
                  <w:pPr>
                    <w:pStyle w:val="83"/>
                    <w:autoSpaceDE w:val="0"/>
                    <w:autoSpaceDN w:val="0"/>
                    <w:rPr>
                      <w:sz w:val="21"/>
                      <w:szCs w:val="21"/>
                      <w:u w:val="single"/>
                    </w:rPr>
                  </w:pPr>
                  <w:r>
                    <w:rPr>
                      <w:rFonts w:hint="eastAsia"/>
                      <w:sz w:val="21"/>
                      <w:szCs w:val="21"/>
                      <w:u w:val="single"/>
                    </w:rPr>
                    <w:t>否</w:t>
                  </w:r>
                </w:p>
              </w:tc>
              <w:tc>
                <w:tcPr>
                  <w:tcW w:w="2153" w:type="pct"/>
                  <w:noWrap w:val="0"/>
                  <w:vAlign w:val="center"/>
                </w:tcPr>
                <w:p w14:paraId="6B96D57F">
                  <w:pPr>
                    <w:pStyle w:val="83"/>
                    <w:autoSpaceDE w:val="0"/>
                    <w:autoSpaceDN w:val="0"/>
                    <w:jc w:val="left"/>
                    <w:rPr>
                      <w:rFonts w:hint="eastAsia"/>
                      <w:sz w:val="21"/>
                      <w:szCs w:val="21"/>
                      <w:u w:val="single"/>
                    </w:rPr>
                  </w:pPr>
                  <w:r>
                    <w:rPr>
                      <w:rFonts w:hint="eastAsia"/>
                      <w:sz w:val="21"/>
                      <w:szCs w:val="21"/>
                      <w:u w:val="single"/>
                    </w:rPr>
                    <w:t>装置区四周设有地沟，装置区内设有事故初期雨水池，装置区内的废水首先收集在初期雨水池内，自动监控初期雨水池液位，启动 输送泵将废水送至废水处理站。</w:t>
                  </w:r>
                </w:p>
              </w:tc>
            </w:tr>
            <w:tr w14:paraId="0688C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5702A7F7">
                  <w:pPr>
                    <w:pStyle w:val="83"/>
                    <w:autoSpaceDE w:val="0"/>
                    <w:autoSpaceDN w:val="0"/>
                    <w:rPr>
                      <w:sz w:val="21"/>
                      <w:szCs w:val="21"/>
                      <w:u w:val="single"/>
                    </w:rPr>
                  </w:pPr>
                  <w:r>
                    <w:rPr>
                      <w:sz w:val="21"/>
                      <w:szCs w:val="21"/>
                      <w:u w:val="single"/>
                    </w:rPr>
                    <w:t>9</w:t>
                  </w:r>
                </w:p>
              </w:tc>
              <w:tc>
                <w:tcPr>
                  <w:tcW w:w="775" w:type="pct"/>
                  <w:noWrap w:val="0"/>
                  <w:vAlign w:val="center"/>
                </w:tcPr>
                <w:p w14:paraId="3E956C7A">
                  <w:pPr>
                    <w:pStyle w:val="83"/>
                    <w:autoSpaceDE w:val="0"/>
                    <w:autoSpaceDN w:val="0"/>
                    <w:rPr>
                      <w:sz w:val="21"/>
                      <w:szCs w:val="21"/>
                      <w:u w:val="single"/>
                    </w:rPr>
                  </w:pPr>
                  <w:r>
                    <w:rPr>
                      <w:rFonts w:hint="eastAsia"/>
                      <w:sz w:val="21"/>
                      <w:szCs w:val="21"/>
                      <w:u w:val="single"/>
                    </w:rPr>
                    <w:t>中间罐区</w:t>
                  </w:r>
                </w:p>
              </w:tc>
              <w:tc>
                <w:tcPr>
                  <w:tcW w:w="1000" w:type="pct"/>
                  <w:noWrap w:val="0"/>
                  <w:vAlign w:val="center"/>
                </w:tcPr>
                <w:p w14:paraId="4F775624">
                  <w:pPr>
                    <w:pStyle w:val="83"/>
                    <w:autoSpaceDE w:val="0"/>
                    <w:autoSpaceDN w:val="0"/>
                    <w:rPr>
                      <w:sz w:val="21"/>
                      <w:szCs w:val="21"/>
                      <w:u w:val="single"/>
                    </w:rPr>
                  </w:pPr>
                  <w:r>
                    <w:rPr>
                      <w:rFonts w:hint="eastAsia"/>
                      <w:sz w:val="21"/>
                      <w:szCs w:val="21"/>
                      <w:u w:val="single"/>
                    </w:rPr>
                    <w:t>防火堤、明沟、积 液坑</w:t>
                  </w:r>
                </w:p>
              </w:tc>
              <w:tc>
                <w:tcPr>
                  <w:tcW w:w="692" w:type="pct"/>
                  <w:noWrap w:val="0"/>
                  <w:vAlign w:val="center"/>
                </w:tcPr>
                <w:p w14:paraId="34589B8B">
                  <w:pPr>
                    <w:pStyle w:val="83"/>
                    <w:autoSpaceDE w:val="0"/>
                    <w:autoSpaceDN w:val="0"/>
                    <w:rPr>
                      <w:sz w:val="21"/>
                      <w:szCs w:val="21"/>
                      <w:u w:val="single"/>
                    </w:rPr>
                  </w:pPr>
                  <w:r>
                    <w:rPr>
                      <w:rFonts w:hint="eastAsia"/>
                      <w:sz w:val="21"/>
                      <w:szCs w:val="21"/>
                      <w:u w:val="single"/>
                    </w:rPr>
                    <w:t>是</w:t>
                  </w:r>
                </w:p>
              </w:tc>
              <w:tc>
                <w:tcPr>
                  <w:tcW w:w="2153" w:type="pct"/>
                  <w:noWrap w:val="0"/>
                  <w:vAlign w:val="center"/>
                </w:tcPr>
                <w:p w14:paraId="3D1B47A7">
                  <w:pPr>
                    <w:pStyle w:val="83"/>
                    <w:autoSpaceDE w:val="0"/>
                    <w:autoSpaceDN w:val="0"/>
                    <w:jc w:val="left"/>
                    <w:rPr>
                      <w:rFonts w:hint="eastAsia"/>
                      <w:sz w:val="21"/>
                      <w:szCs w:val="21"/>
                      <w:u w:val="single"/>
                    </w:rPr>
                  </w:pPr>
                  <w:r>
                    <w:rPr>
                      <w:rFonts w:hint="eastAsia"/>
                      <w:sz w:val="21"/>
                      <w:szCs w:val="21"/>
                      <w:u w:val="single"/>
                    </w:rPr>
                    <w:t>罐区设有围堰，围堰内设有地沟，地沟废水 安装有切断阀，切断阀均处于常关闭状态， 围堰排放至初期雨水池，初期雨水池可以将 废水送至天宜污水站，也可以通过雨水管网</w:t>
                  </w:r>
                </w:p>
                <w:p w14:paraId="04A13CB8">
                  <w:pPr>
                    <w:pStyle w:val="83"/>
                    <w:autoSpaceDE w:val="0"/>
                    <w:autoSpaceDN w:val="0"/>
                    <w:jc w:val="left"/>
                    <w:rPr>
                      <w:rFonts w:hint="eastAsia"/>
                      <w:sz w:val="21"/>
                      <w:szCs w:val="21"/>
                      <w:u w:val="single"/>
                    </w:rPr>
                  </w:pPr>
                  <w:r>
                    <w:rPr>
                      <w:rFonts w:hint="eastAsia"/>
                      <w:sz w:val="21"/>
                      <w:szCs w:val="21"/>
                      <w:u w:val="single"/>
                    </w:rPr>
                    <w:t>进入消防废水池。</w:t>
                  </w:r>
                </w:p>
              </w:tc>
            </w:tr>
            <w:tr w14:paraId="39437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7EB4EE5C">
                  <w:pPr>
                    <w:pStyle w:val="83"/>
                    <w:autoSpaceDE w:val="0"/>
                    <w:autoSpaceDN w:val="0"/>
                    <w:rPr>
                      <w:sz w:val="21"/>
                      <w:szCs w:val="21"/>
                      <w:u w:val="single"/>
                    </w:rPr>
                  </w:pPr>
                  <w:r>
                    <w:rPr>
                      <w:sz w:val="21"/>
                      <w:szCs w:val="21"/>
                      <w:u w:val="single"/>
                    </w:rPr>
                    <w:t>10</w:t>
                  </w:r>
                </w:p>
              </w:tc>
              <w:tc>
                <w:tcPr>
                  <w:tcW w:w="775" w:type="pct"/>
                  <w:noWrap w:val="0"/>
                  <w:vAlign w:val="center"/>
                </w:tcPr>
                <w:p w14:paraId="56527171">
                  <w:pPr>
                    <w:pStyle w:val="83"/>
                    <w:autoSpaceDE w:val="0"/>
                    <w:autoSpaceDN w:val="0"/>
                    <w:rPr>
                      <w:sz w:val="21"/>
                      <w:szCs w:val="21"/>
                      <w:u w:val="single"/>
                    </w:rPr>
                  </w:pPr>
                  <w:r>
                    <w:rPr>
                      <w:rFonts w:hint="eastAsia"/>
                      <w:sz w:val="21"/>
                      <w:szCs w:val="21"/>
                      <w:u w:val="single"/>
                    </w:rPr>
                    <w:t>氨水储罐</w:t>
                  </w:r>
                </w:p>
              </w:tc>
              <w:tc>
                <w:tcPr>
                  <w:tcW w:w="1000" w:type="pct"/>
                  <w:noWrap w:val="0"/>
                  <w:vAlign w:val="center"/>
                </w:tcPr>
                <w:p w14:paraId="7C32974D">
                  <w:pPr>
                    <w:pStyle w:val="83"/>
                    <w:autoSpaceDE w:val="0"/>
                    <w:autoSpaceDN w:val="0"/>
                    <w:rPr>
                      <w:sz w:val="21"/>
                      <w:szCs w:val="21"/>
                      <w:u w:val="single"/>
                    </w:rPr>
                  </w:pPr>
                  <w:r>
                    <w:rPr>
                      <w:rFonts w:hint="eastAsia"/>
                      <w:sz w:val="21"/>
                      <w:szCs w:val="21"/>
                      <w:u w:val="single"/>
                    </w:rPr>
                    <w:t>防火堤</w:t>
                  </w:r>
                </w:p>
              </w:tc>
              <w:tc>
                <w:tcPr>
                  <w:tcW w:w="692" w:type="pct"/>
                  <w:noWrap w:val="0"/>
                  <w:vAlign w:val="center"/>
                </w:tcPr>
                <w:p w14:paraId="2AC1A8FA">
                  <w:pPr>
                    <w:pStyle w:val="83"/>
                    <w:autoSpaceDE w:val="0"/>
                    <w:autoSpaceDN w:val="0"/>
                    <w:rPr>
                      <w:sz w:val="21"/>
                      <w:szCs w:val="21"/>
                      <w:u w:val="single"/>
                    </w:rPr>
                  </w:pPr>
                  <w:r>
                    <w:rPr>
                      <w:rFonts w:hint="eastAsia"/>
                      <w:sz w:val="21"/>
                      <w:szCs w:val="21"/>
                      <w:u w:val="single"/>
                    </w:rPr>
                    <w:t>是</w:t>
                  </w:r>
                </w:p>
              </w:tc>
              <w:tc>
                <w:tcPr>
                  <w:tcW w:w="2153" w:type="pct"/>
                  <w:noWrap w:val="0"/>
                  <w:vAlign w:val="center"/>
                </w:tcPr>
                <w:p w14:paraId="312AA57B">
                  <w:pPr>
                    <w:pStyle w:val="83"/>
                    <w:autoSpaceDE w:val="0"/>
                    <w:autoSpaceDN w:val="0"/>
                    <w:jc w:val="left"/>
                    <w:rPr>
                      <w:rFonts w:hint="eastAsia"/>
                      <w:sz w:val="21"/>
                      <w:szCs w:val="21"/>
                      <w:u w:val="single"/>
                    </w:rPr>
                  </w:pPr>
                  <w:r>
                    <w:rPr>
                      <w:rFonts w:hint="eastAsia"/>
                      <w:sz w:val="21"/>
                      <w:szCs w:val="21"/>
                      <w:u w:val="single"/>
                    </w:rPr>
                    <w:t>罐区设有围堰，围堰内设有地沟，地沟废水 安装有切断阀，切断阀均处于常关闭状态， 围堰排放至初期雨水池，初期雨水池可以将 废水送至天宜污水站，也可以通过雨水管网</w:t>
                  </w:r>
                </w:p>
                <w:p w14:paraId="21E45A13">
                  <w:pPr>
                    <w:pStyle w:val="83"/>
                    <w:autoSpaceDE w:val="0"/>
                    <w:autoSpaceDN w:val="0"/>
                    <w:jc w:val="left"/>
                    <w:rPr>
                      <w:rFonts w:hint="eastAsia"/>
                      <w:sz w:val="21"/>
                      <w:szCs w:val="21"/>
                      <w:u w:val="single"/>
                    </w:rPr>
                  </w:pPr>
                  <w:r>
                    <w:rPr>
                      <w:rFonts w:hint="eastAsia"/>
                      <w:sz w:val="21"/>
                      <w:szCs w:val="21"/>
                      <w:u w:val="single"/>
                    </w:rPr>
                    <w:t>进入消防废水池</w:t>
                  </w:r>
                </w:p>
              </w:tc>
            </w:tr>
            <w:tr w14:paraId="7BE55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3DB8CB38">
                  <w:pPr>
                    <w:pStyle w:val="83"/>
                    <w:autoSpaceDE w:val="0"/>
                    <w:autoSpaceDN w:val="0"/>
                    <w:rPr>
                      <w:rFonts w:hint="eastAsia"/>
                      <w:sz w:val="21"/>
                      <w:szCs w:val="21"/>
                      <w:u w:val="single"/>
                    </w:rPr>
                  </w:pPr>
                  <w:r>
                    <w:rPr>
                      <w:sz w:val="21"/>
                      <w:szCs w:val="21"/>
                      <w:u w:val="single"/>
                    </w:rPr>
                    <w:t>11</w:t>
                  </w:r>
                </w:p>
              </w:tc>
              <w:tc>
                <w:tcPr>
                  <w:tcW w:w="775" w:type="pct"/>
                  <w:noWrap w:val="0"/>
                  <w:vAlign w:val="center"/>
                </w:tcPr>
                <w:p w14:paraId="4CAC07A7">
                  <w:pPr>
                    <w:pStyle w:val="83"/>
                    <w:autoSpaceDE w:val="0"/>
                    <w:autoSpaceDN w:val="0"/>
                    <w:rPr>
                      <w:sz w:val="21"/>
                      <w:szCs w:val="21"/>
                      <w:u w:val="single"/>
                    </w:rPr>
                  </w:pPr>
                  <w:r>
                    <w:rPr>
                      <w:rFonts w:hint="eastAsia"/>
                      <w:sz w:val="21"/>
                      <w:szCs w:val="21"/>
                      <w:u w:val="single"/>
                    </w:rPr>
                    <w:t>环保装置</w:t>
                  </w:r>
                </w:p>
              </w:tc>
              <w:tc>
                <w:tcPr>
                  <w:tcW w:w="1000" w:type="pct"/>
                  <w:noWrap w:val="0"/>
                  <w:vAlign w:val="center"/>
                </w:tcPr>
                <w:p w14:paraId="5EBA8DAC">
                  <w:pPr>
                    <w:pStyle w:val="83"/>
                    <w:autoSpaceDE w:val="0"/>
                    <w:autoSpaceDN w:val="0"/>
                    <w:rPr>
                      <w:rFonts w:hint="eastAsia"/>
                      <w:sz w:val="21"/>
                      <w:szCs w:val="21"/>
                      <w:u w:val="single"/>
                    </w:rPr>
                  </w:pPr>
                  <w:r>
                    <w:rPr>
                      <w:rFonts w:hint="eastAsia"/>
                      <w:sz w:val="21"/>
                      <w:szCs w:val="21"/>
                      <w:u w:val="single"/>
                    </w:rPr>
                    <w:t>混凝土硬化地面</w:t>
                  </w:r>
                </w:p>
              </w:tc>
              <w:tc>
                <w:tcPr>
                  <w:tcW w:w="692" w:type="pct"/>
                  <w:noWrap w:val="0"/>
                  <w:vAlign w:val="center"/>
                </w:tcPr>
                <w:p w14:paraId="0A19F45B">
                  <w:pPr>
                    <w:pStyle w:val="83"/>
                    <w:autoSpaceDE w:val="0"/>
                    <w:autoSpaceDN w:val="0"/>
                    <w:rPr>
                      <w:rFonts w:hint="eastAsia"/>
                      <w:sz w:val="21"/>
                      <w:szCs w:val="21"/>
                      <w:u w:val="single"/>
                    </w:rPr>
                  </w:pPr>
                  <w:r>
                    <w:rPr>
                      <w:sz w:val="21"/>
                      <w:szCs w:val="21"/>
                      <w:u w:val="single"/>
                    </w:rPr>
                    <w:t>/</w:t>
                  </w:r>
                </w:p>
              </w:tc>
              <w:tc>
                <w:tcPr>
                  <w:tcW w:w="2153" w:type="pct"/>
                  <w:noWrap w:val="0"/>
                  <w:vAlign w:val="center"/>
                </w:tcPr>
                <w:p w14:paraId="3F5EC5FB">
                  <w:pPr>
                    <w:pStyle w:val="83"/>
                    <w:autoSpaceDE w:val="0"/>
                    <w:autoSpaceDN w:val="0"/>
                    <w:jc w:val="left"/>
                    <w:rPr>
                      <w:sz w:val="21"/>
                      <w:szCs w:val="21"/>
                      <w:u w:val="single"/>
                    </w:rPr>
                  </w:pPr>
                  <w:r>
                    <w:rPr>
                      <w:rFonts w:hint="eastAsia"/>
                      <w:sz w:val="21"/>
                      <w:szCs w:val="21"/>
                      <w:u w:val="single"/>
                    </w:rPr>
                    <w:t>所属车间定期维护</w:t>
                  </w:r>
                </w:p>
              </w:tc>
            </w:tr>
            <w:tr w14:paraId="0049E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02B59214">
                  <w:pPr>
                    <w:pStyle w:val="83"/>
                    <w:autoSpaceDE w:val="0"/>
                    <w:autoSpaceDN w:val="0"/>
                    <w:rPr>
                      <w:rFonts w:hint="eastAsia"/>
                      <w:sz w:val="21"/>
                      <w:szCs w:val="21"/>
                      <w:u w:val="single"/>
                    </w:rPr>
                  </w:pPr>
                  <w:r>
                    <w:rPr>
                      <w:sz w:val="21"/>
                      <w:szCs w:val="21"/>
                      <w:u w:val="single"/>
                    </w:rPr>
                    <w:t>12</w:t>
                  </w:r>
                </w:p>
              </w:tc>
              <w:tc>
                <w:tcPr>
                  <w:tcW w:w="775" w:type="pct"/>
                  <w:noWrap w:val="0"/>
                  <w:vAlign w:val="center"/>
                </w:tcPr>
                <w:p w14:paraId="2D39184F">
                  <w:pPr>
                    <w:pStyle w:val="83"/>
                    <w:autoSpaceDE w:val="0"/>
                    <w:autoSpaceDN w:val="0"/>
                    <w:rPr>
                      <w:sz w:val="21"/>
                      <w:szCs w:val="21"/>
                      <w:u w:val="single"/>
                    </w:rPr>
                  </w:pPr>
                  <w:r>
                    <w:rPr>
                      <w:rFonts w:hint="eastAsia"/>
                      <w:sz w:val="21"/>
                      <w:szCs w:val="21"/>
                      <w:u w:val="single"/>
                    </w:rPr>
                    <w:t>仓库</w:t>
                  </w:r>
                </w:p>
              </w:tc>
              <w:tc>
                <w:tcPr>
                  <w:tcW w:w="1000" w:type="pct"/>
                  <w:noWrap w:val="0"/>
                  <w:vAlign w:val="center"/>
                </w:tcPr>
                <w:p w14:paraId="4CFBE3F7">
                  <w:pPr>
                    <w:pStyle w:val="83"/>
                    <w:autoSpaceDE w:val="0"/>
                    <w:autoSpaceDN w:val="0"/>
                    <w:rPr>
                      <w:rFonts w:hint="eastAsia"/>
                      <w:sz w:val="21"/>
                      <w:szCs w:val="21"/>
                      <w:u w:val="single"/>
                    </w:rPr>
                  </w:pPr>
                  <w:r>
                    <w:rPr>
                      <w:rFonts w:hint="eastAsia"/>
                      <w:sz w:val="21"/>
                      <w:szCs w:val="21"/>
                      <w:u w:val="single"/>
                    </w:rPr>
                    <w:t>混凝土硬化地面</w:t>
                  </w:r>
                </w:p>
              </w:tc>
              <w:tc>
                <w:tcPr>
                  <w:tcW w:w="692" w:type="pct"/>
                  <w:noWrap w:val="0"/>
                  <w:vAlign w:val="center"/>
                </w:tcPr>
                <w:p w14:paraId="308ECE43">
                  <w:pPr>
                    <w:pStyle w:val="83"/>
                    <w:autoSpaceDE w:val="0"/>
                    <w:autoSpaceDN w:val="0"/>
                    <w:rPr>
                      <w:rFonts w:hint="eastAsia"/>
                      <w:sz w:val="21"/>
                      <w:szCs w:val="21"/>
                      <w:u w:val="single"/>
                    </w:rPr>
                  </w:pPr>
                  <w:r>
                    <w:rPr>
                      <w:sz w:val="21"/>
                      <w:szCs w:val="21"/>
                      <w:u w:val="single"/>
                    </w:rPr>
                    <w:t>/</w:t>
                  </w:r>
                </w:p>
              </w:tc>
              <w:tc>
                <w:tcPr>
                  <w:tcW w:w="2153" w:type="pct"/>
                  <w:noWrap w:val="0"/>
                  <w:vAlign w:val="center"/>
                </w:tcPr>
                <w:p w14:paraId="0260C75F">
                  <w:pPr>
                    <w:pStyle w:val="83"/>
                    <w:autoSpaceDE w:val="0"/>
                    <w:autoSpaceDN w:val="0"/>
                    <w:jc w:val="left"/>
                    <w:rPr>
                      <w:sz w:val="21"/>
                      <w:szCs w:val="21"/>
                      <w:u w:val="single"/>
                    </w:rPr>
                  </w:pPr>
                  <w:r>
                    <w:rPr>
                      <w:rFonts w:hint="eastAsia"/>
                      <w:sz w:val="21"/>
                      <w:szCs w:val="21"/>
                      <w:u w:val="single"/>
                    </w:rPr>
                    <w:t>所属车间定期巡检，发生泄漏采取应急处置 措施应急处理</w:t>
                  </w:r>
                </w:p>
              </w:tc>
            </w:tr>
            <w:tr w14:paraId="39680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0" w:type="pct"/>
                  <w:noWrap w:val="0"/>
                  <w:vAlign w:val="center"/>
                </w:tcPr>
                <w:p w14:paraId="5DF5C31F">
                  <w:pPr>
                    <w:pStyle w:val="83"/>
                    <w:autoSpaceDE w:val="0"/>
                    <w:autoSpaceDN w:val="0"/>
                    <w:rPr>
                      <w:sz w:val="21"/>
                      <w:szCs w:val="21"/>
                      <w:u w:val="single"/>
                    </w:rPr>
                  </w:pPr>
                  <w:r>
                    <w:rPr>
                      <w:sz w:val="21"/>
                      <w:szCs w:val="21"/>
                      <w:u w:val="single"/>
                    </w:rPr>
                    <w:t>13</w:t>
                  </w:r>
                </w:p>
              </w:tc>
              <w:tc>
                <w:tcPr>
                  <w:tcW w:w="775" w:type="pct"/>
                  <w:noWrap w:val="0"/>
                  <w:vAlign w:val="center"/>
                </w:tcPr>
                <w:p w14:paraId="51604679">
                  <w:pPr>
                    <w:pStyle w:val="83"/>
                    <w:autoSpaceDE w:val="0"/>
                    <w:autoSpaceDN w:val="0"/>
                    <w:rPr>
                      <w:sz w:val="21"/>
                      <w:szCs w:val="21"/>
                      <w:u w:val="single"/>
                    </w:rPr>
                  </w:pPr>
                  <w:r>
                    <w:rPr>
                      <w:rFonts w:hint="eastAsia"/>
                      <w:sz w:val="21"/>
                      <w:szCs w:val="21"/>
                      <w:u w:val="single"/>
                    </w:rPr>
                    <w:t>管道工程</w:t>
                  </w:r>
                </w:p>
              </w:tc>
              <w:tc>
                <w:tcPr>
                  <w:tcW w:w="1000" w:type="pct"/>
                  <w:noWrap w:val="0"/>
                  <w:vAlign w:val="center"/>
                </w:tcPr>
                <w:p w14:paraId="0F4838CC">
                  <w:pPr>
                    <w:pStyle w:val="83"/>
                    <w:autoSpaceDE w:val="0"/>
                    <w:autoSpaceDN w:val="0"/>
                    <w:rPr>
                      <w:rFonts w:hint="eastAsia"/>
                      <w:sz w:val="21"/>
                      <w:szCs w:val="21"/>
                      <w:u w:val="single"/>
                    </w:rPr>
                  </w:pPr>
                  <w:r>
                    <w:rPr>
                      <w:rFonts w:hint="eastAsia"/>
                      <w:sz w:val="21"/>
                      <w:szCs w:val="21"/>
                      <w:u w:val="single"/>
                    </w:rPr>
                    <w:t>输送流量、压力在</w:t>
                  </w:r>
                </w:p>
                <w:p w14:paraId="688A2770">
                  <w:pPr>
                    <w:pStyle w:val="83"/>
                    <w:autoSpaceDE w:val="0"/>
                    <w:autoSpaceDN w:val="0"/>
                    <w:rPr>
                      <w:rFonts w:hint="eastAsia"/>
                      <w:sz w:val="21"/>
                      <w:szCs w:val="21"/>
                      <w:u w:val="single"/>
                    </w:rPr>
                  </w:pPr>
                  <w:r>
                    <w:rPr>
                      <w:rFonts w:hint="eastAsia"/>
                      <w:sz w:val="21"/>
                      <w:szCs w:val="21"/>
                      <w:u w:val="single"/>
                    </w:rPr>
                    <w:t>线监控，混凝土硬</w:t>
                  </w:r>
                </w:p>
                <w:p w14:paraId="1217B460">
                  <w:pPr>
                    <w:pStyle w:val="83"/>
                    <w:autoSpaceDE w:val="0"/>
                    <w:autoSpaceDN w:val="0"/>
                    <w:rPr>
                      <w:rFonts w:hint="eastAsia"/>
                      <w:sz w:val="21"/>
                      <w:szCs w:val="21"/>
                      <w:u w:val="single"/>
                    </w:rPr>
                  </w:pPr>
                  <w:r>
                    <w:rPr>
                      <w:rFonts w:hint="eastAsia"/>
                      <w:sz w:val="21"/>
                      <w:szCs w:val="21"/>
                      <w:u w:val="single"/>
                    </w:rPr>
                    <w:t>化地面</w:t>
                  </w:r>
                </w:p>
              </w:tc>
              <w:tc>
                <w:tcPr>
                  <w:tcW w:w="692" w:type="pct"/>
                  <w:noWrap w:val="0"/>
                  <w:vAlign w:val="center"/>
                </w:tcPr>
                <w:p w14:paraId="0E8B1E5B">
                  <w:pPr>
                    <w:pStyle w:val="83"/>
                    <w:autoSpaceDE w:val="0"/>
                    <w:autoSpaceDN w:val="0"/>
                    <w:rPr>
                      <w:sz w:val="21"/>
                      <w:szCs w:val="21"/>
                      <w:u w:val="single"/>
                    </w:rPr>
                  </w:pPr>
                  <w:r>
                    <w:rPr>
                      <w:sz w:val="21"/>
                      <w:szCs w:val="21"/>
                      <w:u w:val="single"/>
                    </w:rPr>
                    <w:t>/</w:t>
                  </w:r>
                </w:p>
              </w:tc>
              <w:tc>
                <w:tcPr>
                  <w:tcW w:w="2153" w:type="pct"/>
                  <w:noWrap w:val="0"/>
                  <w:vAlign w:val="center"/>
                </w:tcPr>
                <w:p w14:paraId="7D65EB10">
                  <w:pPr>
                    <w:pStyle w:val="83"/>
                    <w:autoSpaceDE w:val="0"/>
                    <w:autoSpaceDN w:val="0"/>
                    <w:jc w:val="left"/>
                    <w:rPr>
                      <w:sz w:val="21"/>
                      <w:szCs w:val="21"/>
                      <w:u w:val="single"/>
                    </w:rPr>
                  </w:pPr>
                  <w:r>
                    <w:rPr>
                      <w:rFonts w:hint="eastAsia"/>
                      <w:sz w:val="21"/>
                      <w:szCs w:val="21"/>
                      <w:u w:val="single"/>
                    </w:rPr>
                    <w:t>操作人员定期巡检一次，所属车间定期维护</w:t>
                  </w:r>
                </w:p>
              </w:tc>
            </w:tr>
          </w:tbl>
          <w:p w14:paraId="7FD6CDB6">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3</w:t>
            </w:r>
            <w:r>
              <w:rPr>
                <w:rFonts w:hint="eastAsia"/>
                <w:b/>
                <w:bCs w:val="0"/>
                <w:sz w:val="24"/>
                <w:u w:val="single"/>
                <w:lang w:eastAsia="zh-CN"/>
              </w:rPr>
              <w:t>）</w:t>
            </w:r>
            <w:r>
              <w:rPr>
                <w:rFonts w:hint="eastAsia"/>
                <w:b/>
                <w:bCs w:val="0"/>
                <w:sz w:val="24"/>
                <w:u w:val="single"/>
              </w:rPr>
              <w:t xml:space="preserve"> 雨排水系统防控措施</w:t>
            </w:r>
          </w:p>
          <w:p w14:paraId="6C8423EF">
            <w:pPr>
              <w:spacing w:line="500" w:lineRule="atLeast"/>
              <w:ind w:firstLine="480" w:firstLineChars="200"/>
              <w:jc w:val="left"/>
              <w:rPr>
                <w:rFonts w:hint="eastAsia"/>
                <w:b w:val="0"/>
                <w:bCs/>
                <w:sz w:val="24"/>
                <w:u w:val="single"/>
              </w:rPr>
            </w:pPr>
            <w:r>
              <w:rPr>
                <w:rFonts w:hint="eastAsia"/>
                <w:b w:val="0"/>
                <w:bCs/>
                <w:sz w:val="24"/>
                <w:u w:val="single"/>
              </w:rPr>
              <w:t xml:space="preserve">企业实行雨污分流，为了防止事故废水通过雨水管网排入外环境，企业在雨水排放总出口处设有雨水监测池，并且在雨水总排放口设置二级切断阀门雨水排放总阀为常闭，确保将事故污水截流在厂区内，杜绝事故废水进入外环境。在雨水监测池与消防废水池由管道连接，通过重力自流流入消防废水池，然后送广西天宜环境科技有限公司污水处理站处理。 </w:t>
            </w:r>
          </w:p>
          <w:p w14:paraId="6D54C696">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4</w:t>
            </w:r>
            <w:r>
              <w:rPr>
                <w:rFonts w:hint="eastAsia"/>
                <w:b/>
                <w:bCs w:val="0"/>
                <w:sz w:val="24"/>
                <w:u w:val="single"/>
                <w:lang w:eastAsia="zh-CN"/>
              </w:rPr>
              <w:t>）</w:t>
            </w:r>
            <w:r>
              <w:rPr>
                <w:rFonts w:hint="eastAsia"/>
                <w:b/>
                <w:bCs w:val="0"/>
                <w:sz w:val="24"/>
                <w:u w:val="single"/>
              </w:rPr>
              <w:t xml:space="preserve">清净下水系统防控措施 </w:t>
            </w:r>
          </w:p>
          <w:p w14:paraId="049B12BE">
            <w:pPr>
              <w:spacing w:line="500" w:lineRule="atLeast"/>
              <w:ind w:firstLine="480" w:firstLineChars="200"/>
              <w:jc w:val="left"/>
              <w:rPr>
                <w:rFonts w:hint="eastAsia"/>
                <w:b w:val="0"/>
                <w:bCs/>
                <w:sz w:val="24"/>
                <w:u w:val="single"/>
              </w:rPr>
            </w:pPr>
            <w:r>
              <w:rPr>
                <w:rFonts w:hint="eastAsia"/>
                <w:b w:val="0"/>
                <w:bCs/>
                <w:sz w:val="24"/>
                <w:u w:val="single"/>
              </w:rPr>
              <w:t xml:space="preserve">清净废水主要来自循环冷却排污水等，企业清净下水通过专管直接送至天宜环境科技有限公司污水处理厂项目清净下水处理系统处理后排放。 </w:t>
            </w:r>
          </w:p>
          <w:p w14:paraId="2F3F2BDF">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5</w:t>
            </w:r>
            <w:r>
              <w:rPr>
                <w:rFonts w:hint="eastAsia"/>
                <w:b/>
                <w:bCs w:val="0"/>
                <w:sz w:val="24"/>
                <w:u w:val="single"/>
                <w:lang w:eastAsia="zh-CN"/>
              </w:rPr>
              <w:t>）</w:t>
            </w:r>
            <w:r>
              <w:rPr>
                <w:rFonts w:hint="eastAsia"/>
                <w:b/>
                <w:bCs w:val="0"/>
                <w:sz w:val="24"/>
                <w:u w:val="single"/>
              </w:rPr>
              <w:t xml:space="preserve">生产废水系统防控措施 </w:t>
            </w:r>
          </w:p>
          <w:p w14:paraId="0DE67675">
            <w:pPr>
              <w:spacing w:line="500" w:lineRule="atLeast"/>
              <w:ind w:firstLine="480" w:firstLineChars="200"/>
              <w:jc w:val="left"/>
              <w:rPr>
                <w:rFonts w:hint="eastAsia"/>
                <w:b w:val="0"/>
                <w:bCs/>
                <w:sz w:val="24"/>
                <w:u w:val="single"/>
              </w:rPr>
            </w:pPr>
            <w:r>
              <w:rPr>
                <w:rFonts w:hint="eastAsia"/>
                <w:b w:val="0"/>
                <w:bCs/>
                <w:sz w:val="24"/>
                <w:u w:val="single"/>
              </w:rPr>
              <w:t xml:space="preserve">在各生产装置区设置地沟+废水收集池，装置区的储罐均设围堰和地沟，生产废水通过管廊送至广西天宜环境科技有限公司，广西天宜环境科技有限公司废水排放口设置在线监测设施，确保达标排放。 </w:t>
            </w:r>
          </w:p>
          <w:p w14:paraId="3E2EEBFF">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6</w:t>
            </w:r>
            <w:r>
              <w:rPr>
                <w:rFonts w:hint="eastAsia"/>
                <w:b/>
                <w:bCs w:val="0"/>
                <w:sz w:val="24"/>
                <w:u w:val="single"/>
                <w:lang w:eastAsia="zh-CN"/>
              </w:rPr>
              <w:t>）</w:t>
            </w:r>
            <w:r>
              <w:rPr>
                <w:rFonts w:hint="eastAsia"/>
                <w:b/>
                <w:bCs w:val="0"/>
                <w:sz w:val="24"/>
                <w:u w:val="single"/>
              </w:rPr>
              <w:t xml:space="preserve">地下水污染预防措施 </w:t>
            </w:r>
          </w:p>
          <w:p w14:paraId="2A07A019">
            <w:pPr>
              <w:spacing w:line="500" w:lineRule="atLeast"/>
              <w:ind w:firstLine="480" w:firstLineChars="200"/>
              <w:jc w:val="left"/>
              <w:rPr>
                <w:rFonts w:hint="eastAsia"/>
                <w:b w:val="0"/>
                <w:bCs/>
                <w:sz w:val="24"/>
                <w:u w:val="single"/>
              </w:rPr>
            </w:pPr>
            <w:r>
              <w:rPr>
                <w:rFonts w:hint="eastAsia"/>
                <w:b w:val="0"/>
                <w:bCs/>
                <w:sz w:val="24"/>
                <w:u w:val="single"/>
              </w:rPr>
              <w:t xml:space="preserve">对潜水污染途径主要是渠、坑等污水的泄漏和地下排污管道的渗漏。为防止地下水污染， 公司采取的措施如下： </w:t>
            </w:r>
          </w:p>
          <w:p w14:paraId="6D5DF8F2">
            <w:pPr>
              <w:spacing w:line="500" w:lineRule="atLeast"/>
              <w:ind w:firstLine="480" w:firstLineChars="200"/>
              <w:jc w:val="left"/>
              <w:rPr>
                <w:rFonts w:hint="eastAsia"/>
                <w:b w:val="0"/>
                <w:bCs/>
                <w:sz w:val="24"/>
                <w:u w:val="single"/>
              </w:rPr>
            </w:pPr>
            <w:r>
              <w:rPr>
                <w:rFonts w:hint="eastAsia"/>
                <w:b w:val="0"/>
                <w:bCs/>
                <w:sz w:val="24"/>
                <w:u w:val="single"/>
              </w:rPr>
              <w:t xml:space="preserve">①区域内浅层含水组水质差，主要是此处潜水均为海相形成的天然咸水，是由于原生地质环境的影响产生的，因此浅层含水组无开发利用价值，环境质量差，在甲醇装置、乙二醇 装置、产品罐区、甲醇、醋酸中间罐区、初期雨水收集池、事故应急池作为重点防渗区，渗透系数≤1.0×10 </w:t>
            </w:r>
            <w:r>
              <w:rPr>
                <w:rFonts w:hint="eastAsia"/>
                <w:b w:val="0"/>
                <w:bCs/>
                <w:sz w:val="24"/>
                <w:u w:val="single"/>
                <w:vertAlign w:val="superscript"/>
              </w:rPr>
              <w:t>-10</w:t>
            </w:r>
            <w:r>
              <w:rPr>
                <w:rFonts w:hint="eastAsia"/>
                <w:b w:val="0"/>
                <w:bCs/>
                <w:sz w:val="24"/>
                <w:u w:val="single"/>
              </w:rPr>
              <w:t xml:space="preserve">cm/s。 </w:t>
            </w:r>
          </w:p>
          <w:p w14:paraId="782C82D2">
            <w:pPr>
              <w:spacing w:line="500" w:lineRule="atLeast"/>
              <w:ind w:firstLine="480" w:firstLineChars="200"/>
              <w:jc w:val="left"/>
              <w:rPr>
                <w:rFonts w:hint="eastAsia"/>
                <w:b w:val="0"/>
                <w:bCs/>
                <w:sz w:val="24"/>
                <w:u w:val="single"/>
              </w:rPr>
            </w:pPr>
            <w:r>
              <w:rPr>
                <w:rFonts w:hint="eastAsia"/>
                <w:b w:val="0"/>
                <w:bCs/>
                <w:sz w:val="24"/>
                <w:u w:val="single"/>
              </w:rPr>
              <w:t xml:space="preserve">②生产废水均通过公用管廊输送至广西天宜科技环境有限公司污水处理站。生活污水通过管网收集进入生活污水池，然后通过公用管廊输送至广西天宜科技环境有限公司污水处理站，生活污水收集管网均采用玻璃钢材质，预防地下管道渗漏，防止污水渗入地下水中。 </w:t>
            </w:r>
          </w:p>
          <w:p w14:paraId="2B13D623">
            <w:pPr>
              <w:spacing w:line="500" w:lineRule="atLeast"/>
              <w:ind w:firstLine="480" w:firstLineChars="200"/>
              <w:jc w:val="left"/>
              <w:rPr>
                <w:rFonts w:hint="eastAsia"/>
                <w:b w:val="0"/>
                <w:bCs/>
                <w:sz w:val="24"/>
                <w:u w:val="single"/>
              </w:rPr>
            </w:pPr>
            <w:r>
              <w:rPr>
                <w:rFonts w:hint="eastAsia"/>
                <w:b w:val="0"/>
                <w:bCs/>
                <w:sz w:val="24"/>
                <w:u w:val="single"/>
              </w:rPr>
              <w:t xml:space="preserve">③加强生产管理，减少事故性排放和泄漏。 </w:t>
            </w:r>
          </w:p>
          <w:p w14:paraId="26F65159">
            <w:pPr>
              <w:spacing w:line="500" w:lineRule="atLeast"/>
              <w:ind w:firstLine="480" w:firstLineChars="200"/>
              <w:jc w:val="left"/>
              <w:rPr>
                <w:rFonts w:hint="eastAsia"/>
                <w:b w:val="0"/>
                <w:bCs/>
                <w:sz w:val="24"/>
                <w:u w:val="single"/>
              </w:rPr>
            </w:pPr>
            <w:r>
              <w:rPr>
                <w:rFonts w:hint="eastAsia"/>
                <w:b w:val="0"/>
                <w:bCs/>
                <w:sz w:val="24"/>
                <w:u w:val="single"/>
              </w:rPr>
              <w:t xml:space="preserve">④建立经常性的检修制度，及时发现地上、下污水和原料的跑、冒、滴、漏。 </w:t>
            </w:r>
          </w:p>
          <w:p w14:paraId="118A352A">
            <w:pPr>
              <w:spacing w:line="500" w:lineRule="atLeast"/>
              <w:ind w:firstLine="480" w:firstLineChars="200"/>
              <w:jc w:val="left"/>
              <w:rPr>
                <w:rFonts w:hint="eastAsia"/>
                <w:b w:val="0"/>
                <w:bCs/>
                <w:sz w:val="24"/>
                <w:u w:val="single"/>
              </w:rPr>
            </w:pPr>
            <w:r>
              <w:rPr>
                <w:rFonts w:hint="eastAsia"/>
                <w:b w:val="0"/>
                <w:bCs/>
                <w:sz w:val="24"/>
                <w:u w:val="single"/>
              </w:rPr>
              <w:t xml:space="preserve">⑤为了防止厂区各种事故可能造成地下水污染，在厂区和装置周围设置地下水长期监测井，定时监测地下水中各种污染组分的含量，及时发现问题，防止厂区污染物对地下水的污染。 </w:t>
            </w:r>
          </w:p>
          <w:p w14:paraId="7431C494">
            <w:pPr>
              <w:spacing w:line="500" w:lineRule="atLeast"/>
              <w:ind w:firstLine="480" w:firstLineChars="200"/>
              <w:jc w:val="left"/>
              <w:rPr>
                <w:rFonts w:hint="eastAsia"/>
                <w:b w:val="0"/>
                <w:bCs/>
                <w:sz w:val="24"/>
                <w:u w:val="single"/>
              </w:rPr>
            </w:pPr>
            <w:r>
              <w:rPr>
                <w:rFonts w:hint="eastAsia"/>
                <w:b w:val="0"/>
                <w:bCs/>
                <w:sz w:val="24"/>
                <w:u w:val="single"/>
              </w:rPr>
              <w:t>⑥一旦发现地下水被污染，应立即查明污染源，并采取紧急措施先制止污染进一步扩散，然后再对污染区域进行逐步净化。</w:t>
            </w:r>
          </w:p>
          <w:p w14:paraId="444D0FD6">
            <w:pPr>
              <w:spacing w:line="500" w:lineRule="atLeast"/>
              <w:ind w:firstLine="480" w:firstLineChars="200"/>
              <w:jc w:val="left"/>
              <w:rPr>
                <w:rFonts w:hint="eastAsia"/>
                <w:b w:val="0"/>
                <w:bCs/>
                <w:sz w:val="24"/>
                <w:u w:val="single"/>
              </w:rPr>
            </w:pPr>
            <w:r>
              <w:rPr>
                <w:rFonts w:hint="eastAsia"/>
                <w:b w:val="0"/>
                <w:bCs/>
                <w:sz w:val="24"/>
                <w:u w:val="single"/>
              </w:rPr>
              <w:t xml:space="preserve">⑦地下水分区防渗 </w:t>
            </w:r>
          </w:p>
          <w:p w14:paraId="34A4E9B7">
            <w:pPr>
              <w:spacing w:line="500" w:lineRule="atLeast"/>
              <w:ind w:firstLine="480" w:firstLineChars="200"/>
              <w:jc w:val="left"/>
              <w:rPr>
                <w:rFonts w:hint="eastAsia"/>
                <w:b w:val="0"/>
                <w:bCs/>
                <w:sz w:val="24"/>
                <w:u w:val="single"/>
              </w:rPr>
            </w:pPr>
            <w:r>
              <w:rPr>
                <w:rFonts w:hint="eastAsia"/>
                <w:b w:val="0"/>
                <w:bCs/>
                <w:sz w:val="24"/>
                <w:u w:val="single"/>
              </w:rPr>
              <w:t>项目主要的地下水影响源在于罐区，针对厂区各工作区特点和岩土层情况，提出以下相应的分区防渗要求，见表</w:t>
            </w:r>
            <w:r>
              <w:rPr>
                <w:rFonts w:hint="eastAsia"/>
                <w:b w:val="0"/>
                <w:bCs/>
                <w:sz w:val="24"/>
                <w:u w:val="single"/>
                <w:lang w:val="en-US" w:eastAsia="zh-CN"/>
              </w:rPr>
              <w:t>2-25</w:t>
            </w:r>
            <w:r>
              <w:rPr>
                <w:rFonts w:hint="eastAsia"/>
                <w:b w:val="0"/>
                <w:bCs/>
                <w:sz w:val="24"/>
                <w:u w:val="single"/>
              </w:rPr>
              <w:t>。</w:t>
            </w:r>
          </w:p>
          <w:p w14:paraId="3DED5A2C">
            <w:pPr>
              <w:pStyle w:val="51"/>
              <w:numPr>
                <w:ilvl w:val="2"/>
                <w:numId w:val="3"/>
              </w:numPr>
              <w:spacing w:line="500" w:lineRule="atLeast"/>
              <w:ind w:firstLineChars="0"/>
              <w:jc w:val="center"/>
              <w:rPr>
                <w:rFonts w:hint="eastAsia"/>
                <w:b w:val="0"/>
                <w:bCs/>
                <w:sz w:val="24"/>
                <w:u w:val="single"/>
              </w:rPr>
            </w:pPr>
            <w:r>
              <w:rPr>
                <w:rFonts w:hint="eastAsia"/>
                <w:b/>
                <w:sz w:val="24"/>
                <w:u w:val="single"/>
              </w:rPr>
              <w:t>厂区各工作区防渗要求</w:t>
            </w:r>
          </w:p>
          <w:tbl>
            <w:tblPr>
              <w:tblStyle w:val="26"/>
              <w:tblW w:w="5000"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7"/>
              <w:gridCol w:w="1148"/>
              <w:gridCol w:w="3019"/>
              <w:gridCol w:w="2094"/>
            </w:tblGrid>
            <w:tr w14:paraId="7C74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81" w:type="pct"/>
                  <w:tcBorders>
                    <w:tl2br w:val="nil"/>
                    <w:tr2bl w:val="nil"/>
                  </w:tcBorders>
                  <w:noWrap w:val="0"/>
                  <w:vAlign w:val="center"/>
                </w:tcPr>
                <w:p w14:paraId="070EFFEE">
                  <w:pPr>
                    <w:pStyle w:val="83"/>
                    <w:autoSpaceDE w:val="0"/>
                    <w:autoSpaceDN w:val="0"/>
                    <w:rPr>
                      <w:rFonts w:hint="eastAsia"/>
                      <w:sz w:val="21"/>
                      <w:szCs w:val="21"/>
                      <w:u w:val="single"/>
                    </w:rPr>
                  </w:pPr>
                  <w:r>
                    <w:rPr>
                      <w:rFonts w:hint="eastAsia"/>
                      <w:sz w:val="21"/>
                      <w:szCs w:val="21"/>
                      <w:u w:val="single"/>
                    </w:rPr>
                    <w:t>防渗级别</w:t>
                  </w:r>
                </w:p>
              </w:tc>
              <w:tc>
                <w:tcPr>
                  <w:tcW w:w="682" w:type="pct"/>
                  <w:tcBorders>
                    <w:tl2br w:val="nil"/>
                    <w:tr2bl w:val="nil"/>
                  </w:tcBorders>
                  <w:noWrap w:val="0"/>
                  <w:vAlign w:val="center"/>
                </w:tcPr>
                <w:p w14:paraId="02E075F8">
                  <w:pPr>
                    <w:pStyle w:val="83"/>
                    <w:autoSpaceDE w:val="0"/>
                    <w:autoSpaceDN w:val="0"/>
                    <w:rPr>
                      <w:rFonts w:hint="eastAsia"/>
                      <w:sz w:val="21"/>
                      <w:szCs w:val="21"/>
                      <w:u w:val="single"/>
                    </w:rPr>
                  </w:pPr>
                  <w:r>
                    <w:rPr>
                      <w:rFonts w:hint="eastAsia"/>
                      <w:sz w:val="21"/>
                      <w:szCs w:val="21"/>
                      <w:u w:val="single"/>
                    </w:rPr>
                    <w:t>功能区</w:t>
                  </w:r>
                </w:p>
              </w:tc>
              <w:tc>
                <w:tcPr>
                  <w:tcW w:w="1793" w:type="pct"/>
                  <w:tcBorders>
                    <w:tl2br w:val="nil"/>
                    <w:tr2bl w:val="nil"/>
                  </w:tcBorders>
                  <w:noWrap w:val="0"/>
                  <w:vAlign w:val="center"/>
                </w:tcPr>
                <w:p w14:paraId="0AFC0B96">
                  <w:pPr>
                    <w:pStyle w:val="83"/>
                    <w:autoSpaceDE w:val="0"/>
                    <w:autoSpaceDN w:val="0"/>
                    <w:rPr>
                      <w:rFonts w:hint="eastAsia"/>
                      <w:sz w:val="21"/>
                      <w:szCs w:val="21"/>
                      <w:u w:val="single"/>
                    </w:rPr>
                  </w:pPr>
                  <w:r>
                    <w:rPr>
                      <w:rFonts w:hint="eastAsia"/>
                      <w:sz w:val="21"/>
                      <w:szCs w:val="21"/>
                      <w:u w:val="single"/>
                    </w:rPr>
                    <w:t>工作区</w:t>
                  </w:r>
                </w:p>
              </w:tc>
              <w:tc>
                <w:tcPr>
                  <w:tcW w:w="1244" w:type="pct"/>
                  <w:tcBorders>
                    <w:tl2br w:val="nil"/>
                    <w:tr2bl w:val="nil"/>
                  </w:tcBorders>
                  <w:noWrap w:val="0"/>
                  <w:vAlign w:val="center"/>
                </w:tcPr>
                <w:p w14:paraId="5FA4FAA4">
                  <w:pPr>
                    <w:pStyle w:val="83"/>
                    <w:autoSpaceDE w:val="0"/>
                    <w:autoSpaceDN w:val="0"/>
                    <w:rPr>
                      <w:rFonts w:hint="eastAsia"/>
                      <w:sz w:val="21"/>
                      <w:szCs w:val="21"/>
                      <w:u w:val="single"/>
                    </w:rPr>
                  </w:pPr>
                  <w:r>
                    <w:rPr>
                      <w:rFonts w:hint="eastAsia"/>
                      <w:sz w:val="21"/>
                      <w:szCs w:val="21"/>
                      <w:u w:val="single"/>
                    </w:rPr>
                    <w:t>防渗 要求</w:t>
                  </w:r>
                </w:p>
              </w:tc>
            </w:tr>
            <w:tr w14:paraId="131DF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81" w:type="pct"/>
                  <w:vMerge w:val="restart"/>
                  <w:tcBorders>
                    <w:tl2br w:val="nil"/>
                    <w:tr2bl w:val="nil"/>
                  </w:tcBorders>
                  <w:noWrap w:val="0"/>
                  <w:vAlign w:val="center"/>
                </w:tcPr>
                <w:p w14:paraId="0FB36D23">
                  <w:pPr>
                    <w:pStyle w:val="83"/>
                    <w:autoSpaceDE w:val="0"/>
                    <w:autoSpaceDN w:val="0"/>
                    <w:rPr>
                      <w:sz w:val="21"/>
                      <w:szCs w:val="21"/>
                      <w:u w:val="single"/>
                    </w:rPr>
                  </w:pPr>
                  <w:r>
                    <w:rPr>
                      <w:rFonts w:hint="eastAsia"/>
                      <w:sz w:val="21"/>
                      <w:szCs w:val="21"/>
                      <w:u w:val="single"/>
                    </w:rPr>
                    <w:t>按危险废物防渗级别</w:t>
                  </w:r>
                </w:p>
              </w:tc>
              <w:tc>
                <w:tcPr>
                  <w:tcW w:w="682" w:type="pct"/>
                  <w:tcBorders>
                    <w:tl2br w:val="nil"/>
                    <w:tr2bl w:val="nil"/>
                  </w:tcBorders>
                  <w:noWrap w:val="0"/>
                  <w:vAlign w:val="center"/>
                </w:tcPr>
                <w:p w14:paraId="12F294C3">
                  <w:pPr>
                    <w:pStyle w:val="83"/>
                    <w:autoSpaceDE w:val="0"/>
                    <w:autoSpaceDN w:val="0"/>
                    <w:rPr>
                      <w:rFonts w:hint="eastAsia"/>
                      <w:sz w:val="21"/>
                      <w:szCs w:val="21"/>
                      <w:u w:val="single"/>
                    </w:rPr>
                  </w:pPr>
                  <w:r>
                    <w:rPr>
                      <w:rFonts w:hint="eastAsia"/>
                      <w:sz w:val="21"/>
                      <w:szCs w:val="21"/>
                      <w:u w:val="single"/>
                    </w:rPr>
                    <w:t>主体工程</w:t>
                  </w:r>
                </w:p>
              </w:tc>
              <w:tc>
                <w:tcPr>
                  <w:tcW w:w="1793" w:type="pct"/>
                  <w:tcBorders>
                    <w:tl2br w:val="nil"/>
                    <w:tr2bl w:val="nil"/>
                  </w:tcBorders>
                  <w:noWrap w:val="0"/>
                  <w:vAlign w:val="center"/>
                </w:tcPr>
                <w:p w14:paraId="09D09622">
                  <w:pPr>
                    <w:pStyle w:val="83"/>
                    <w:autoSpaceDE w:val="0"/>
                    <w:autoSpaceDN w:val="0"/>
                    <w:rPr>
                      <w:rFonts w:hint="eastAsia"/>
                      <w:sz w:val="21"/>
                      <w:szCs w:val="21"/>
                      <w:u w:val="single"/>
                    </w:rPr>
                  </w:pPr>
                  <w:r>
                    <w:rPr>
                      <w:rFonts w:hint="eastAsia"/>
                      <w:sz w:val="21"/>
                      <w:szCs w:val="21"/>
                      <w:u w:val="single"/>
                    </w:rPr>
                    <w:t>甲醇装置、乙二醇装置、产品罐区、 甲醇、醋酸中间罐区、化学品仓库、固废存放点</w:t>
                  </w:r>
                </w:p>
              </w:tc>
              <w:tc>
                <w:tcPr>
                  <w:tcW w:w="1244" w:type="pct"/>
                  <w:vMerge w:val="restart"/>
                  <w:tcBorders>
                    <w:tl2br w:val="nil"/>
                    <w:tr2bl w:val="nil"/>
                  </w:tcBorders>
                  <w:noWrap w:val="0"/>
                  <w:vAlign w:val="center"/>
                </w:tcPr>
                <w:p w14:paraId="73C3729F">
                  <w:pPr>
                    <w:pStyle w:val="83"/>
                    <w:autoSpaceDE w:val="0"/>
                    <w:autoSpaceDN w:val="0"/>
                    <w:rPr>
                      <w:rFonts w:hint="eastAsia"/>
                      <w:sz w:val="21"/>
                      <w:szCs w:val="21"/>
                      <w:u w:val="single"/>
                    </w:rPr>
                  </w:pPr>
                  <w:r>
                    <w:rPr>
                      <w:rFonts w:hint="eastAsia"/>
                      <w:sz w:val="21"/>
                      <w:szCs w:val="21"/>
                      <w:u w:val="single"/>
                    </w:rPr>
                    <w:t>重点防渗区，设防渗检漏</w:t>
                  </w:r>
                </w:p>
                <w:p w14:paraId="6471E62E">
                  <w:pPr>
                    <w:pStyle w:val="83"/>
                    <w:autoSpaceDE w:val="0"/>
                    <w:autoSpaceDN w:val="0"/>
                    <w:rPr>
                      <w:rFonts w:hint="eastAsia"/>
                      <w:sz w:val="21"/>
                      <w:szCs w:val="21"/>
                      <w:u w:val="single"/>
                    </w:rPr>
                  </w:pPr>
                  <w:r>
                    <w:rPr>
                      <w:rFonts w:hint="eastAsia"/>
                      <w:sz w:val="21"/>
                      <w:szCs w:val="21"/>
                      <w:u w:val="single"/>
                    </w:rPr>
                    <w:t>系统；渗透系数</w:t>
                  </w:r>
                  <w:r>
                    <w:rPr>
                      <w:sz w:val="21"/>
                      <w:szCs w:val="21"/>
                      <w:u w:val="single"/>
                    </w:rPr>
                    <w:t>≤1.0×10</w:t>
                  </w:r>
                  <w:r>
                    <w:rPr>
                      <w:sz w:val="21"/>
                      <w:szCs w:val="21"/>
                      <w:u w:val="single"/>
                      <w:vertAlign w:val="superscript"/>
                    </w:rPr>
                    <w:t>-10</w:t>
                  </w:r>
                  <w:r>
                    <w:rPr>
                      <w:sz w:val="21"/>
                      <w:szCs w:val="21"/>
                      <w:u w:val="single"/>
                    </w:rPr>
                    <w:t xml:space="preserve"> cm/s</w:t>
                  </w:r>
                  <w:r>
                    <w:rPr>
                      <w:rFonts w:hint="eastAsia"/>
                      <w:sz w:val="21"/>
                      <w:szCs w:val="21"/>
                      <w:u w:val="single"/>
                    </w:rPr>
                    <w:t>。</w:t>
                  </w:r>
                </w:p>
              </w:tc>
            </w:tr>
            <w:tr w14:paraId="6D35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81" w:type="pct"/>
                  <w:vMerge w:val="continue"/>
                  <w:tcBorders>
                    <w:tl2br w:val="nil"/>
                    <w:tr2bl w:val="nil"/>
                  </w:tcBorders>
                  <w:noWrap w:val="0"/>
                  <w:vAlign w:val="center"/>
                </w:tcPr>
                <w:p w14:paraId="7396071C">
                  <w:pPr>
                    <w:pStyle w:val="83"/>
                    <w:autoSpaceDE w:val="0"/>
                    <w:autoSpaceDN w:val="0"/>
                    <w:rPr>
                      <w:sz w:val="21"/>
                      <w:szCs w:val="21"/>
                      <w:u w:val="single"/>
                    </w:rPr>
                  </w:pPr>
                </w:p>
              </w:tc>
              <w:tc>
                <w:tcPr>
                  <w:tcW w:w="682" w:type="pct"/>
                  <w:tcBorders>
                    <w:tl2br w:val="nil"/>
                    <w:tr2bl w:val="nil"/>
                  </w:tcBorders>
                  <w:noWrap w:val="0"/>
                  <w:vAlign w:val="center"/>
                </w:tcPr>
                <w:p w14:paraId="4770BC8A">
                  <w:pPr>
                    <w:pStyle w:val="83"/>
                    <w:autoSpaceDE w:val="0"/>
                    <w:autoSpaceDN w:val="0"/>
                    <w:rPr>
                      <w:rFonts w:hint="eastAsia"/>
                      <w:sz w:val="21"/>
                      <w:szCs w:val="21"/>
                      <w:u w:val="single"/>
                    </w:rPr>
                  </w:pPr>
                  <w:r>
                    <w:rPr>
                      <w:rFonts w:hint="eastAsia"/>
                      <w:sz w:val="21"/>
                      <w:szCs w:val="21"/>
                      <w:u w:val="single"/>
                    </w:rPr>
                    <w:t>环保工程</w:t>
                  </w:r>
                </w:p>
              </w:tc>
              <w:tc>
                <w:tcPr>
                  <w:tcW w:w="1793" w:type="pct"/>
                  <w:tcBorders>
                    <w:tl2br w:val="nil"/>
                    <w:tr2bl w:val="nil"/>
                  </w:tcBorders>
                  <w:noWrap w:val="0"/>
                  <w:vAlign w:val="center"/>
                </w:tcPr>
                <w:p w14:paraId="08E11583">
                  <w:pPr>
                    <w:pStyle w:val="83"/>
                    <w:autoSpaceDE w:val="0"/>
                    <w:autoSpaceDN w:val="0"/>
                    <w:rPr>
                      <w:rFonts w:hint="eastAsia"/>
                      <w:sz w:val="21"/>
                      <w:szCs w:val="21"/>
                      <w:u w:val="single"/>
                    </w:rPr>
                  </w:pPr>
                  <w:r>
                    <w:rPr>
                      <w:rFonts w:hint="eastAsia"/>
                      <w:sz w:val="21"/>
                      <w:szCs w:val="21"/>
                      <w:u w:val="single"/>
                    </w:rPr>
                    <w:t>初期雨水收集池、事故应急池</w:t>
                  </w:r>
                </w:p>
              </w:tc>
              <w:tc>
                <w:tcPr>
                  <w:tcW w:w="1244" w:type="pct"/>
                  <w:vMerge w:val="continue"/>
                  <w:tcBorders>
                    <w:tl2br w:val="nil"/>
                    <w:tr2bl w:val="nil"/>
                  </w:tcBorders>
                  <w:noWrap w:val="0"/>
                  <w:vAlign w:val="center"/>
                </w:tcPr>
                <w:p w14:paraId="50BA210E">
                  <w:pPr>
                    <w:pStyle w:val="83"/>
                    <w:autoSpaceDE w:val="0"/>
                    <w:autoSpaceDN w:val="0"/>
                    <w:rPr>
                      <w:sz w:val="21"/>
                      <w:szCs w:val="21"/>
                      <w:u w:val="single"/>
                    </w:rPr>
                  </w:pPr>
                </w:p>
              </w:tc>
            </w:tr>
            <w:tr w14:paraId="5FA1A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81" w:type="pct"/>
                  <w:tcBorders>
                    <w:tl2br w:val="nil"/>
                    <w:tr2bl w:val="nil"/>
                  </w:tcBorders>
                  <w:noWrap w:val="0"/>
                  <w:vAlign w:val="center"/>
                </w:tcPr>
                <w:p w14:paraId="093C6272">
                  <w:pPr>
                    <w:pStyle w:val="83"/>
                    <w:autoSpaceDE w:val="0"/>
                    <w:autoSpaceDN w:val="0"/>
                    <w:rPr>
                      <w:rFonts w:hint="eastAsia"/>
                      <w:sz w:val="21"/>
                      <w:szCs w:val="21"/>
                      <w:u w:val="single"/>
                    </w:rPr>
                  </w:pPr>
                  <w:r>
                    <w:rPr>
                      <w:rFonts w:hint="eastAsia"/>
                      <w:sz w:val="21"/>
                      <w:szCs w:val="21"/>
                      <w:u w:val="single"/>
                    </w:rPr>
                    <w:t>按第</w:t>
                  </w:r>
                  <w:r>
                    <w:rPr>
                      <w:sz w:val="21"/>
                      <w:szCs w:val="21"/>
                      <w:u w:val="single"/>
                    </w:rPr>
                    <w:t>Ⅰ</w:t>
                  </w:r>
                  <w:r>
                    <w:rPr>
                      <w:rFonts w:hint="eastAsia"/>
                      <w:sz w:val="21"/>
                      <w:szCs w:val="21"/>
                      <w:u w:val="single"/>
                    </w:rPr>
                    <w:t>类一般工业固体废 物防渗级别</w:t>
                  </w:r>
                </w:p>
              </w:tc>
              <w:tc>
                <w:tcPr>
                  <w:tcW w:w="682" w:type="pct"/>
                  <w:tcBorders>
                    <w:tl2br w:val="nil"/>
                    <w:tr2bl w:val="nil"/>
                  </w:tcBorders>
                  <w:noWrap w:val="0"/>
                  <w:vAlign w:val="center"/>
                </w:tcPr>
                <w:p w14:paraId="1021BBEA">
                  <w:pPr>
                    <w:pStyle w:val="83"/>
                    <w:autoSpaceDE w:val="0"/>
                    <w:autoSpaceDN w:val="0"/>
                    <w:rPr>
                      <w:rFonts w:hint="eastAsia"/>
                      <w:sz w:val="21"/>
                      <w:szCs w:val="21"/>
                      <w:u w:val="single"/>
                    </w:rPr>
                  </w:pPr>
                  <w:r>
                    <w:rPr>
                      <w:rFonts w:hint="eastAsia"/>
                      <w:sz w:val="21"/>
                      <w:szCs w:val="21"/>
                      <w:u w:val="single"/>
                    </w:rPr>
                    <w:t>主体工程</w:t>
                  </w:r>
                </w:p>
              </w:tc>
              <w:tc>
                <w:tcPr>
                  <w:tcW w:w="1793" w:type="pct"/>
                  <w:tcBorders>
                    <w:tl2br w:val="nil"/>
                    <w:tr2bl w:val="nil"/>
                  </w:tcBorders>
                  <w:noWrap w:val="0"/>
                  <w:vAlign w:val="center"/>
                </w:tcPr>
                <w:p w14:paraId="6E5DF979">
                  <w:pPr>
                    <w:pStyle w:val="83"/>
                    <w:autoSpaceDE w:val="0"/>
                    <w:autoSpaceDN w:val="0"/>
                    <w:rPr>
                      <w:rFonts w:hint="eastAsia"/>
                      <w:sz w:val="21"/>
                      <w:szCs w:val="21"/>
                      <w:u w:val="single"/>
                    </w:rPr>
                  </w:pPr>
                  <w:r>
                    <w:rPr>
                      <w:rFonts w:hint="eastAsia"/>
                      <w:sz w:val="21"/>
                      <w:szCs w:val="21"/>
                      <w:u w:val="single"/>
                    </w:rPr>
                    <w:t>临时渣场、其他装置生产区</w:t>
                  </w:r>
                </w:p>
              </w:tc>
              <w:tc>
                <w:tcPr>
                  <w:tcW w:w="1244" w:type="pct"/>
                  <w:tcBorders>
                    <w:tl2br w:val="nil"/>
                    <w:tr2bl w:val="nil"/>
                  </w:tcBorders>
                  <w:noWrap w:val="0"/>
                  <w:vAlign w:val="center"/>
                </w:tcPr>
                <w:p w14:paraId="1FD7310A">
                  <w:pPr>
                    <w:pStyle w:val="83"/>
                    <w:autoSpaceDE w:val="0"/>
                    <w:autoSpaceDN w:val="0"/>
                    <w:rPr>
                      <w:rFonts w:hint="eastAsia"/>
                      <w:sz w:val="21"/>
                      <w:szCs w:val="21"/>
                      <w:u w:val="single"/>
                    </w:rPr>
                  </w:pPr>
                  <w:r>
                    <w:rPr>
                      <w:rFonts w:hint="eastAsia"/>
                      <w:sz w:val="21"/>
                      <w:szCs w:val="21"/>
                      <w:u w:val="single"/>
                    </w:rPr>
                    <w:t>一般防渗区；视情况进行 防渗或地面硬化处理。</w:t>
                  </w:r>
                </w:p>
              </w:tc>
            </w:tr>
          </w:tbl>
          <w:p w14:paraId="16DB706E">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7</w:t>
            </w:r>
            <w:r>
              <w:rPr>
                <w:rFonts w:hint="eastAsia"/>
                <w:b/>
                <w:bCs w:val="0"/>
                <w:sz w:val="24"/>
                <w:u w:val="single"/>
                <w:lang w:eastAsia="zh-CN"/>
              </w:rPr>
              <w:t>）</w:t>
            </w:r>
            <w:r>
              <w:rPr>
                <w:rFonts w:hint="eastAsia"/>
                <w:b/>
                <w:bCs w:val="0"/>
                <w:sz w:val="24"/>
                <w:u w:val="single"/>
              </w:rPr>
              <w:t>大气污染防治措施</w:t>
            </w:r>
          </w:p>
          <w:p w14:paraId="201F5DB1">
            <w:pPr>
              <w:spacing w:line="500" w:lineRule="atLeast"/>
              <w:ind w:firstLine="480" w:firstLineChars="200"/>
              <w:jc w:val="left"/>
              <w:rPr>
                <w:rFonts w:hint="eastAsia"/>
                <w:b w:val="0"/>
                <w:bCs/>
                <w:sz w:val="24"/>
                <w:u w:val="single"/>
              </w:rPr>
            </w:pPr>
            <w:r>
              <w:rPr>
                <w:rFonts w:hint="eastAsia"/>
                <w:b w:val="0"/>
                <w:bCs/>
                <w:sz w:val="24"/>
                <w:u w:val="single"/>
              </w:rPr>
              <w:t xml:space="preserve">当生产单元出现风险事故造成停车或局部停车时，装置自动联锁系统可自动切断进料系统，装置进行放空，事故停车造成的装置及连带上、下游装置无法回收的气体全部排入火炬系统，以保护人身和设备安全。火炬的设置在一定程度上可避免事故产生的有害气体直排大气而产生污染。 </w:t>
            </w:r>
          </w:p>
          <w:p w14:paraId="19B78641">
            <w:pPr>
              <w:spacing w:line="500" w:lineRule="atLeast"/>
              <w:ind w:firstLine="480" w:firstLineChars="200"/>
              <w:jc w:val="left"/>
              <w:rPr>
                <w:rFonts w:hint="eastAsia"/>
                <w:b w:val="0"/>
                <w:bCs/>
                <w:sz w:val="24"/>
                <w:u w:val="single"/>
              </w:rPr>
            </w:pPr>
            <w:r>
              <w:rPr>
                <w:rFonts w:hint="eastAsia"/>
                <w:b w:val="0"/>
                <w:bCs/>
                <w:sz w:val="24"/>
                <w:u w:val="single"/>
              </w:rPr>
              <w:t>生产装置安全阀泄放的可燃性气体当中，CO 深冷分离装置、甲醇合成及精馏装置、醋酸合成装置等设备事故状态下泄放的气体中含有 CO、H2S、H2等废气，按照相关要求，排入气体岛项目高架火炬系统。</w:t>
            </w:r>
          </w:p>
          <w:p w14:paraId="595414AE">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8</w:t>
            </w:r>
            <w:r>
              <w:rPr>
                <w:rFonts w:hint="eastAsia"/>
                <w:b/>
                <w:bCs w:val="0"/>
                <w:sz w:val="24"/>
                <w:u w:val="single"/>
                <w:lang w:eastAsia="zh-CN"/>
              </w:rPr>
              <w:t>）</w:t>
            </w:r>
            <w:r>
              <w:rPr>
                <w:rFonts w:hint="eastAsia"/>
                <w:b/>
                <w:bCs w:val="0"/>
                <w:sz w:val="24"/>
                <w:u w:val="single"/>
              </w:rPr>
              <w:t xml:space="preserve">毒性气体监控预警措施和泄漏紧急处置装置 </w:t>
            </w:r>
          </w:p>
          <w:p w14:paraId="7CB81C22">
            <w:pPr>
              <w:spacing w:line="500" w:lineRule="atLeast"/>
              <w:ind w:firstLine="480" w:firstLineChars="200"/>
              <w:jc w:val="left"/>
              <w:rPr>
                <w:rFonts w:hint="eastAsia"/>
                <w:b w:val="0"/>
                <w:bCs/>
                <w:sz w:val="24"/>
                <w:u w:val="single"/>
              </w:rPr>
            </w:pPr>
            <w:r>
              <w:rPr>
                <w:rFonts w:hint="eastAsia"/>
                <w:b w:val="0"/>
                <w:bCs/>
                <w:sz w:val="24"/>
                <w:u w:val="single"/>
              </w:rPr>
              <w:t xml:space="preserve">企业生产过程中，涉及有毒气体硫化氢、CO 等有毒有害气体，在可能泄漏的场所，根据规范设置可燃有毒气体报警设施，对生产过程的各种变量实施监视、控制，并在系统中设置了联锁，严格控制反应的温度、压力、物料的流量，防止因超温超压而引起中毒等事故，以确保安全生产。一旦发现有毒气体超标，立即通知相关部门，尽快停止生产设备运行，保持废气治理设施正常运行一段时间，经检测浓度达标后，关闭治理设施。 </w:t>
            </w:r>
          </w:p>
          <w:p w14:paraId="7FC36E85">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9</w:t>
            </w:r>
            <w:r>
              <w:rPr>
                <w:rFonts w:hint="eastAsia"/>
                <w:b/>
                <w:bCs w:val="0"/>
                <w:sz w:val="24"/>
                <w:u w:val="single"/>
                <w:lang w:eastAsia="zh-CN"/>
              </w:rPr>
              <w:t>）</w:t>
            </w:r>
            <w:r>
              <w:rPr>
                <w:rFonts w:hint="eastAsia"/>
                <w:b/>
                <w:bCs w:val="0"/>
                <w:sz w:val="24"/>
                <w:u w:val="single"/>
              </w:rPr>
              <w:t xml:space="preserve">环境风险单元防腐防渗措施 </w:t>
            </w:r>
          </w:p>
          <w:p w14:paraId="60BE0362">
            <w:pPr>
              <w:spacing w:line="500" w:lineRule="atLeast"/>
              <w:ind w:firstLine="480" w:firstLineChars="200"/>
              <w:jc w:val="left"/>
              <w:rPr>
                <w:rFonts w:hint="eastAsia"/>
                <w:b w:val="0"/>
                <w:bCs/>
                <w:sz w:val="24"/>
                <w:u w:val="single"/>
              </w:rPr>
            </w:pPr>
            <w:r>
              <w:rPr>
                <w:rFonts w:hint="eastAsia"/>
                <w:b w:val="0"/>
                <w:bCs/>
                <w:sz w:val="24"/>
                <w:u w:val="single"/>
              </w:rPr>
              <w:t>为防止生产装置运行对地下水、土壤的污染，建设单位污染防治措施主要采取地面防渗措施，同时结合对地下水、土壤检测结果进行分析，确保不会造成土壤及地下水污染。</w:t>
            </w:r>
          </w:p>
          <w:p w14:paraId="4CF98440">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10</w:t>
            </w:r>
            <w:r>
              <w:rPr>
                <w:rFonts w:hint="eastAsia"/>
                <w:b/>
                <w:bCs w:val="0"/>
                <w:sz w:val="24"/>
                <w:u w:val="single"/>
                <w:lang w:eastAsia="zh-CN"/>
              </w:rPr>
              <w:t>）</w:t>
            </w:r>
            <w:r>
              <w:rPr>
                <w:rFonts w:hint="eastAsia"/>
                <w:b/>
                <w:bCs w:val="0"/>
                <w:sz w:val="24"/>
                <w:u w:val="single"/>
              </w:rPr>
              <w:t xml:space="preserve">场内外管道环境风险防控措施 </w:t>
            </w:r>
          </w:p>
          <w:p w14:paraId="08D294F9">
            <w:pPr>
              <w:spacing w:line="500" w:lineRule="atLeast"/>
              <w:ind w:firstLine="480" w:firstLineChars="200"/>
              <w:jc w:val="left"/>
              <w:rPr>
                <w:rFonts w:hint="eastAsia"/>
                <w:b w:val="0"/>
                <w:bCs/>
                <w:sz w:val="24"/>
                <w:u w:val="single"/>
              </w:rPr>
            </w:pPr>
            <w:r>
              <w:rPr>
                <w:rFonts w:hint="eastAsia"/>
                <w:b w:val="0"/>
                <w:bCs/>
                <w:sz w:val="24"/>
                <w:u w:val="single"/>
              </w:rPr>
              <w:t xml:space="preserve">在物料输送之前，检查各法兰、阀门等设施是否处于完好状态，装卸及输送期间，保证足够的操作人员在场，以防发生化学品泄漏等风险事故。一旦发生危化品泄漏，操作工立即通知停泵，终止作业。 </w:t>
            </w:r>
          </w:p>
          <w:p w14:paraId="0E37D872">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11</w:t>
            </w:r>
            <w:r>
              <w:rPr>
                <w:rFonts w:hint="eastAsia"/>
                <w:b/>
                <w:bCs w:val="0"/>
                <w:sz w:val="24"/>
                <w:u w:val="single"/>
                <w:lang w:eastAsia="zh-CN"/>
              </w:rPr>
              <w:t>）</w:t>
            </w:r>
            <w:r>
              <w:rPr>
                <w:rFonts w:hint="eastAsia"/>
                <w:b/>
                <w:bCs w:val="0"/>
                <w:sz w:val="24"/>
                <w:u w:val="single"/>
              </w:rPr>
              <w:t xml:space="preserve">开停工非正常排放事故风险防控措施 </w:t>
            </w:r>
          </w:p>
          <w:p w14:paraId="498DC3F6">
            <w:pPr>
              <w:spacing w:line="500" w:lineRule="atLeast"/>
              <w:ind w:firstLine="480" w:firstLineChars="200"/>
              <w:jc w:val="left"/>
              <w:rPr>
                <w:rFonts w:hint="eastAsia"/>
                <w:b w:val="0"/>
                <w:bCs/>
                <w:sz w:val="24"/>
                <w:u w:val="single"/>
              </w:rPr>
            </w:pPr>
            <w:r>
              <w:rPr>
                <w:rFonts w:hint="eastAsia"/>
                <w:b w:val="0"/>
                <w:bCs/>
                <w:sz w:val="24"/>
                <w:u w:val="single"/>
              </w:rPr>
              <w:t xml:space="preserve">短期停车后，生产物料可暂存在设备内，待生产正常后重新返回生产系统，若需长期停车，企业会通过合理安排生产计划，减少产量。严格按照操作规程进行生产操作，可减少不正常排放。 </w:t>
            </w:r>
          </w:p>
          <w:p w14:paraId="628A0474">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12</w:t>
            </w:r>
            <w:r>
              <w:rPr>
                <w:rFonts w:hint="eastAsia"/>
                <w:b/>
                <w:bCs w:val="0"/>
                <w:sz w:val="24"/>
                <w:u w:val="single"/>
                <w:lang w:eastAsia="zh-CN"/>
              </w:rPr>
              <w:t>）</w:t>
            </w:r>
            <w:r>
              <w:rPr>
                <w:rFonts w:hint="eastAsia"/>
                <w:b/>
                <w:bCs w:val="0"/>
                <w:sz w:val="24"/>
                <w:u w:val="single"/>
              </w:rPr>
              <w:t xml:space="preserve">危险源监控 </w:t>
            </w:r>
          </w:p>
          <w:p w14:paraId="01E06F4A">
            <w:pPr>
              <w:spacing w:line="500" w:lineRule="atLeast"/>
              <w:ind w:firstLine="480" w:firstLineChars="200"/>
              <w:jc w:val="left"/>
              <w:rPr>
                <w:rFonts w:hint="eastAsia"/>
                <w:b w:val="0"/>
                <w:bCs/>
                <w:sz w:val="24"/>
                <w:u w:val="single"/>
              </w:rPr>
            </w:pPr>
            <w:r>
              <w:rPr>
                <w:rFonts w:hint="eastAsia"/>
                <w:b w:val="0"/>
                <w:bCs/>
                <w:sz w:val="24"/>
                <w:u w:val="single"/>
              </w:rPr>
              <w:t>建设单位环境危险源监测可通过视频监视、DCS 数据监控、紧急处置平台、报警系统、作业人员 24 小时巡回检查等。根据中央控制室对生产装置视频监视、DCS 监控数据出现重大异常时，中控室有人24小时值守，在可能发生有毒气体、可燃气体的生产装置、罐区等处设置可燃及有毒气体检测报警系统，用以检测现场可燃及有毒气体的泄漏情况，一旦可燃气体报警仪和有毒气体报警仪出现报警，可以在第一时间发现并采取有效应急处理措施。定期做好可燃有毒气体检测仪校验。</w:t>
            </w:r>
          </w:p>
          <w:p w14:paraId="6D7A63F5">
            <w:pPr>
              <w:spacing w:line="500" w:lineRule="atLeast"/>
              <w:ind w:firstLine="480" w:firstLineChars="200"/>
              <w:jc w:val="left"/>
              <w:rPr>
                <w:rFonts w:hint="eastAsia"/>
                <w:b w:val="0"/>
                <w:bCs/>
                <w:sz w:val="24"/>
                <w:u w:val="single"/>
              </w:rPr>
            </w:pPr>
            <w:r>
              <w:rPr>
                <w:rFonts w:hint="eastAsia"/>
                <w:b w:val="0"/>
                <w:bCs/>
                <w:sz w:val="24"/>
                <w:u w:val="single"/>
              </w:rPr>
              <w:t>建设单位在航天炉共设置90个可燃、有毒有害气体检测报警器，在华谊炉共设置89个可燃、有毒有害气体检测报警器，在变换和热回收装置共设置219个可燃、有毒有害气体检测报警器，在醋酸装置共设置94个可燃、有毒有害气体检测报警器，在净化装置共设置435个可燃、有毒有害气体检测报警器，在甲醇装置共设置204个可燃、有毒有害气体检测报警器，在乙二醇装置共安装了 299个可燃、有毒有害气体检测报警器。</w:t>
            </w:r>
          </w:p>
          <w:p w14:paraId="488BCEAF">
            <w:pPr>
              <w:spacing w:line="500" w:lineRule="atLeast"/>
              <w:ind w:firstLine="482" w:firstLineChars="200"/>
              <w:jc w:val="left"/>
              <w:rPr>
                <w:rFonts w:hint="default" w:eastAsia="宋体"/>
                <w:b/>
                <w:bCs w:val="0"/>
                <w:sz w:val="24"/>
                <w:u w:val="single"/>
                <w:lang w:val="en-US" w:eastAsia="zh-CN"/>
              </w:rPr>
            </w:pPr>
            <w:r>
              <w:rPr>
                <w:rFonts w:hint="eastAsia"/>
                <w:b/>
                <w:bCs w:val="0"/>
                <w:sz w:val="24"/>
                <w:u w:val="single"/>
                <w:lang w:val="en-US" w:eastAsia="zh-CN"/>
              </w:rPr>
              <w:t>5、应急预案</w:t>
            </w:r>
          </w:p>
          <w:p w14:paraId="5B92BE82">
            <w:pPr>
              <w:spacing w:line="500" w:lineRule="atLeast"/>
              <w:ind w:firstLine="480" w:firstLineChars="200"/>
              <w:jc w:val="left"/>
              <w:rPr>
                <w:rFonts w:hint="eastAsia"/>
                <w:b w:val="0"/>
                <w:bCs/>
                <w:sz w:val="24"/>
                <w:u w:val="single"/>
              </w:rPr>
            </w:pPr>
            <w:r>
              <w:rPr>
                <w:rFonts w:hint="eastAsia"/>
                <w:b w:val="0"/>
                <w:bCs/>
                <w:sz w:val="24"/>
                <w:u w:val="single"/>
              </w:rPr>
              <w:t>企业已编制突发环境事件应急预案，并上报钦州市生态环境备案（备案编号450702-2024-0055-H）。</w:t>
            </w:r>
          </w:p>
          <w:p w14:paraId="495F7645">
            <w:pPr>
              <w:spacing w:line="500" w:lineRule="atLeast"/>
              <w:ind w:firstLine="482" w:firstLineChars="200"/>
              <w:jc w:val="left"/>
              <w:rPr>
                <w:rFonts w:hint="eastAsia"/>
                <w:b/>
                <w:bCs w:val="0"/>
                <w:sz w:val="24"/>
                <w:u w:val="single"/>
              </w:rPr>
            </w:pPr>
            <w:r>
              <w:rPr>
                <w:rFonts w:hint="eastAsia"/>
                <w:b/>
                <w:bCs w:val="0"/>
                <w:sz w:val="24"/>
                <w:u w:val="single"/>
                <w:lang w:val="en-US" w:eastAsia="zh-CN"/>
              </w:rPr>
              <w:t>（1）</w:t>
            </w:r>
            <w:r>
              <w:rPr>
                <w:rFonts w:hint="eastAsia"/>
                <w:b/>
                <w:bCs w:val="0"/>
                <w:sz w:val="24"/>
                <w:u w:val="single"/>
              </w:rPr>
              <w:t>应急预案体系</w:t>
            </w:r>
          </w:p>
          <w:p w14:paraId="12F30928">
            <w:pPr>
              <w:spacing w:line="500" w:lineRule="atLeast"/>
              <w:ind w:firstLine="480" w:firstLineChars="200"/>
              <w:jc w:val="left"/>
              <w:rPr>
                <w:rFonts w:hint="eastAsia"/>
                <w:b w:val="0"/>
                <w:bCs/>
                <w:sz w:val="24"/>
                <w:u w:val="single"/>
              </w:rPr>
            </w:pPr>
            <w:r>
              <w:rPr>
                <w:rFonts w:hint="eastAsia"/>
                <w:b w:val="0"/>
                <w:bCs/>
                <w:sz w:val="24"/>
                <w:u w:val="single"/>
              </w:rPr>
              <w:t>企业根据《自贸港钦州片区环境事件应急预案》《华谊集团应急预案》《上海能化环保院》等上位预案编制了突发环境事件应急预案，形成有效的联动关系。与企业自身的突发安全应急预案相辅相成，可有效防范事故的发生。</w:t>
            </w:r>
          </w:p>
          <w:p w14:paraId="4689D874">
            <w:pPr>
              <w:spacing w:line="500" w:lineRule="atLeast"/>
              <w:ind w:firstLine="480" w:firstLineChars="200"/>
              <w:jc w:val="left"/>
              <w:rPr>
                <w:rFonts w:hint="eastAsia"/>
                <w:b w:val="0"/>
                <w:bCs/>
                <w:sz w:val="24"/>
                <w:u w:val="single"/>
              </w:rPr>
            </w:pPr>
            <w:r>
              <w:rPr>
                <w:rFonts w:hint="eastAsia"/>
                <w:b w:val="0"/>
                <w:bCs/>
                <w:sz w:val="24"/>
                <w:u w:val="single"/>
              </w:rPr>
              <w:t>企业突发环境应急预案主要包括专项预案、现场处置方案等，专项预案由危险废物专项应急预案、危险化学品泄漏专项应急预案和火灾爆炸事故专项应急预案四个部分组成，现场处置方案包括储罐区现场处置方案和生产装置区现场处置方案两个部分。</w:t>
            </w:r>
          </w:p>
          <w:p w14:paraId="17A76196">
            <w:pPr>
              <w:jc w:val="center"/>
              <w:rPr>
                <w:u w:val="single"/>
              </w:rPr>
            </w:pPr>
            <w:r>
              <w:rPr>
                <w:u w:val="single"/>
              </w:rPr>
              <w:object>
                <v:shape id="_x0000_i1025" o:spt="75" type="#_x0000_t75" style="height:207.65pt;width:281.9pt;" o:ole="t" filled="f" o:preferrelative="t" stroked="f" coordsize="21600,21600">
                  <v:path/>
                  <v:fill on="f" focussize="0,0"/>
                  <v:stroke on="f"/>
                  <v:imagedata r:id="rId21" o:title=""/>
                  <o:lock v:ext="edit" aspectratio="f"/>
                  <w10:wrap type="none"/>
                  <w10:anchorlock/>
                </v:shape>
                <o:OLEObject Type="Embed" ProgID="Visio.Drawing.15" ShapeID="_x0000_i1025" DrawAspect="Content" ObjectID="_1468075725" r:id="rId20">
                  <o:LockedField>false</o:LockedField>
                </o:OLEObject>
              </w:object>
            </w:r>
          </w:p>
          <w:p w14:paraId="118B1258">
            <w:pPr>
              <w:pStyle w:val="84"/>
              <w:spacing w:line="500" w:lineRule="exact"/>
              <w:ind w:firstLine="451"/>
              <w:jc w:val="center"/>
              <w:rPr>
                <w:rFonts w:ascii="Times New Roman" w:hAnsi="Times New Roman" w:cs="Times New Roman"/>
                <w:b/>
                <w:bCs/>
                <w:szCs w:val="24"/>
                <w:u w:val="single"/>
              </w:rPr>
            </w:pPr>
            <w:r>
              <w:rPr>
                <w:rFonts w:hint="eastAsia" w:ascii="Times New Roman" w:hAnsi="Times New Roman" w:cs="Times New Roman"/>
                <w:b/>
                <w:bCs/>
                <w:szCs w:val="24"/>
                <w:u w:val="single"/>
              </w:rPr>
              <w:t>图</w:t>
            </w:r>
            <w:r>
              <w:rPr>
                <w:rFonts w:hint="eastAsia" w:ascii="Times New Roman" w:hAnsi="Times New Roman" w:cs="Times New Roman"/>
                <w:b/>
                <w:bCs/>
                <w:szCs w:val="24"/>
                <w:u w:val="single"/>
                <w:lang w:val="en-US" w:eastAsia="zh-CN"/>
              </w:rPr>
              <w:t>2-7</w:t>
            </w:r>
            <w:r>
              <w:rPr>
                <w:rFonts w:hint="eastAsia" w:ascii="Times New Roman" w:hAnsi="Times New Roman" w:cs="Times New Roman"/>
                <w:b/>
                <w:bCs/>
                <w:szCs w:val="24"/>
                <w:u w:val="single"/>
              </w:rPr>
              <w:t>应急预案体系图</w:t>
            </w:r>
          </w:p>
          <w:p w14:paraId="45948B42">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2</w:t>
            </w:r>
            <w:r>
              <w:rPr>
                <w:rFonts w:hint="eastAsia"/>
                <w:b/>
                <w:bCs w:val="0"/>
                <w:sz w:val="24"/>
                <w:u w:val="single"/>
                <w:lang w:eastAsia="zh-CN"/>
              </w:rPr>
              <w:t>）</w:t>
            </w:r>
            <w:r>
              <w:rPr>
                <w:rFonts w:hint="eastAsia"/>
                <w:b/>
                <w:bCs w:val="0"/>
                <w:sz w:val="24"/>
                <w:u w:val="single"/>
              </w:rPr>
              <w:t xml:space="preserve"> 应急组织架构</w:t>
            </w:r>
          </w:p>
          <w:p w14:paraId="10A8C6F3">
            <w:pPr>
              <w:spacing w:line="500" w:lineRule="atLeast"/>
              <w:ind w:firstLine="480" w:firstLineChars="200"/>
              <w:jc w:val="left"/>
              <w:rPr>
                <w:rFonts w:hint="eastAsia"/>
                <w:b w:val="0"/>
                <w:bCs/>
                <w:sz w:val="24"/>
                <w:u w:val="single"/>
              </w:rPr>
            </w:pPr>
            <w:r>
              <w:rPr>
                <w:rFonts w:hint="eastAsia"/>
                <w:b w:val="0"/>
                <w:bCs/>
                <w:sz w:val="24"/>
                <w:u w:val="single"/>
              </w:rPr>
              <w:t>根据公司组织架构组建公司应急救援组织体系，由应急指挥部、应急救援工作组（共 9 个，分别为危险源控制组、抢险救援组、通信和电力保障组、物资保障和运输组 、医疗救护组、疏散隔离和安全保卫组、环境监测组、善后处理组、专家咨询组）构成。应急指挥部作为环境应急领导机构，由总指挥、副总指挥、现场协调指挥组成，在突发环境事件发生时，转化为现场指挥机构。总指挥由公司总经理担任；副总指挥由公司副总经理担任；各工作组组长由公司各部门负责人担任。企业应急组织机构示意图如下图：</w:t>
            </w:r>
          </w:p>
          <w:p w14:paraId="716A30F4">
            <w:pPr>
              <w:jc w:val="center"/>
              <w:rPr>
                <w:u w:val="single"/>
              </w:rPr>
            </w:pPr>
            <w:r>
              <w:rPr>
                <w:u w:val="single"/>
              </w:rPr>
              <w:drawing>
                <wp:inline distT="0" distB="0" distL="114300" distR="114300">
                  <wp:extent cx="4781550" cy="3022600"/>
                  <wp:effectExtent l="0" t="0" r="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4781550" cy="3022600"/>
                          </a:xfrm>
                          <a:prstGeom prst="rect">
                            <a:avLst/>
                          </a:prstGeom>
                          <a:noFill/>
                          <a:ln>
                            <a:noFill/>
                          </a:ln>
                        </pic:spPr>
                      </pic:pic>
                    </a:graphicData>
                  </a:graphic>
                </wp:inline>
              </w:drawing>
            </w:r>
          </w:p>
          <w:p w14:paraId="1E974FE3">
            <w:pPr>
              <w:pStyle w:val="84"/>
              <w:spacing w:line="500" w:lineRule="exact"/>
              <w:ind w:firstLine="451"/>
              <w:jc w:val="center"/>
              <w:rPr>
                <w:rFonts w:ascii="Times New Roman" w:hAnsi="Times New Roman" w:cs="Times New Roman"/>
                <w:b/>
                <w:bCs/>
                <w:szCs w:val="24"/>
                <w:u w:val="single"/>
              </w:rPr>
            </w:pPr>
            <w:r>
              <w:rPr>
                <w:rFonts w:ascii="Times New Roman" w:hAnsi="Times New Roman" w:cs="Times New Roman"/>
                <w:b/>
                <w:bCs/>
                <w:szCs w:val="24"/>
                <w:u w:val="single"/>
              </w:rPr>
              <w:t>图</w:t>
            </w:r>
            <w:r>
              <w:rPr>
                <w:rFonts w:hint="eastAsia" w:ascii="Times New Roman" w:hAnsi="Times New Roman" w:cs="Times New Roman"/>
                <w:b/>
                <w:bCs/>
                <w:szCs w:val="24"/>
                <w:u w:val="single"/>
                <w:lang w:val="en-US" w:eastAsia="zh-CN"/>
              </w:rPr>
              <w:t>2-8</w:t>
            </w:r>
            <w:r>
              <w:rPr>
                <w:rFonts w:ascii="Times New Roman" w:hAnsi="Times New Roman" w:cs="Times New Roman"/>
                <w:b/>
                <w:bCs/>
                <w:szCs w:val="24"/>
                <w:u w:val="single"/>
              </w:rPr>
              <w:t>应急组织机构图</w:t>
            </w:r>
          </w:p>
          <w:p w14:paraId="545F8375">
            <w:pPr>
              <w:spacing w:line="500" w:lineRule="atLeast"/>
              <w:ind w:firstLine="482" w:firstLineChars="200"/>
              <w:jc w:val="left"/>
              <w:rPr>
                <w:rFonts w:hint="eastAsia"/>
                <w:b w:val="0"/>
                <w:bCs/>
                <w:sz w:val="24"/>
                <w:u w:val="single"/>
              </w:rPr>
            </w:pPr>
            <w:r>
              <w:rPr>
                <w:rFonts w:hint="eastAsia"/>
                <w:b/>
                <w:bCs w:val="0"/>
                <w:sz w:val="24"/>
                <w:u w:val="single"/>
                <w:lang w:eastAsia="zh-CN"/>
              </w:rPr>
              <w:t>（</w:t>
            </w:r>
            <w:r>
              <w:rPr>
                <w:rFonts w:hint="eastAsia"/>
                <w:b/>
                <w:bCs w:val="0"/>
                <w:sz w:val="24"/>
                <w:u w:val="single"/>
                <w:lang w:val="en-US" w:eastAsia="zh-CN"/>
              </w:rPr>
              <w:t>3</w:t>
            </w:r>
            <w:r>
              <w:rPr>
                <w:rFonts w:hint="eastAsia"/>
                <w:b/>
                <w:bCs w:val="0"/>
                <w:sz w:val="24"/>
                <w:u w:val="single"/>
                <w:lang w:eastAsia="zh-CN"/>
              </w:rPr>
              <w:t>）</w:t>
            </w:r>
            <w:r>
              <w:rPr>
                <w:rFonts w:hint="eastAsia"/>
                <w:b/>
                <w:bCs w:val="0"/>
                <w:sz w:val="24"/>
                <w:u w:val="single"/>
              </w:rPr>
              <w:t>应急疏散</w:t>
            </w:r>
          </w:p>
          <w:p w14:paraId="7C7A825E">
            <w:pPr>
              <w:spacing w:line="500" w:lineRule="atLeast"/>
              <w:ind w:firstLine="480" w:firstLineChars="200"/>
              <w:jc w:val="left"/>
              <w:rPr>
                <w:rFonts w:hint="eastAsia"/>
                <w:b w:val="0"/>
                <w:bCs/>
                <w:sz w:val="24"/>
                <w:u w:val="single"/>
              </w:rPr>
            </w:pPr>
            <w:r>
              <w:rPr>
                <w:rFonts w:hint="eastAsia"/>
                <w:b w:val="0"/>
                <w:bCs/>
                <w:sz w:val="24"/>
                <w:u w:val="single"/>
              </w:rPr>
              <w:t>疏散隔离和安全保卫队主要负责事故发生时疏散与应急抢险无关人员，并将其统一撤离至安全距离以外，同时设置隔离警戒线。</w:t>
            </w:r>
          </w:p>
          <w:p w14:paraId="4AA1EF9F">
            <w:pPr>
              <w:spacing w:line="500" w:lineRule="atLeast"/>
              <w:ind w:firstLine="480" w:firstLineChars="200"/>
              <w:jc w:val="left"/>
              <w:rPr>
                <w:rFonts w:hint="eastAsia"/>
                <w:b w:val="0"/>
                <w:bCs/>
                <w:sz w:val="24"/>
                <w:u w:val="single"/>
              </w:rPr>
            </w:pPr>
            <w:r>
              <w:rPr>
                <w:rFonts w:hint="eastAsia"/>
                <w:b w:val="0"/>
                <w:bCs/>
                <w:sz w:val="24"/>
                <w:u w:val="single"/>
              </w:rPr>
              <w:t>① 安全疏散及隔离</w:t>
            </w:r>
          </w:p>
          <w:p w14:paraId="69DBB8BD">
            <w:pPr>
              <w:spacing w:line="500" w:lineRule="atLeast"/>
              <w:ind w:firstLine="480" w:firstLineChars="200"/>
              <w:jc w:val="left"/>
              <w:rPr>
                <w:rFonts w:hint="eastAsia"/>
                <w:b w:val="0"/>
                <w:bCs/>
                <w:sz w:val="24"/>
                <w:u w:val="single"/>
              </w:rPr>
            </w:pPr>
            <w:r>
              <w:rPr>
                <w:rFonts w:hint="eastAsia"/>
                <w:b w:val="0"/>
                <w:bCs/>
                <w:sz w:val="24"/>
                <w:u w:val="single"/>
              </w:rPr>
              <w:t>如果发生较大泄漏，以及发生火灾事件，需要人员及时撤离现场，迅速制定撤离路线，设定撤离路线的原则为：沿着上风向或侧风向（根据厂区风向标）撤离到危险涉及范围之外。在安全距离内，设立警戒标志或警戒线，禁止无关人员擅自进入危险区。</w:t>
            </w:r>
          </w:p>
          <w:p w14:paraId="085D2D83">
            <w:pPr>
              <w:spacing w:line="500" w:lineRule="atLeast"/>
              <w:ind w:firstLine="480" w:firstLineChars="200"/>
              <w:jc w:val="left"/>
              <w:rPr>
                <w:rFonts w:hint="eastAsia"/>
                <w:b w:val="0"/>
                <w:bCs/>
                <w:sz w:val="24"/>
                <w:u w:val="single"/>
              </w:rPr>
            </w:pPr>
            <w:r>
              <w:rPr>
                <w:rFonts w:hint="eastAsia"/>
                <w:b w:val="0"/>
                <w:bCs/>
                <w:sz w:val="24"/>
                <w:u w:val="single"/>
              </w:rPr>
              <w:t>② 受影响区域人群疏散方式</w:t>
            </w:r>
          </w:p>
          <w:p w14:paraId="79993C13">
            <w:pPr>
              <w:spacing w:line="500" w:lineRule="atLeast"/>
              <w:ind w:firstLine="480" w:firstLineChars="200"/>
              <w:jc w:val="left"/>
              <w:rPr>
                <w:rFonts w:hint="eastAsia"/>
                <w:b w:val="0"/>
                <w:bCs/>
                <w:sz w:val="24"/>
                <w:u w:val="single"/>
              </w:rPr>
            </w:pPr>
            <w:r>
              <w:rPr>
                <w:rFonts w:hint="eastAsia"/>
                <w:b w:val="0"/>
                <w:bCs/>
                <w:sz w:val="24"/>
                <w:u w:val="single"/>
              </w:rPr>
              <w:t>当事故发生后严重影响了厂内以及周边人群的生命安全时，应当组织人员疏散，疏散时，遵循以下原则：</w:t>
            </w:r>
          </w:p>
          <w:p w14:paraId="09676CBE">
            <w:pPr>
              <w:spacing w:line="500" w:lineRule="atLeast"/>
              <w:ind w:firstLine="480" w:firstLineChars="200"/>
              <w:jc w:val="left"/>
              <w:rPr>
                <w:rFonts w:hint="eastAsia"/>
                <w:b w:val="0"/>
                <w:bCs/>
                <w:sz w:val="24"/>
                <w:u w:val="single"/>
              </w:rPr>
            </w:pPr>
            <w:r>
              <w:rPr>
                <w:rFonts w:hint="eastAsia"/>
                <w:b w:val="0"/>
                <w:bCs/>
                <w:sz w:val="24"/>
                <w:u w:val="single"/>
              </w:rPr>
              <w:t>A.保证疏散指示标志明显，应急疏散通道出口通畅。</w:t>
            </w:r>
          </w:p>
          <w:p w14:paraId="245204C9">
            <w:pPr>
              <w:spacing w:line="500" w:lineRule="atLeast"/>
              <w:ind w:firstLine="480" w:firstLineChars="200"/>
              <w:jc w:val="left"/>
              <w:rPr>
                <w:rFonts w:hint="eastAsia"/>
                <w:b w:val="0"/>
                <w:bCs/>
                <w:sz w:val="24"/>
                <w:u w:val="single"/>
              </w:rPr>
            </w:pPr>
            <w:r>
              <w:rPr>
                <w:rFonts w:hint="eastAsia"/>
                <w:b w:val="0"/>
                <w:bCs/>
                <w:sz w:val="24"/>
                <w:u w:val="single"/>
              </w:rPr>
              <w:t>B.明确疏散计划，由应急指挥部发出疏散命令后，负责疏散隔离人员进入指定位置，立即组织人员疏散。</w:t>
            </w:r>
          </w:p>
          <w:p w14:paraId="50DBCED6">
            <w:pPr>
              <w:spacing w:line="500" w:lineRule="atLeast"/>
              <w:ind w:firstLine="480" w:firstLineChars="200"/>
              <w:jc w:val="left"/>
              <w:rPr>
                <w:rFonts w:hint="eastAsia"/>
                <w:b w:val="0"/>
                <w:bCs/>
                <w:sz w:val="24"/>
                <w:u w:val="single"/>
              </w:rPr>
            </w:pPr>
            <w:r>
              <w:rPr>
                <w:rFonts w:hint="eastAsia"/>
                <w:b w:val="0"/>
                <w:bCs/>
                <w:sz w:val="24"/>
                <w:u w:val="single"/>
              </w:rPr>
              <w:t>C.负责疏散隔离人员用最快速度通知现场人员，按疏散的方向通道进行疏散。</w:t>
            </w:r>
          </w:p>
          <w:p w14:paraId="042E49D5">
            <w:pPr>
              <w:spacing w:line="500" w:lineRule="atLeast"/>
              <w:ind w:firstLine="480" w:firstLineChars="200"/>
              <w:jc w:val="left"/>
              <w:rPr>
                <w:rFonts w:hint="eastAsia"/>
                <w:b w:val="0"/>
                <w:bCs/>
                <w:sz w:val="24"/>
                <w:u w:val="single"/>
              </w:rPr>
            </w:pPr>
            <w:r>
              <w:rPr>
                <w:rFonts w:hint="eastAsia"/>
                <w:b w:val="0"/>
                <w:bCs/>
                <w:sz w:val="24"/>
                <w:u w:val="single"/>
              </w:rPr>
              <w:t>D.积极配合相关部门进行疏散工作，主动汇报事故现场情况。</w:t>
            </w:r>
          </w:p>
          <w:p w14:paraId="1ADE0108">
            <w:pPr>
              <w:spacing w:line="500" w:lineRule="atLeast"/>
              <w:ind w:firstLine="480" w:firstLineChars="200"/>
              <w:jc w:val="left"/>
              <w:rPr>
                <w:rFonts w:hint="eastAsia"/>
                <w:b w:val="0"/>
                <w:bCs/>
                <w:sz w:val="24"/>
                <w:u w:val="single"/>
              </w:rPr>
            </w:pPr>
            <w:r>
              <w:rPr>
                <w:rFonts w:hint="eastAsia"/>
                <w:b w:val="0"/>
                <w:bCs/>
                <w:sz w:val="24"/>
                <w:u w:val="single"/>
              </w:rPr>
              <w:t>E.事故现场有被困人员时，疏导人员应劝导被困人员，服从指挥，做到有组织、有秩序地疏散。</w:t>
            </w:r>
          </w:p>
          <w:p w14:paraId="7A2852F4">
            <w:pPr>
              <w:spacing w:line="500" w:lineRule="atLeast"/>
              <w:ind w:firstLine="480" w:firstLineChars="200"/>
              <w:jc w:val="left"/>
              <w:rPr>
                <w:rFonts w:hint="eastAsia"/>
                <w:b w:val="0"/>
                <w:bCs/>
                <w:sz w:val="24"/>
                <w:u w:val="single"/>
              </w:rPr>
            </w:pPr>
            <w:r>
              <w:rPr>
                <w:rFonts w:hint="eastAsia"/>
                <w:b w:val="0"/>
                <w:bCs/>
                <w:sz w:val="24"/>
                <w:u w:val="single"/>
              </w:rPr>
              <w:t>应急集合点和疏散路线如下：</w:t>
            </w:r>
          </w:p>
          <w:p w14:paraId="25668B4D">
            <w:pPr>
              <w:jc w:val="center"/>
              <w:rPr>
                <w:u w:val="single"/>
              </w:rPr>
            </w:pPr>
            <w:r>
              <w:rPr>
                <w:u w:val="single"/>
              </w:rPr>
              <w:drawing>
                <wp:inline distT="0" distB="0" distL="114300" distR="114300">
                  <wp:extent cx="4504055" cy="2903855"/>
                  <wp:effectExtent l="0" t="0" r="1079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4504055" cy="2903855"/>
                          </a:xfrm>
                          <a:prstGeom prst="rect">
                            <a:avLst/>
                          </a:prstGeom>
                          <a:noFill/>
                          <a:ln>
                            <a:noFill/>
                          </a:ln>
                        </pic:spPr>
                      </pic:pic>
                    </a:graphicData>
                  </a:graphic>
                </wp:inline>
              </w:drawing>
            </w:r>
          </w:p>
          <w:p w14:paraId="4961F3B0">
            <w:pPr>
              <w:pStyle w:val="84"/>
              <w:spacing w:line="500" w:lineRule="exact"/>
              <w:ind w:firstLine="451"/>
              <w:jc w:val="center"/>
              <w:rPr>
                <w:rFonts w:ascii="Times New Roman" w:hAnsi="Times New Roman" w:cs="Times New Roman"/>
                <w:b/>
                <w:bCs/>
                <w:szCs w:val="24"/>
                <w:u w:val="single"/>
              </w:rPr>
            </w:pPr>
            <w:r>
              <w:rPr>
                <w:rFonts w:hint="eastAsia" w:ascii="Times New Roman" w:hAnsi="Times New Roman" w:cs="Times New Roman"/>
                <w:b/>
                <w:bCs/>
                <w:szCs w:val="24"/>
                <w:u w:val="single"/>
              </w:rPr>
              <w:t>图</w:t>
            </w:r>
            <w:r>
              <w:rPr>
                <w:rFonts w:hint="eastAsia" w:ascii="Times New Roman" w:hAnsi="Times New Roman" w:cs="Times New Roman"/>
                <w:b/>
                <w:bCs/>
                <w:szCs w:val="24"/>
                <w:u w:val="single"/>
                <w:lang w:val="en-US" w:eastAsia="zh-CN"/>
              </w:rPr>
              <w:t>2-9</w:t>
            </w:r>
            <w:r>
              <w:rPr>
                <w:rFonts w:hint="eastAsia" w:ascii="Times New Roman" w:hAnsi="Times New Roman" w:cs="Times New Roman"/>
                <w:b/>
                <w:bCs/>
                <w:szCs w:val="24"/>
                <w:u w:val="single"/>
              </w:rPr>
              <w:t>应急集合点和疏散路线图</w:t>
            </w:r>
          </w:p>
          <w:p w14:paraId="38B3A13F">
            <w:pPr>
              <w:spacing w:line="500" w:lineRule="atLeast"/>
              <w:ind w:firstLine="482" w:firstLineChars="200"/>
              <w:jc w:val="left"/>
              <w:rPr>
                <w:rFonts w:hint="eastAsia"/>
                <w:b/>
                <w:bCs w:val="0"/>
                <w:sz w:val="24"/>
                <w:u w:val="single"/>
              </w:rPr>
            </w:pPr>
            <w:r>
              <w:rPr>
                <w:rFonts w:hint="eastAsia"/>
                <w:b/>
                <w:bCs w:val="0"/>
                <w:sz w:val="24"/>
                <w:u w:val="single"/>
                <w:lang w:eastAsia="zh-CN"/>
              </w:rPr>
              <w:t>（</w:t>
            </w:r>
            <w:r>
              <w:rPr>
                <w:rFonts w:hint="eastAsia"/>
                <w:b/>
                <w:bCs w:val="0"/>
                <w:sz w:val="24"/>
                <w:u w:val="single"/>
                <w:lang w:val="en-US" w:eastAsia="zh-CN"/>
              </w:rPr>
              <w:t>4</w:t>
            </w:r>
            <w:r>
              <w:rPr>
                <w:rFonts w:hint="eastAsia"/>
                <w:b/>
                <w:bCs w:val="0"/>
                <w:sz w:val="24"/>
                <w:u w:val="single"/>
                <w:lang w:eastAsia="zh-CN"/>
              </w:rPr>
              <w:t>）</w:t>
            </w:r>
            <w:r>
              <w:rPr>
                <w:rFonts w:hint="eastAsia"/>
                <w:b/>
                <w:bCs w:val="0"/>
                <w:sz w:val="24"/>
                <w:u w:val="single"/>
              </w:rPr>
              <w:t>应急监测</w:t>
            </w:r>
          </w:p>
          <w:p w14:paraId="01A69352">
            <w:pPr>
              <w:spacing w:line="500" w:lineRule="atLeast"/>
              <w:ind w:firstLine="480" w:firstLineChars="200"/>
              <w:jc w:val="left"/>
              <w:rPr>
                <w:rFonts w:hint="eastAsia"/>
                <w:b w:val="0"/>
                <w:bCs/>
                <w:sz w:val="24"/>
                <w:u w:val="single"/>
              </w:rPr>
            </w:pPr>
            <w:r>
              <w:rPr>
                <w:rFonts w:hint="eastAsia"/>
                <w:b w:val="0"/>
                <w:bCs/>
                <w:sz w:val="24"/>
                <w:u w:val="single"/>
              </w:rPr>
              <w:t>企业具备一定的应急监测能力，突发环境事件时，公司安全环保部迅速与钦州市环境保护监测站等相关单位联系，确保能够第一时间获得环境监测支持，在其到达现场前，企业可实现部分污染因子的应急监测。专业监测人员到达后，根据事件的实际情况，企业配合开展应急监测工作，在尽可能短的时间内作出判断，以便对事件进行及时正确地处理。</w:t>
            </w:r>
          </w:p>
          <w:p w14:paraId="29FB624E">
            <w:pPr>
              <w:spacing w:line="500" w:lineRule="atLeast"/>
              <w:ind w:firstLine="482" w:firstLineChars="200"/>
              <w:jc w:val="left"/>
              <w:rPr>
                <w:rFonts w:hint="eastAsia" w:eastAsia="宋体"/>
                <w:b/>
                <w:bCs w:val="0"/>
                <w:sz w:val="24"/>
                <w:lang w:val="en-US" w:eastAsia="zh-CN"/>
              </w:rPr>
            </w:pPr>
            <w:r>
              <w:rPr>
                <w:rFonts w:hint="eastAsia"/>
                <w:b/>
                <w:bCs w:val="0"/>
                <w:sz w:val="24"/>
                <w:lang w:val="en-US" w:eastAsia="zh-CN"/>
              </w:rPr>
              <w:t>6.3排污许可证执行情况</w:t>
            </w:r>
          </w:p>
          <w:p w14:paraId="1F5B894D">
            <w:pPr>
              <w:spacing w:line="500" w:lineRule="atLeast"/>
              <w:ind w:firstLine="480" w:firstLineChars="200"/>
              <w:jc w:val="left"/>
              <w:rPr>
                <w:rFonts w:hint="default" w:ascii="宋体" w:hAnsi="宋体" w:eastAsia="微软雅黑" w:cs="宋体"/>
                <w:b w:val="0"/>
                <w:bCs/>
                <w:sz w:val="24"/>
                <w:lang w:val="en-US" w:eastAsia="zh-CN"/>
              </w:rPr>
            </w:pPr>
            <w:r>
              <w:rPr>
                <w:rFonts w:hint="eastAsia"/>
                <w:b w:val="0"/>
                <w:bCs/>
                <w:sz w:val="24"/>
                <w:lang w:val="en-US" w:eastAsia="zh-CN"/>
              </w:rPr>
              <w:t>1、排污许可证执行情况</w:t>
            </w:r>
          </w:p>
          <w:p w14:paraId="73CC2AD9">
            <w:pPr>
              <w:spacing w:line="500" w:lineRule="atLeast"/>
              <w:ind w:firstLine="480" w:firstLineChars="200"/>
              <w:jc w:val="left"/>
              <w:rPr>
                <w:rFonts w:hint="eastAsia"/>
                <w:b w:val="0"/>
                <w:bCs/>
                <w:sz w:val="24"/>
              </w:rPr>
            </w:pPr>
            <w:r>
              <w:rPr>
                <w:rFonts w:hint="eastAsia"/>
                <w:b w:val="0"/>
                <w:bCs/>
                <w:sz w:val="24"/>
              </w:rPr>
              <w:t xml:space="preserve">在工业气体岛项目建成后排污前，企业已于2021年3月12日初次申领了排污许可证，许可证编号为91450700MA5KBT3J8P001V。 </w:t>
            </w:r>
          </w:p>
          <w:p w14:paraId="2CF204F8">
            <w:pPr>
              <w:spacing w:line="500" w:lineRule="atLeast"/>
              <w:ind w:firstLine="480" w:firstLineChars="200"/>
              <w:jc w:val="left"/>
              <w:rPr>
                <w:rFonts w:hint="eastAsia"/>
                <w:b w:val="0"/>
                <w:bCs/>
                <w:sz w:val="24"/>
              </w:rPr>
            </w:pPr>
            <w:r>
              <w:rPr>
                <w:rFonts w:hint="eastAsia"/>
                <w:b w:val="0"/>
                <w:bCs/>
                <w:sz w:val="24"/>
              </w:rPr>
              <w:t xml:space="preserve">合成气项目于2020年2月动工建设，100万吨/年甲醇装置于2021年6月竣工，70万吨/年醋酸装置2022年1月竣工，在建成后发生排污之前，公司均按时申请排污许可证变更并在钦州市生态环境局备案。 </w:t>
            </w:r>
          </w:p>
          <w:p w14:paraId="6906908D">
            <w:pPr>
              <w:spacing w:line="500" w:lineRule="atLeast"/>
              <w:ind w:firstLine="480" w:firstLineChars="200"/>
              <w:jc w:val="left"/>
              <w:rPr>
                <w:rFonts w:hint="eastAsia"/>
                <w:b w:val="0"/>
                <w:bCs/>
                <w:sz w:val="24"/>
              </w:rPr>
            </w:pPr>
            <w:r>
              <w:rPr>
                <w:rFonts w:hint="eastAsia"/>
                <w:b w:val="0"/>
                <w:bCs/>
                <w:sz w:val="24"/>
              </w:rPr>
              <w:t>取得排污许可证后，企业于2024年2月6日更新并重新申领了排污许可证，有效期至2029年2月5日止，许可证编号为91450700MA5KBT3J8P001V。</w:t>
            </w:r>
          </w:p>
          <w:p w14:paraId="0811DBFB">
            <w:pPr>
              <w:spacing w:line="500" w:lineRule="atLeast"/>
              <w:ind w:firstLine="480" w:firstLineChars="200"/>
              <w:jc w:val="left"/>
              <w:rPr>
                <w:rFonts w:hint="eastAsia"/>
                <w:b w:val="0"/>
                <w:bCs/>
                <w:sz w:val="24"/>
              </w:rPr>
            </w:pPr>
            <w:r>
              <w:rPr>
                <w:rFonts w:hint="eastAsia"/>
                <w:b w:val="0"/>
                <w:bCs/>
                <w:sz w:val="24"/>
              </w:rPr>
              <w:t>企业于2025年3月20日更新并重新申领了排污许可证，有效期至2030年3月20日止，许可证编号为91450700MA5KBT3J8P001V，详见附件11</w:t>
            </w:r>
            <w:r>
              <w:rPr>
                <w:rFonts w:hint="eastAsia"/>
                <w:b w:val="0"/>
                <w:bCs/>
                <w:sz w:val="24"/>
                <w:lang w:eastAsia="zh-CN"/>
              </w:rPr>
              <w:t>。</w:t>
            </w:r>
          </w:p>
          <w:p w14:paraId="2CE16B45">
            <w:pPr>
              <w:spacing w:line="500" w:lineRule="atLeast"/>
              <w:ind w:firstLine="480" w:firstLineChars="200"/>
              <w:jc w:val="left"/>
              <w:rPr>
                <w:rFonts w:hint="default" w:ascii="宋体" w:hAnsi="宋体" w:eastAsia="微软雅黑" w:cs="宋体"/>
                <w:b w:val="0"/>
                <w:bCs/>
                <w:sz w:val="24"/>
                <w:lang w:val="en-US" w:eastAsia="zh-CN"/>
              </w:rPr>
            </w:pPr>
            <w:r>
              <w:rPr>
                <w:rFonts w:hint="eastAsia"/>
                <w:b w:val="0"/>
                <w:bCs/>
                <w:sz w:val="24"/>
                <w:lang w:val="en-US" w:eastAsia="zh-CN"/>
              </w:rPr>
              <w:t>2、排污许可证许可量</w:t>
            </w:r>
          </w:p>
          <w:p w14:paraId="59A55259">
            <w:pPr>
              <w:spacing w:line="500" w:lineRule="atLeast"/>
              <w:ind w:firstLine="480" w:firstLineChars="200"/>
              <w:jc w:val="left"/>
              <w:rPr>
                <w:rFonts w:hint="eastAsia"/>
                <w:b w:val="0"/>
                <w:bCs/>
                <w:sz w:val="24"/>
                <w:lang w:eastAsia="zh-CN"/>
              </w:rPr>
            </w:pPr>
            <w:r>
              <w:rPr>
                <w:rFonts w:hint="eastAsia"/>
                <w:b w:val="0"/>
                <w:bCs/>
                <w:sz w:val="24"/>
              </w:rPr>
              <w:t>根据工业气体岛项目、合成气综合利用项目、氨回收项目、DMC回收项目、</w:t>
            </w:r>
            <w:r>
              <w:rPr>
                <w:rFonts w:hint="eastAsia"/>
                <w:b w:val="0"/>
                <w:bCs/>
                <w:sz w:val="24"/>
                <w:lang w:val="en-US" w:eastAsia="zh-CN"/>
              </w:rPr>
              <w:t>醋酸提产项目、</w:t>
            </w:r>
            <w:r>
              <w:rPr>
                <w:rFonts w:hint="eastAsia"/>
                <w:b w:val="0"/>
                <w:bCs/>
                <w:sz w:val="24"/>
              </w:rPr>
              <w:t>气化细渣脱水干化扩产项目验收报告以及现有工程例行监测数据、固废台账统计情况，现有工程“三废”排放量与排污许可证对比见表</w:t>
            </w:r>
            <w:r>
              <w:rPr>
                <w:rFonts w:hint="eastAsia"/>
                <w:b w:val="0"/>
                <w:bCs/>
                <w:sz w:val="24"/>
                <w:lang w:val="en-US" w:eastAsia="zh-CN"/>
              </w:rPr>
              <w:t>2-26</w:t>
            </w:r>
            <w:r>
              <w:rPr>
                <w:rFonts w:hint="eastAsia"/>
                <w:b w:val="0"/>
                <w:bCs/>
                <w:sz w:val="24"/>
                <w:lang w:eastAsia="zh-CN"/>
              </w:rPr>
              <w:t>。</w:t>
            </w:r>
          </w:p>
          <w:p w14:paraId="3F6D4D04">
            <w:pPr>
              <w:pStyle w:val="51"/>
              <w:numPr>
                <w:ilvl w:val="2"/>
                <w:numId w:val="3"/>
              </w:numPr>
              <w:spacing w:line="500" w:lineRule="atLeast"/>
              <w:ind w:firstLineChars="0"/>
              <w:jc w:val="center"/>
              <w:rPr>
                <w:rFonts w:hint="eastAsia"/>
                <w:b w:val="0"/>
                <w:bCs/>
                <w:sz w:val="24"/>
                <w:lang w:eastAsia="zh-CN"/>
              </w:rPr>
            </w:pPr>
            <w:r>
              <w:rPr>
                <w:rFonts w:hint="eastAsia"/>
                <w:b/>
                <w:sz w:val="24"/>
                <w:lang w:eastAsia="zh-CN"/>
              </w:rPr>
              <w:t>现有工程污染物排放量  单位t/a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30"/>
              <w:gridCol w:w="1632"/>
              <w:gridCol w:w="1847"/>
              <w:gridCol w:w="1738"/>
              <w:gridCol w:w="1754"/>
            </w:tblGrid>
            <w:tr w14:paraId="0AA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noWrap w:val="0"/>
                  <w:vAlign w:val="center"/>
                </w:tcPr>
                <w:p w14:paraId="144BB45D">
                  <w:pPr>
                    <w:jc w:val="center"/>
                    <w:rPr>
                      <w:rFonts w:eastAsia="宋体"/>
                      <w:sz w:val="21"/>
                      <w:szCs w:val="21"/>
                      <w:u w:val="none"/>
                    </w:rPr>
                  </w:pPr>
                  <w:r>
                    <w:rPr>
                      <w:rFonts w:hint="eastAsia" w:eastAsia="宋体"/>
                      <w:sz w:val="21"/>
                      <w:szCs w:val="21"/>
                      <w:u w:val="none"/>
                    </w:rPr>
                    <w:t>类别</w:t>
                  </w:r>
                </w:p>
              </w:tc>
              <w:tc>
                <w:tcPr>
                  <w:tcW w:w="434" w:type="pct"/>
                  <w:noWrap w:val="0"/>
                  <w:vAlign w:val="center"/>
                </w:tcPr>
                <w:p w14:paraId="4509D36F">
                  <w:pPr>
                    <w:rPr>
                      <w:rFonts w:eastAsia="宋体"/>
                      <w:sz w:val="21"/>
                      <w:szCs w:val="21"/>
                      <w:u w:val="none"/>
                    </w:rPr>
                  </w:pPr>
                  <w:r>
                    <w:rPr>
                      <w:rFonts w:hint="eastAsia" w:eastAsia="宋体"/>
                      <w:sz w:val="21"/>
                      <w:szCs w:val="21"/>
                      <w:u w:val="none"/>
                    </w:rPr>
                    <w:t>序号</w:t>
                  </w:r>
                </w:p>
              </w:tc>
              <w:tc>
                <w:tcPr>
                  <w:tcW w:w="970" w:type="pct"/>
                  <w:noWrap w:val="0"/>
                  <w:vAlign w:val="center"/>
                </w:tcPr>
                <w:p w14:paraId="657C41E0">
                  <w:pPr>
                    <w:jc w:val="center"/>
                    <w:rPr>
                      <w:rFonts w:eastAsia="宋体"/>
                      <w:sz w:val="21"/>
                      <w:szCs w:val="21"/>
                      <w:u w:val="none"/>
                    </w:rPr>
                  </w:pPr>
                  <w:r>
                    <w:rPr>
                      <w:rFonts w:hint="eastAsia" w:eastAsia="宋体"/>
                      <w:sz w:val="21"/>
                      <w:szCs w:val="21"/>
                      <w:u w:val="none"/>
                    </w:rPr>
                    <w:t>污染物种类</w:t>
                  </w:r>
                </w:p>
              </w:tc>
              <w:tc>
                <w:tcPr>
                  <w:tcW w:w="1098" w:type="pct"/>
                  <w:noWrap w:val="0"/>
                  <w:vAlign w:val="center"/>
                </w:tcPr>
                <w:p w14:paraId="019B7054">
                  <w:pPr>
                    <w:jc w:val="center"/>
                    <w:rPr>
                      <w:rFonts w:hint="eastAsia" w:eastAsia="宋体"/>
                      <w:sz w:val="21"/>
                      <w:szCs w:val="21"/>
                      <w:u w:val="none"/>
                    </w:rPr>
                  </w:pPr>
                  <w:r>
                    <w:rPr>
                      <w:rFonts w:hint="eastAsia" w:eastAsia="宋体"/>
                      <w:sz w:val="21"/>
                      <w:szCs w:val="21"/>
                      <w:u w:val="none"/>
                    </w:rPr>
                    <w:t>现有工程</w:t>
                  </w:r>
                </w:p>
                <w:p w14:paraId="717CB9CE">
                  <w:pPr>
                    <w:jc w:val="center"/>
                    <w:rPr>
                      <w:rFonts w:eastAsia="宋体"/>
                      <w:sz w:val="21"/>
                      <w:szCs w:val="21"/>
                      <w:u w:val="none"/>
                    </w:rPr>
                  </w:pPr>
                  <w:r>
                    <w:rPr>
                      <w:rFonts w:hint="eastAsia" w:eastAsia="宋体"/>
                      <w:sz w:val="21"/>
                      <w:szCs w:val="21"/>
                      <w:u w:val="none"/>
                    </w:rPr>
                    <w:t>排放量</w:t>
                  </w:r>
                </w:p>
              </w:tc>
              <w:tc>
                <w:tcPr>
                  <w:tcW w:w="1033" w:type="pct"/>
                  <w:noWrap w:val="0"/>
                  <w:vAlign w:val="center"/>
                </w:tcPr>
                <w:p w14:paraId="6A3C0A9C">
                  <w:pPr>
                    <w:jc w:val="center"/>
                    <w:rPr>
                      <w:rFonts w:eastAsia="宋体"/>
                      <w:sz w:val="21"/>
                      <w:szCs w:val="21"/>
                      <w:u w:val="none"/>
                    </w:rPr>
                  </w:pPr>
                  <w:r>
                    <w:rPr>
                      <w:rFonts w:hint="eastAsia" w:eastAsia="宋体"/>
                      <w:sz w:val="21"/>
                      <w:szCs w:val="21"/>
                      <w:u w:val="none"/>
                    </w:rPr>
                    <w:t>排污许可证</w:t>
                  </w:r>
                </w:p>
                <w:p w14:paraId="5DB45C08">
                  <w:pPr>
                    <w:jc w:val="center"/>
                    <w:rPr>
                      <w:rFonts w:eastAsia="宋体"/>
                      <w:sz w:val="21"/>
                      <w:szCs w:val="21"/>
                      <w:u w:val="none"/>
                    </w:rPr>
                  </w:pPr>
                  <w:r>
                    <w:rPr>
                      <w:rFonts w:hint="eastAsia" w:eastAsia="宋体"/>
                      <w:sz w:val="21"/>
                      <w:szCs w:val="21"/>
                      <w:u w:val="none"/>
                    </w:rPr>
                    <w:t>许可量</w:t>
                  </w:r>
                </w:p>
              </w:tc>
              <w:tc>
                <w:tcPr>
                  <w:tcW w:w="1042" w:type="pct"/>
                  <w:noWrap w:val="0"/>
                  <w:vAlign w:val="center"/>
                </w:tcPr>
                <w:p w14:paraId="3C9D5414">
                  <w:pPr>
                    <w:jc w:val="center"/>
                    <w:rPr>
                      <w:rFonts w:eastAsia="宋体"/>
                      <w:sz w:val="21"/>
                      <w:szCs w:val="21"/>
                      <w:u w:val="none"/>
                    </w:rPr>
                  </w:pPr>
                  <w:r>
                    <w:rPr>
                      <w:rFonts w:hint="eastAsia" w:eastAsia="宋体"/>
                      <w:sz w:val="21"/>
                      <w:szCs w:val="21"/>
                      <w:u w:val="none"/>
                    </w:rPr>
                    <w:t>备注</w:t>
                  </w:r>
                </w:p>
              </w:tc>
            </w:tr>
            <w:tr w14:paraId="5D70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noWrap w:val="0"/>
                  <w:vAlign w:val="center"/>
                </w:tcPr>
                <w:p w14:paraId="10164C7F">
                  <w:pPr>
                    <w:jc w:val="center"/>
                    <w:rPr>
                      <w:rFonts w:eastAsia="宋体"/>
                      <w:sz w:val="21"/>
                      <w:szCs w:val="21"/>
                      <w:u w:val="none"/>
                    </w:rPr>
                  </w:pPr>
                  <w:r>
                    <w:rPr>
                      <w:rFonts w:hint="eastAsia" w:eastAsia="宋体"/>
                      <w:sz w:val="21"/>
                      <w:szCs w:val="21"/>
                      <w:u w:val="none"/>
                    </w:rPr>
                    <w:t>废气</w:t>
                  </w:r>
                </w:p>
              </w:tc>
              <w:tc>
                <w:tcPr>
                  <w:tcW w:w="434" w:type="pct"/>
                  <w:noWrap w:val="0"/>
                  <w:vAlign w:val="center"/>
                </w:tcPr>
                <w:p w14:paraId="7C1692E4">
                  <w:pPr>
                    <w:jc w:val="center"/>
                    <w:rPr>
                      <w:rFonts w:eastAsia="宋体"/>
                      <w:sz w:val="21"/>
                      <w:szCs w:val="21"/>
                      <w:u w:val="none"/>
                    </w:rPr>
                  </w:pPr>
                  <w:r>
                    <w:rPr>
                      <w:rFonts w:hint="eastAsia" w:eastAsia="宋体"/>
                      <w:sz w:val="21"/>
                      <w:szCs w:val="21"/>
                      <w:u w:val="none"/>
                    </w:rPr>
                    <w:t>1</w:t>
                  </w:r>
                </w:p>
              </w:tc>
              <w:tc>
                <w:tcPr>
                  <w:tcW w:w="970" w:type="pct"/>
                  <w:noWrap w:val="0"/>
                  <w:vAlign w:val="center"/>
                </w:tcPr>
                <w:p w14:paraId="3137C978">
                  <w:pPr>
                    <w:jc w:val="center"/>
                    <w:rPr>
                      <w:rFonts w:eastAsia="宋体"/>
                      <w:sz w:val="21"/>
                      <w:szCs w:val="21"/>
                      <w:u w:val="none"/>
                    </w:rPr>
                  </w:pPr>
                  <w:r>
                    <w:rPr>
                      <w:rFonts w:hint="eastAsia" w:eastAsia="宋体"/>
                      <w:sz w:val="21"/>
                      <w:szCs w:val="21"/>
                      <w:u w:val="none"/>
                    </w:rPr>
                    <w:t>颗粒物</w:t>
                  </w:r>
                </w:p>
              </w:tc>
              <w:tc>
                <w:tcPr>
                  <w:tcW w:w="1098" w:type="pct"/>
                  <w:noWrap w:val="0"/>
                  <w:vAlign w:val="center"/>
                </w:tcPr>
                <w:p w14:paraId="532CDD6F">
                  <w:pPr>
                    <w:jc w:val="center"/>
                    <w:rPr>
                      <w:rFonts w:hint="eastAsia" w:eastAsia="宋体"/>
                      <w:sz w:val="21"/>
                      <w:szCs w:val="21"/>
                      <w:u w:val="none"/>
                    </w:rPr>
                  </w:pPr>
                  <w:r>
                    <w:rPr>
                      <w:rFonts w:hint="eastAsia" w:eastAsia="宋体"/>
                      <w:sz w:val="21"/>
                      <w:szCs w:val="21"/>
                      <w:u w:val="none"/>
                    </w:rPr>
                    <w:t>119.809</w:t>
                  </w:r>
                </w:p>
              </w:tc>
              <w:tc>
                <w:tcPr>
                  <w:tcW w:w="1033" w:type="pct"/>
                  <w:noWrap w:val="0"/>
                  <w:vAlign w:val="center"/>
                </w:tcPr>
                <w:p w14:paraId="7BF10AD6">
                  <w:pPr>
                    <w:jc w:val="center"/>
                    <w:rPr>
                      <w:rFonts w:hint="eastAsia" w:eastAsia="宋体"/>
                      <w:sz w:val="21"/>
                      <w:szCs w:val="21"/>
                      <w:u w:val="none"/>
                    </w:rPr>
                  </w:pPr>
                  <w:r>
                    <w:rPr>
                      <w:rFonts w:hint="eastAsia" w:eastAsia="宋体"/>
                      <w:sz w:val="21"/>
                      <w:szCs w:val="21"/>
                      <w:u w:val="none"/>
                    </w:rPr>
                    <w:t>123.000</w:t>
                  </w:r>
                </w:p>
              </w:tc>
              <w:tc>
                <w:tcPr>
                  <w:tcW w:w="1042" w:type="pct"/>
                  <w:noWrap w:val="0"/>
                  <w:vAlign w:val="center"/>
                </w:tcPr>
                <w:p w14:paraId="3A5793CF">
                  <w:pPr>
                    <w:jc w:val="center"/>
                    <w:rPr>
                      <w:rFonts w:eastAsia="宋体"/>
                      <w:sz w:val="21"/>
                      <w:szCs w:val="21"/>
                      <w:u w:val="none"/>
                    </w:rPr>
                  </w:pPr>
                  <w:r>
                    <w:rPr>
                      <w:rFonts w:hint="eastAsia" w:eastAsia="宋体"/>
                      <w:sz w:val="21"/>
                      <w:szCs w:val="21"/>
                      <w:u w:val="none"/>
                    </w:rPr>
                    <w:t>/</w:t>
                  </w:r>
                </w:p>
              </w:tc>
            </w:tr>
            <w:tr w14:paraId="53C6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13C183A9">
                  <w:pPr>
                    <w:jc w:val="center"/>
                    <w:rPr>
                      <w:rFonts w:eastAsia="宋体"/>
                      <w:sz w:val="21"/>
                      <w:szCs w:val="21"/>
                      <w:u w:val="none"/>
                    </w:rPr>
                  </w:pPr>
                </w:p>
              </w:tc>
              <w:tc>
                <w:tcPr>
                  <w:tcW w:w="434" w:type="pct"/>
                  <w:noWrap w:val="0"/>
                  <w:vAlign w:val="center"/>
                </w:tcPr>
                <w:p w14:paraId="68E318BD">
                  <w:pPr>
                    <w:jc w:val="center"/>
                    <w:rPr>
                      <w:rFonts w:eastAsia="宋体"/>
                      <w:sz w:val="21"/>
                      <w:szCs w:val="21"/>
                      <w:u w:val="none"/>
                    </w:rPr>
                  </w:pPr>
                  <w:r>
                    <w:rPr>
                      <w:rFonts w:hint="eastAsia" w:eastAsia="宋体"/>
                      <w:sz w:val="21"/>
                      <w:szCs w:val="21"/>
                      <w:u w:val="none"/>
                    </w:rPr>
                    <w:t>2</w:t>
                  </w:r>
                </w:p>
              </w:tc>
              <w:tc>
                <w:tcPr>
                  <w:tcW w:w="970" w:type="pct"/>
                  <w:noWrap w:val="0"/>
                  <w:vAlign w:val="center"/>
                </w:tcPr>
                <w:p w14:paraId="6F65D761">
                  <w:pPr>
                    <w:jc w:val="center"/>
                    <w:rPr>
                      <w:rFonts w:eastAsia="宋体"/>
                      <w:sz w:val="21"/>
                      <w:szCs w:val="21"/>
                      <w:u w:val="none"/>
                    </w:rPr>
                  </w:pPr>
                  <w:r>
                    <w:rPr>
                      <w:rFonts w:hint="eastAsia" w:eastAsia="宋体"/>
                      <w:sz w:val="21"/>
                      <w:szCs w:val="21"/>
                      <w:u w:val="none"/>
                    </w:rPr>
                    <w:t>二氧化硫</w:t>
                  </w:r>
                </w:p>
              </w:tc>
              <w:tc>
                <w:tcPr>
                  <w:tcW w:w="1098" w:type="pct"/>
                  <w:noWrap w:val="0"/>
                  <w:vAlign w:val="center"/>
                </w:tcPr>
                <w:p w14:paraId="488F3F42">
                  <w:pPr>
                    <w:jc w:val="center"/>
                    <w:rPr>
                      <w:rFonts w:eastAsia="宋体"/>
                      <w:sz w:val="21"/>
                      <w:szCs w:val="21"/>
                      <w:u w:val="none"/>
                    </w:rPr>
                  </w:pPr>
                  <w:r>
                    <w:rPr>
                      <w:rFonts w:hint="eastAsia" w:eastAsia="宋体"/>
                      <w:sz w:val="21"/>
                      <w:szCs w:val="21"/>
                      <w:u w:val="none"/>
                    </w:rPr>
                    <w:t>248.137</w:t>
                  </w:r>
                </w:p>
              </w:tc>
              <w:tc>
                <w:tcPr>
                  <w:tcW w:w="1033" w:type="pct"/>
                  <w:noWrap w:val="0"/>
                  <w:vAlign w:val="center"/>
                </w:tcPr>
                <w:p w14:paraId="601AAE05">
                  <w:pPr>
                    <w:jc w:val="center"/>
                    <w:rPr>
                      <w:rFonts w:eastAsia="宋体"/>
                      <w:sz w:val="21"/>
                      <w:szCs w:val="21"/>
                      <w:u w:val="none"/>
                    </w:rPr>
                  </w:pPr>
                  <w:r>
                    <w:rPr>
                      <w:rFonts w:hint="eastAsia" w:eastAsia="宋体"/>
                      <w:sz w:val="21"/>
                      <w:szCs w:val="21"/>
                      <w:u w:val="none"/>
                    </w:rPr>
                    <w:t>248.509</w:t>
                  </w:r>
                </w:p>
              </w:tc>
              <w:tc>
                <w:tcPr>
                  <w:tcW w:w="1042" w:type="pct"/>
                  <w:noWrap w:val="0"/>
                  <w:vAlign w:val="center"/>
                </w:tcPr>
                <w:p w14:paraId="05E74A3B">
                  <w:pPr>
                    <w:jc w:val="center"/>
                    <w:rPr>
                      <w:rFonts w:eastAsia="宋体"/>
                      <w:sz w:val="21"/>
                      <w:szCs w:val="21"/>
                      <w:u w:val="none"/>
                    </w:rPr>
                  </w:pPr>
                  <w:r>
                    <w:rPr>
                      <w:rFonts w:hint="eastAsia" w:eastAsia="宋体"/>
                      <w:sz w:val="21"/>
                      <w:szCs w:val="21"/>
                      <w:u w:val="none"/>
                    </w:rPr>
                    <w:t>/</w:t>
                  </w:r>
                </w:p>
              </w:tc>
            </w:tr>
            <w:tr w14:paraId="1641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78C61A8C">
                  <w:pPr>
                    <w:jc w:val="center"/>
                    <w:rPr>
                      <w:rFonts w:eastAsia="宋体"/>
                      <w:sz w:val="21"/>
                      <w:szCs w:val="21"/>
                      <w:u w:val="none"/>
                    </w:rPr>
                  </w:pPr>
                </w:p>
              </w:tc>
              <w:tc>
                <w:tcPr>
                  <w:tcW w:w="434" w:type="pct"/>
                  <w:noWrap w:val="0"/>
                  <w:vAlign w:val="center"/>
                </w:tcPr>
                <w:p w14:paraId="0C6A6489">
                  <w:pPr>
                    <w:jc w:val="center"/>
                    <w:rPr>
                      <w:rFonts w:eastAsia="宋体"/>
                      <w:sz w:val="21"/>
                      <w:szCs w:val="21"/>
                      <w:u w:val="none"/>
                    </w:rPr>
                  </w:pPr>
                  <w:r>
                    <w:rPr>
                      <w:rFonts w:hint="eastAsia" w:eastAsia="宋体"/>
                      <w:sz w:val="21"/>
                      <w:szCs w:val="21"/>
                      <w:u w:val="none"/>
                    </w:rPr>
                    <w:t>3</w:t>
                  </w:r>
                </w:p>
              </w:tc>
              <w:tc>
                <w:tcPr>
                  <w:tcW w:w="970" w:type="pct"/>
                  <w:noWrap w:val="0"/>
                  <w:vAlign w:val="center"/>
                </w:tcPr>
                <w:p w14:paraId="4C692F32">
                  <w:pPr>
                    <w:jc w:val="center"/>
                    <w:rPr>
                      <w:rFonts w:eastAsia="宋体"/>
                      <w:sz w:val="21"/>
                      <w:szCs w:val="21"/>
                      <w:u w:val="none"/>
                    </w:rPr>
                  </w:pPr>
                  <w:r>
                    <w:rPr>
                      <w:rFonts w:hint="eastAsia" w:eastAsia="宋体"/>
                      <w:sz w:val="21"/>
                      <w:szCs w:val="21"/>
                      <w:u w:val="none"/>
                    </w:rPr>
                    <w:t>氮氧化物</w:t>
                  </w:r>
                </w:p>
              </w:tc>
              <w:tc>
                <w:tcPr>
                  <w:tcW w:w="1098" w:type="pct"/>
                  <w:noWrap w:val="0"/>
                  <w:vAlign w:val="center"/>
                </w:tcPr>
                <w:p w14:paraId="2FE7129F">
                  <w:pPr>
                    <w:jc w:val="center"/>
                    <w:rPr>
                      <w:rFonts w:eastAsia="宋体"/>
                      <w:sz w:val="21"/>
                      <w:szCs w:val="21"/>
                      <w:u w:val="none"/>
                    </w:rPr>
                  </w:pPr>
                  <w:r>
                    <w:rPr>
                      <w:rFonts w:hint="eastAsia" w:eastAsia="宋体"/>
                      <w:sz w:val="21"/>
                      <w:szCs w:val="21"/>
                      <w:u w:val="none"/>
                    </w:rPr>
                    <w:t>585.353</w:t>
                  </w:r>
                </w:p>
              </w:tc>
              <w:tc>
                <w:tcPr>
                  <w:tcW w:w="1033" w:type="pct"/>
                  <w:noWrap w:val="0"/>
                  <w:vAlign w:val="center"/>
                </w:tcPr>
                <w:p w14:paraId="0F405C5D">
                  <w:pPr>
                    <w:jc w:val="center"/>
                    <w:rPr>
                      <w:rFonts w:hint="eastAsia" w:eastAsia="宋体"/>
                      <w:sz w:val="21"/>
                      <w:szCs w:val="21"/>
                      <w:u w:val="none"/>
                    </w:rPr>
                  </w:pPr>
                  <w:r>
                    <w:rPr>
                      <w:rFonts w:hint="eastAsia" w:eastAsia="宋体"/>
                      <w:sz w:val="21"/>
                      <w:szCs w:val="21"/>
                      <w:u w:val="none"/>
                    </w:rPr>
                    <w:t>5</w:t>
                  </w:r>
                  <w:r>
                    <w:rPr>
                      <w:rFonts w:eastAsia="宋体"/>
                      <w:sz w:val="21"/>
                      <w:szCs w:val="21"/>
                      <w:u w:val="none"/>
                    </w:rPr>
                    <w:t>85.</w:t>
                  </w:r>
                  <w:r>
                    <w:rPr>
                      <w:rFonts w:hint="eastAsia" w:eastAsia="宋体"/>
                      <w:sz w:val="21"/>
                      <w:szCs w:val="21"/>
                      <w:u w:val="none"/>
                    </w:rPr>
                    <w:t>49</w:t>
                  </w:r>
                </w:p>
              </w:tc>
              <w:tc>
                <w:tcPr>
                  <w:tcW w:w="1042" w:type="pct"/>
                  <w:noWrap w:val="0"/>
                  <w:vAlign w:val="center"/>
                </w:tcPr>
                <w:p w14:paraId="35643517">
                  <w:pPr>
                    <w:jc w:val="center"/>
                    <w:rPr>
                      <w:rFonts w:eastAsia="宋体"/>
                      <w:sz w:val="21"/>
                      <w:szCs w:val="21"/>
                      <w:u w:val="none"/>
                    </w:rPr>
                  </w:pPr>
                  <w:r>
                    <w:rPr>
                      <w:rFonts w:hint="eastAsia" w:eastAsia="宋体"/>
                      <w:sz w:val="21"/>
                      <w:szCs w:val="21"/>
                      <w:u w:val="none"/>
                    </w:rPr>
                    <w:t>/</w:t>
                  </w:r>
                </w:p>
              </w:tc>
            </w:tr>
            <w:tr w14:paraId="032F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54F1E03A">
                  <w:pPr>
                    <w:jc w:val="center"/>
                    <w:rPr>
                      <w:rFonts w:eastAsia="宋体"/>
                      <w:sz w:val="21"/>
                      <w:szCs w:val="21"/>
                      <w:u w:val="none"/>
                    </w:rPr>
                  </w:pPr>
                </w:p>
              </w:tc>
              <w:tc>
                <w:tcPr>
                  <w:tcW w:w="434" w:type="pct"/>
                  <w:noWrap w:val="0"/>
                  <w:vAlign w:val="center"/>
                </w:tcPr>
                <w:p w14:paraId="4C9007C2">
                  <w:pPr>
                    <w:jc w:val="center"/>
                    <w:rPr>
                      <w:rFonts w:hint="eastAsia" w:eastAsia="宋体"/>
                      <w:sz w:val="21"/>
                      <w:szCs w:val="21"/>
                      <w:u w:val="none"/>
                    </w:rPr>
                  </w:pPr>
                  <w:r>
                    <w:rPr>
                      <w:rFonts w:hint="eastAsia" w:eastAsia="宋体"/>
                      <w:sz w:val="21"/>
                      <w:szCs w:val="21"/>
                      <w:u w:val="none"/>
                    </w:rPr>
                    <w:t>3</w:t>
                  </w:r>
                </w:p>
              </w:tc>
              <w:tc>
                <w:tcPr>
                  <w:tcW w:w="970" w:type="pct"/>
                  <w:noWrap w:val="0"/>
                  <w:vAlign w:val="center"/>
                </w:tcPr>
                <w:p w14:paraId="26BA5DD4">
                  <w:pPr>
                    <w:jc w:val="center"/>
                    <w:rPr>
                      <w:rFonts w:hint="eastAsia" w:eastAsia="宋体"/>
                      <w:sz w:val="21"/>
                      <w:szCs w:val="21"/>
                      <w:u w:val="none"/>
                    </w:rPr>
                  </w:pPr>
                  <w:r>
                    <w:rPr>
                      <w:rFonts w:hint="eastAsia" w:eastAsia="宋体"/>
                      <w:sz w:val="21"/>
                      <w:szCs w:val="21"/>
                      <w:u w:val="none"/>
                    </w:rPr>
                    <w:t>甲醇</w:t>
                  </w:r>
                </w:p>
              </w:tc>
              <w:tc>
                <w:tcPr>
                  <w:tcW w:w="1098" w:type="pct"/>
                  <w:noWrap w:val="0"/>
                  <w:vAlign w:val="center"/>
                </w:tcPr>
                <w:p w14:paraId="61148E40">
                  <w:pPr>
                    <w:jc w:val="center"/>
                    <w:rPr>
                      <w:rFonts w:hint="eastAsia" w:eastAsia="宋体"/>
                      <w:sz w:val="21"/>
                      <w:szCs w:val="21"/>
                      <w:u w:val="none"/>
                    </w:rPr>
                  </w:pPr>
                  <w:r>
                    <w:rPr>
                      <w:rFonts w:hint="eastAsia" w:eastAsia="宋体"/>
                      <w:bCs/>
                      <w:sz w:val="21"/>
                      <w:u w:val="none"/>
                    </w:rPr>
                    <w:t>75.517</w:t>
                  </w:r>
                </w:p>
              </w:tc>
              <w:tc>
                <w:tcPr>
                  <w:tcW w:w="1033" w:type="pct"/>
                  <w:noWrap w:val="0"/>
                  <w:vAlign w:val="center"/>
                </w:tcPr>
                <w:p w14:paraId="7E649C37">
                  <w:pPr>
                    <w:jc w:val="center"/>
                    <w:rPr>
                      <w:rFonts w:hint="eastAsia" w:eastAsia="宋体"/>
                      <w:sz w:val="21"/>
                      <w:szCs w:val="21"/>
                      <w:u w:val="none"/>
                    </w:rPr>
                  </w:pPr>
                  <w:r>
                    <w:rPr>
                      <w:rFonts w:hint="eastAsia" w:eastAsia="宋体"/>
                      <w:sz w:val="21"/>
                      <w:szCs w:val="21"/>
                      <w:u w:val="none"/>
                    </w:rPr>
                    <w:t>/</w:t>
                  </w:r>
                </w:p>
              </w:tc>
              <w:tc>
                <w:tcPr>
                  <w:tcW w:w="1042" w:type="pct"/>
                  <w:noWrap w:val="0"/>
                  <w:vAlign w:val="center"/>
                </w:tcPr>
                <w:p w14:paraId="5AA41F3D">
                  <w:pPr>
                    <w:jc w:val="center"/>
                    <w:rPr>
                      <w:rFonts w:hint="eastAsia" w:eastAsia="宋体"/>
                      <w:sz w:val="21"/>
                      <w:szCs w:val="21"/>
                      <w:u w:val="none"/>
                    </w:rPr>
                  </w:pPr>
                  <w:r>
                    <w:rPr>
                      <w:rFonts w:hint="eastAsia" w:eastAsia="宋体"/>
                      <w:sz w:val="21"/>
                      <w:szCs w:val="21"/>
                      <w:u w:val="none"/>
                    </w:rPr>
                    <w:t>/</w:t>
                  </w:r>
                </w:p>
              </w:tc>
            </w:tr>
            <w:tr w14:paraId="0178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1FA27AD1">
                  <w:pPr>
                    <w:jc w:val="center"/>
                    <w:rPr>
                      <w:rFonts w:eastAsia="宋体"/>
                      <w:sz w:val="21"/>
                      <w:szCs w:val="21"/>
                      <w:u w:val="none"/>
                    </w:rPr>
                  </w:pPr>
                </w:p>
              </w:tc>
              <w:tc>
                <w:tcPr>
                  <w:tcW w:w="434" w:type="pct"/>
                  <w:noWrap w:val="0"/>
                  <w:vAlign w:val="center"/>
                </w:tcPr>
                <w:p w14:paraId="720E8142">
                  <w:pPr>
                    <w:jc w:val="center"/>
                    <w:rPr>
                      <w:rFonts w:eastAsia="宋体"/>
                      <w:sz w:val="21"/>
                      <w:szCs w:val="21"/>
                      <w:u w:val="none"/>
                    </w:rPr>
                  </w:pPr>
                  <w:r>
                    <w:rPr>
                      <w:rFonts w:hint="eastAsia" w:eastAsia="宋体"/>
                      <w:sz w:val="21"/>
                      <w:szCs w:val="21"/>
                      <w:u w:val="none"/>
                    </w:rPr>
                    <w:t>4</w:t>
                  </w:r>
                </w:p>
              </w:tc>
              <w:tc>
                <w:tcPr>
                  <w:tcW w:w="970" w:type="pct"/>
                  <w:noWrap w:val="0"/>
                  <w:vAlign w:val="center"/>
                </w:tcPr>
                <w:p w14:paraId="2625486F">
                  <w:pPr>
                    <w:jc w:val="center"/>
                    <w:rPr>
                      <w:rFonts w:eastAsia="宋体"/>
                      <w:sz w:val="21"/>
                      <w:szCs w:val="21"/>
                      <w:u w:val="none"/>
                    </w:rPr>
                  </w:pPr>
                  <w:r>
                    <w:rPr>
                      <w:rFonts w:hint="eastAsia" w:eastAsia="宋体"/>
                      <w:sz w:val="21"/>
                      <w:szCs w:val="21"/>
                      <w:u w:val="none"/>
                    </w:rPr>
                    <w:t>挥发性有机物</w:t>
                  </w:r>
                </w:p>
              </w:tc>
              <w:tc>
                <w:tcPr>
                  <w:tcW w:w="1098" w:type="pct"/>
                  <w:noWrap w:val="0"/>
                  <w:vAlign w:val="center"/>
                </w:tcPr>
                <w:p w14:paraId="20877396">
                  <w:pPr>
                    <w:jc w:val="center"/>
                    <w:rPr>
                      <w:rFonts w:hint="eastAsia" w:eastAsia="宋体"/>
                      <w:sz w:val="21"/>
                      <w:szCs w:val="21"/>
                      <w:u w:val="none"/>
                    </w:rPr>
                  </w:pPr>
                  <w:r>
                    <w:rPr>
                      <w:rFonts w:hint="eastAsia" w:eastAsia="宋体"/>
                      <w:sz w:val="21"/>
                      <w:szCs w:val="21"/>
                      <w:u w:val="none"/>
                    </w:rPr>
                    <w:t>346.921</w:t>
                  </w:r>
                </w:p>
              </w:tc>
              <w:tc>
                <w:tcPr>
                  <w:tcW w:w="1033" w:type="pct"/>
                  <w:noWrap w:val="0"/>
                  <w:vAlign w:val="center"/>
                </w:tcPr>
                <w:p w14:paraId="756E8565">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577FA500">
                  <w:pPr>
                    <w:jc w:val="center"/>
                    <w:rPr>
                      <w:rFonts w:eastAsia="宋体"/>
                      <w:sz w:val="21"/>
                      <w:szCs w:val="21"/>
                      <w:u w:val="none"/>
                    </w:rPr>
                  </w:pPr>
                  <w:r>
                    <w:rPr>
                      <w:rFonts w:hint="eastAsia" w:eastAsia="宋体"/>
                      <w:sz w:val="21"/>
                      <w:szCs w:val="21"/>
                      <w:u w:val="none"/>
                    </w:rPr>
                    <w:t>其中119.107为无组织排放</w:t>
                  </w:r>
                </w:p>
              </w:tc>
            </w:tr>
            <w:tr w14:paraId="2A2B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noWrap w:val="0"/>
                  <w:vAlign w:val="center"/>
                </w:tcPr>
                <w:p w14:paraId="5A1EB43B">
                  <w:pPr>
                    <w:jc w:val="center"/>
                    <w:rPr>
                      <w:rFonts w:eastAsia="宋体"/>
                      <w:sz w:val="21"/>
                      <w:szCs w:val="21"/>
                      <w:u w:val="none"/>
                    </w:rPr>
                  </w:pPr>
                  <w:r>
                    <w:rPr>
                      <w:rFonts w:hint="eastAsia" w:eastAsia="宋体"/>
                      <w:sz w:val="21"/>
                      <w:szCs w:val="21"/>
                      <w:u w:val="none"/>
                    </w:rPr>
                    <w:t>废水</w:t>
                  </w:r>
                </w:p>
              </w:tc>
              <w:tc>
                <w:tcPr>
                  <w:tcW w:w="434" w:type="pct"/>
                  <w:noWrap w:val="0"/>
                  <w:vAlign w:val="center"/>
                </w:tcPr>
                <w:p w14:paraId="5720A806">
                  <w:pPr>
                    <w:pStyle w:val="80"/>
                    <w:widowControl/>
                    <w:numPr>
                      <w:ilvl w:val="0"/>
                      <w:numId w:val="4"/>
                    </w:numPr>
                    <w:adjustRightInd w:val="0"/>
                    <w:snapToGrid w:val="0"/>
                    <w:spacing w:before="120" w:after="120"/>
                    <w:ind w:firstLineChars="0"/>
                    <w:jc w:val="center"/>
                    <w:rPr>
                      <w:rFonts w:ascii="Times New Roman" w:hAnsi="Times New Roman"/>
                      <w:szCs w:val="21"/>
                      <w:u w:val="none"/>
                    </w:rPr>
                  </w:pPr>
                </w:p>
              </w:tc>
              <w:tc>
                <w:tcPr>
                  <w:tcW w:w="970" w:type="pct"/>
                  <w:noWrap w:val="0"/>
                  <w:vAlign w:val="center"/>
                </w:tcPr>
                <w:p w14:paraId="32CE8497">
                  <w:pPr>
                    <w:jc w:val="center"/>
                    <w:rPr>
                      <w:rFonts w:eastAsia="宋体"/>
                      <w:sz w:val="21"/>
                      <w:szCs w:val="21"/>
                      <w:u w:val="none"/>
                    </w:rPr>
                  </w:pPr>
                  <w:r>
                    <w:rPr>
                      <w:rFonts w:hint="eastAsia" w:eastAsia="宋体"/>
                      <w:sz w:val="21"/>
                      <w:szCs w:val="21"/>
                      <w:u w:val="none"/>
                    </w:rPr>
                    <w:t>CODcr</w:t>
                  </w:r>
                </w:p>
              </w:tc>
              <w:tc>
                <w:tcPr>
                  <w:tcW w:w="1098" w:type="pct"/>
                  <w:noWrap w:val="0"/>
                  <w:vAlign w:val="center"/>
                </w:tcPr>
                <w:p w14:paraId="036E6A95">
                  <w:pPr>
                    <w:jc w:val="center"/>
                    <w:rPr>
                      <w:rFonts w:eastAsia="宋体"/>
                      <w:sz w:val="21"/>
                      <w:szCs w:val="21"/>
                      <w:u w:val="none"/>
                    </w:rPr>
                  </w:pPr>
                  <w:r>
                    <w:rPr>
                      <w:rFonts w:hint="eastAsia" w:eastAsia="宋体"/>
                      <w:sz w:val="21"/>
                      <w:szCs w:val="21"/>
                      <w:u w:val="none"/>
                    </w:rPr>
                    <w:t>226.44</w:t>
                  </w:r>
                </w:p>
              </w:tc>
              <w:tc>
                <w:tcPr>
                  <w:tcW w:w="1033" w:type="pct"/>
                  <w:noWrap w:val="0"/>
                  <w:vAlign w:val="center"/>
                </w:tcPr>
                <w:p w14:paraId="3E6C87C8">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207CAEF8">
                  <w:pPr>
                    <w:jc w:val="center"/>
                    <w:rPr>
                      <w:rFonts w:eastAsia="宋体"/>
                      <w:sz w:val="21"/>
                      <w:szCs w:val="21"/>
                      <w:u w:val="none"/>
                    </w:rPr>
                  </w:pPr>
                  <w:r>
                    <w:rPr>
                      <w:rFonts w:hint="eastAsia" w:eastAsia="宋体"/>
                      <w:sz w:val="21"/>
                      <w:szCs w:val="21"/>
                      <w:u w:val="none"/>
                    </w:rPr>
                    <w:t>/</w:t>
                  </w:r>
                </w:p>
              </w:tc>
            </w:tr>
            <w:tr w14:paraId="1435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2A0C5ED2">
                  <w:pPr>
                    <w:jc w:val="center"/>
                    <w:rPr>
                      <w:rFonts w:eastAsia="宋体"/>
                      <w:sz w:val="21"/>
                      <w:szCs w:val="21"/>
                      <w:u w:val="none"/>
                    </w:rPr>
                  </w:pPr>
                </w:p>
              </w:tc>
              <w:tc>
                <w:tcPr>
                  <w:tcW w:w="434" w:type="pct"/>
                  <w:noWrap w:val="0"/>
                  <w:vAlign w:val="center"/>
                </w:tcPr>
                <w:p w14:paraId="4FA0264C">
                  <w:pPr>
                    <w:pStyle w:val="80"/>
                    <w:widowControl/>
                    <w:numPr>
                      <w:ilvl w:val="0"/>
                      <w:numId w:val="4"/>
                    </w:numPr>
                    <w:adjustRightInd w:val="0"/>
                    <w:snapToGrid w:val="0"/>
                    <w:spacing w:before="120" w:after="120"/>
                    <w:ind w:firstLineChars="0"/>
                    <w:jc w:val="center"/>
                    <w:rPr>
                      <w:rFonts w:ascii="Times New Roman" w:hAnsi="Times New Roman"/>
                      <w:szCs w:val="21"/>
                      <w:u w:val="none"/>
                    </w:rPr>
                  </w:pPr>
                </w:p>
              </w:tc>
              <w:tc>
                <w:tcPr>
                  <w:tcW w:w="970" w:type="pct"/>
                  <w:noWrap w:val="0"/>
                  <w:vAlign w:val="center"/>
                </w:tcPr>
                <w:p w14:paraId="098790D9">
                  <w:pPr>
                    <w:jc w:val="center"/>
                    <w:rPr>
                      <w:rFonts w:eastAsia="宋体"/>
                      <w:sz w:val="21"/>
                      <w:szCs w:val="21"/>
                      <w:u w:val="none"/>
                    </w:rPr>
                  </w:pPr>
                  <w:r>
                    <w:rPr>
                      <w:rFonts w:hint="eastAsia" w:eastAsia="宋体"/>
                      <w:sz w:val="21"/>
                      <w:szCs w:val="21"/>
                      <w:u w:val="none"/>
                    </w:rPr>
                    <w:t>氨氮</w:t>
                  </w:r>
                </w:p>
              </w:tc>
              <w:tc>
                <w:tcPr>
                  <w:tcW w:w="1098" w:type="pct"/>
                  <w:noWrap w:val="0"/>
                  <w:vAlign w:val="center"/>
                </w:tcPr>
                <w:p w14:paraId="5FDD3DC0">
                  <w:pPr>
                    <w:jc w:val="center"/>
                    <w:rPr>
                      <w:rFonts w:eastAsia="宋体"/>
                      <w:sz w:val="21"/>
                      <w:szCs w:val="21"/>
                      <w:u w:val="none"/>
                    </w:rPr>
                  </w:pPr>
                  <w:r>
                    <w:rPr>
                      <w:rFonts w:hint="eastAsia" w:eastAsia="宋体"/>
                      <w:sz w:val="21"/>
                      <w:szCs w:val="21"/>
                      <w:u w:val="none"/>
                    </w:rPr>
                    <w:t>2.163</w:t>
                  </w:r>
                </w:p>
              </w:tc>
              <w:tc>
                <w:tcPr>
                  <w:tcW w:w="1033" w:type="pct"/>
                  <w:noWrap w:val="0"/>
                  <w:vAlign w:val="center"/>
                </w:tcPr>
                <w:p w14:paraId="585CA009">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1F5AE2E8">
                  <w:pPr>
                    <w:jc w:val="center"/>
                    <w:rPr>
                      <w:rFonts w:eastAsia="宋体"/>
                      <w:sz w:val="21"/>
                      <w:szCs w:val="21"/>
                      <w:u w:val="none"/>
                    </w:rPr>
                  </w:pPr>
                  <w:r>
                    <w:rPr>
                      <w:rFonts w:hint="eastAsia" w:eastAsia="宋体"/>
                      <w:sz w:val="21"/>
                      <w:szCs w:val="21"/>
                      <w:u w:val="none"/>
                    </w:rPr>
                    <w:t>/</w:t>
                  </w:r>
                </w:p>
              </w:tc>
            </w:tr>
            <w:tr w14:paraId="5AC6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noWrap w:val="0"/>
                  <w:vAlign w:val="center"/>
                </w:tcPr>
                <w:p w14:paraId="19640B2D">
                  <w:pPr>
                    <w:jc w:val="center"/>
                    <w:rPr>
                      <w:rFonts w:eastAsia="宋体"/>
                      <w:sz w:val="21"/>
                      <w:szCs w:val="21"/>
                      <w:u w:val="none"/>
                    </w:rPr>
                  </w:pPr>
                  <w:r>
                    <w:rPr>
                      <w:rFonts w:hint="eastAsia" w:eastAsia="宋体"/>
                      <w:sz w:val="21"/>
                      <w:szCs w:val="21"/>
                      <w:u w:val="none"/>
                    </w:rPr>
                    <w:t>固废</w:t>
                  </w:r>
                </w:p>
              </w:tc>
              <w:tc>
                <w:tcPr>
                  <w:tcW w:w="434" w:type="pct"/>
                  <w:noWrap w:val="0"/>
                  <w:vAlign w:val="center"/>
                </w:tcPr>
                <w:p w14:paraId="48D6DE78">
                  <w:pPr>
                    <w:pStyle w:val="80"/>
                    <w:widowControl/>
                    <w:numPr>
                      <w:ilvl w:val="0"/>
                      <w:numId w:val="5"/>
                    </w:numPr>
                    <w:adjustRightInd w:val="0"/>
                    <w:snapToGrid w:val="0"/>
                    <w:spacing w:before="120" w:after="120"/>
                    <w:ind w:firstLineChars="0"/>
                    <w:jc w:val="center"/>
                    <w:rPr>
                      <w:rFonts w:ascii="Times New Roman" w:hAnsi="Times New Roman"/>
                      <w:szCs w:val="21"/>
                      <w:u w:val="none"/>
                    </w:rPr>
                  </w:pPr>
                </w:p>
              </w:tc>
              <w:tc>
                <w:tcPr>
                  <w:tcW w:w="970" w:type="pct"/>
                  <w:noWrap w:val="0"/>
                  <w:vAlign w:val="center"/>
                </w:tcPr>
                <w:p w14:paraId="680E20A4">
                  <w:pPr>
                    <w:jc w:val="center"/>
                    <w:rPr>
                      <w:rFonts w:eastAsia="宋体"/>
                      <w:sz w:val="21"/>
                      <w:szCs w:val="21"/>
                      <w:u w:val="none"/>
                    </w:rPr>
                  </w:pPr>
                  <w:r>
                    <w:rPr>
                      <w:rFonts w:hint="eastAsia" w:eastAsia="宋体"/>
                      <w:sz w:val="21"/>
                      <w:szCs w:val="21"/>
                      <w:u w:val="none"/>
                    </w:rPr>
                    <w:t>一般工业固废</w:t>
                  </w:r>
                </w:p>
              </w:tc>
              <w:tc>
                <w:tcPr>
                  <w:tcW w:w="1098" w:type="pct"/>
                  <w:noWrap w:val="0"/>
                  <w:vAlign w:val="center"/>
                </w:tcPr>
                <w:p w14:paraId="159F34D2">
                  <w:pPr>
                    <w:jc w:val="center"/>
                    <w:rPr>
                      <w:rFonts w:hint="default" w:eastAsia="宋体"/>
                      <w:sz w:val="21"/>
                      <w:szCs w:val="21"/>
                      <w:u w:val="none"/>
                      <w:lang w:val="en-US" w:eastAsia="zh-CN"/>
                    </w:rPr>
                  </w:pPr>
                  <w:r>
                    <w:rPr>
                      <w:rFonts w:hint="eastAsia"/>
                      <w:sz w:val="21"/>
                      <w:szCs w:val="21"/>
                      <w:u w:val="none"/>
                      <w:lang w:val="en-US" w:eastAsia="zh-CN"/>
                    </w:rPr>
                    <w:t>369766</w:t>
                  </w:r>
                </w:p>
              </w:tc>
              <w:tc>
                <w:tcPr>
                  <w:tcW w:w="1033" w:type="pct"/>
                  <w:noWrap w:val="0"/>
                  <w:vAlign w:val="center"/>
                </w:tcPr>
                <w:p w14:paraId="24083C5B">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7B3178F2">
                  <w:pPr>
                    <w:jc w:val="center"/>
                    <w:rPr>
                      <w:rFonts w:eastAsia="宋体"/>
                      <w:sz w:val="21"/>
                      <w:szCs w:val="21"/>
                      <w:u w:val="none"/>
                    </w:rPr>
                  </w:pPr>
                  <w:r>
                    <w:rPr>
                      <w:rFonts w:hint="eastAsia" w:eastAsia="宋体"/>
                      <w:sz w:val="21"/>
                      <w:szCs w:val="21"/>
                      <w:u w:val="none"/>
                    </w:rPr>
                    <w:t>产生量</w:t>
                  </w:r>
                </w:p>
              </w:tc>
            </w:tr>
            <w:tr w14:paraId="36A0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6BA796DD">
                  <w:pPr>
                    <w:jc w:val="center"/>
                    <w:rPr>
                      <w:rFonts w:eastAsia="宋体"/>
                      <w:sz w:val="21"/>
                      <w:szCs w:val="21"/>
                      <w:u w:val="none"/>
                    </w:rPr>
                  </w:pPr>
                </w:p>
              </w:tc>
              <w:tc>
                <w:tcPr>
                  <w:tcW w:w="434" w:type="pct"/>
                  <w:noWrap w:val="0"/>
                  <w:vAlign w:val="center"/>
                </w:tcPr>
                <w:p w14:paraId="4C1F9D47">
                  <w:pPr>
                    <w:pStyle w:val="80"/>
                    <w:widowControl/>
                    <w:numPr>
                      <w:ilvl w:val="0"/>
                      <w:numId w:val="5"/>
                    </w:numPr>
                    <w:adjustRightInd w:val="0"/>
                    <w:snapToGrid w:val="0"/>
                    <w:spacing w:before="120" w:after="120"/>
                    <w:ind w:firstLineChars="0"/>
                    <w:jc w:val="center"/>
                    <w:rPr>
                      <w:rFonts w:ascii="Times New Roman" w:hAnsi="Times New Roman"/>
                      <w:szCs w:val="21"/>
                      <w:u w:val="none"/>
                    </w:rPr>
                  </w:pPr>
                </w:p>
              </w:tc>
              <w:tc>
                <w:tcPr>
                  <w:tcW w:w="970" w:type="pct"/>
                  <w:noWrap w:val="0"/>
                  <w:vAlign w:val="center"/>
                </w:tcPr>
                <w:p w14:paraId="0893952A">
                  <w:pPr>
                    <w:jc w:val="center"/>
                    <w:rPr>
                      <w:rFonts w:eastAsia="宋体"/>
                      <w:sz w:val="21"/>
                      <w:szCs w:val="21"/>
                      <w:u w:val="none"/>
                    </w:rPr>
                  </w:pPr>
                  <w:r>
                    <w:rPr>
                      <w:rFonts w:hint="eastAsia" w:eastAsia="宋体"/>
                      <w:sz w:val="21"/>
                      <w:szCs w:val="21"/>
                      <w:u w:val="none"/>
                    </w:rPr>
                    <w:t>危险废物</w:t>
                  </w:r>
                </w:p>
              </w:tc>
              <w:tc>
                <w:tcPr>
                  <w:tcW w:w="1098" w:type="pct"/>
                  <w:noWrap w:val="0"/>
                  <w:vAlign w:val="center"/>
                </w:tcPr>
                <w:p w14:paraId="27A0C860">
                  <w:pPr>
                    <w:jc w:val="center"/>
                    <w:rPr>
                      <w:rFonts w:hint="default" w:eastAsia="宋体"/>
                      <w:sz w:val="21"/>
                      <w:szCs w:val="21"/>
                      <w:u w:val="none"/>
                      <w:lang w:val="en-US" w:eastAsia="zh-CN"/>
                    </w:rPr>
                  </w:pPr>
                  <w:r>
                    <w:rPr>
                      <w:rFonts w:hint="eastAsia"/>
                      <w:sz w:val="21"/>
                      <w:szCs w:val="21"/>
                      <w:u w:val="none"/>
                      <w:lang w:val="en-US" w:eastAsia="zh-CN"/>
                    </w:rPr>
                    <w:t>871.59802</w:t>
                  </w:r>
                </w:p>
              </w:tc>
              <w:tc>
                <w:tcPr>
                  <w:tcW w:w="1033" w:type="pct"/>
                  <w:noWrap w:val="0"/>
                  <w:vAlign w:val="center"/>
                </w:tcPr>
                <w:p w14:paraId="3C3021AC">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55E87020">
                  <w:pPr>
                    <w:jc w:val="center"/>
                    <w:rPr>
                      <w:rFonts w:eastAsia="宋体"/>
                      <w:sz w:val="21"/>
                      <w:szCs w:val="21"/>
                      <w:u w:val="none"/>
                    </w:rPr>
                  </w:pPr>
                  <w:r>
                    <w:rPr>
                      <w:rFonts w:hint="eastAsia" w:eastAsia="宋体"/>
                      <w:sz w:val="21"/>
                      <w:szCs w:val="21"/>
                      <w:u w:val="none"/>
                    </w:rPr>
                    <w:t>产生量</w:t>
                  </w:r>
                </w:p>
              </w:tc>
            </w:tr>
            <w:tr w14:paraId="40EA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noWrap w:val="0"/>
                  <w:vAlign w:val="center"/>
                </w:tcPr>
                <w:p w14:paraId="4D4DCAE3">
                  <w:pPr>
                    <w:jc w:val="center"/>
                    <w:rPr>
                      <w:rFonts w:eastAsia="宋体"/>
                      <w:sz w:val="21"/>
                      <w:szCs w:val="21"/>
                      <w:u w:val="none"/>
                    </w:rPr>
                  </w:pPr>
                </w:p>
              </w:tc>
              <w:tc>
                <w:tcPr>
                  <w:tcW w:w="434" w:type="pct"/>
                  <w:noWrap w:val="0"/>
                  <w:vAlign w:val="center"/>
                </w:tcPr>
                <w:p w14:paraId="284A36F7">
                  <w:pPr>
                    <w:pStyle w:val="80"/>
                    <w:widowControl/>
                    <w:numPr>
                      <w:ilvl w:val="0"/>
                      <w:numId w:val="5"/>
                    </w:numPr>
                    <w:adjustRightInd w:val="0"/>
                    <w:snapToGrid w:val="0"/>
                    <w:spacing w:before="120" w:after="120"/>
                    <w:ind w:firstLineChars="0"/>
                    <w:jc w:val="center"/>
                    <w:rPr>
                      <w:rFonts w:ascii="Times New Roman" w:hAnsi="Times New Roman"/>
                      <w:szCs w:val="21"/>
                      <w:u w:val="none"/>
                    </w:rPr>
                  </w:pPr>
                </w:p>
              </w:tc>
              <w:tc>
                <w:tcPr>
                  <w:tcW w:w="970" w:type="pct"/>
                  <w:noWrap w:val="0"/>
                  <w:vAlign w:val="center"/>
                </w:tcPr>
                <w:p w14:paraId="3FAD1F0D">
                  <w:pPr>
                    <w:jc w:val="center"/>
                    <w:rPr>
                      <w:rFonts w:eastAsia="宋体"/>
                      <w:sz w:val="21"/>
                      <w:szCs w:val="21"/>
                      <w:u w:val="none"/>
                    </w:rPr>
                  </w:pPr>
                  <w:r>
                    <w:rPr>
                      <w:rFonts w:hint="eastAsia" w:eastAsia="宋体"/>
                      <w:sz w:val="21"/>
                      <w:szCs w:val="21"/>
                      <w:u w:val="none"/>
                    </w:rPr>
                    <w:t>生活垃圾</w:t>
                  </w:r>
                </w:p>
              </w:tc>
              <w:tc>
                <w:tcPr>
                  <w:tcW w:w="1098" w:type="pct"/>
                  <w:noWrap w:val="0"/>
                  <w:vAlign w:val="center"/>
                </w:tcPr>
                <w:p w14:paraId="3E02F40E">
                  <w:pPr>
                    <w:jc w:val="center"/>
                    <w:rPr>
                      <w:rFonts w:eastAsia="宋体"/>
                      <w:sz w:val="21"/>
                      <w:szCs w:val="21"/>
                      <w:u w:val="none"/>
                    </w:rPr>
                  </w:pPr>
                  <w:r>
                    <w:rPr>
                      <w:rFonts w:hint="eastAsia"/>
                      <w:sz w:val="21"/>
                      <w:szCs w:val="21"/>
                      <w:u w:val="none"/>
                      <w:lang w:val="en-US" w:eastAsia="zh-CN"/>
                    </w:rPr>
                    <w:t>1</w:t>
                  </w:r>
                  <w:r>
                    <w:rPr>
                      <w:rFonts w:hint="eastAsia" w:eastAsia="宋体"/>
                      <w:sz w:val="21"/>
                      <w:szCs w:val="21"/>
                      <w:u w:val="none"/>
                    </w:rPr>
                    <w:t>75</w:t>
                  </w:r>
                </w:p>
              </w:tc>
              <w:tc>
                <w:tcPr>
                  <w:tcW w:w="1033" w:type="pct"/>
                  <w:noWrap w:val="0"/>
                  <w:vAlign w:val="center"/>
                </w:tcPr>
                <w:p w14:paraId="08CE362F">
                  <w:pPr>
                    <w:jc w:val="center"/>
                    <w:rPr>
                      <w:rFonts w:eastAsia="宋体"/>
                      <w:sz w:val="21"/>
                      <w:szCs w:val="21"/>
                      <w:u w:val="none"/>
                    </w:rPr>
                  </w:pPr>
                  <w:r>
                    <w:rPr>
                      <w:rFonts w:hint="eastAsia" w:eastAsia="宋体"/>
                      <w:sz w:val="21"/>
                      <w:szCs w:val="21"/>
                      <w:u w:val="none"/>
                    </w:rPr>
                    <w:t>/</w:t>
                  </w:r>
                </w:p>
              </w:tc>
              <w:tc>
                <w:tcPr>
                  <w:tcW w:w="1042" w:type="pct"/>
                  <w:noWrap w:val="0"/>
                  <w:vAlign w:val="center"/>
                </w:tcPr>
                <w:p w14:paraId="2E7B1A5B">
                  <w:pPr>
                    <w:jc w:val="center"/>
                    <w:rPr>
                      <w:rFonts w:eastAsia="宋体"/>
                      <w:sz w:val="21"/>
                      <w:szCs w:val="21"/>
                      <w:u w:val="none"/>
                    </w:rPr>
                  </w:pPr>
                  <w:r>
                    <w:rPr>
                      <w:rFonts w:hint="eastAsia" w:eastAsia="宋体"/>
                      <w:sz w:val="21"/>
                      <w:szCs w:val="21"/>
                      <w:u w:val="none"/>
                    </w:rPr>
                    <w:t>按照人数估算</w:t>
                  </w:r>
                </w:p>
              </w:tc>
            </w:tr>
          </w:tbl>
          <w:p w14:paraId="00739347">
            <w:pPr>
              <w:spacing w:line="500" w:lineRule="atLeast"/>
              <w:ind w:firstLine="480" w:firstLineChars="200"/>
              <w:jc w:val="left"/>
              <w:rPr>
                <w:rFonts w:hint="eastAsia"/>
                <w:b w:val="0"/>
                <w:bCs/>
                <w:sz w:val="24"/>
                <w:lang w:eastAsia="zh-CN"/>
              </w:rPr>
            </w:pPr>
            <w:r>
              <w:rPr>
                <w:rFonts w:hint="eastAsia"/>
                <w:b w:val="0"/>
                <w:bCs/>
                <w:sz w:val="24"/>
                <w:lang w:eastAsia="zh-CN"/>
              </w:rPr>
              <w:t>根据表</w:t>
            </w:r>
            <w:r>
              <w:rPr>
                <w:rFonts w:hint="eastAsia"/>
                <w:b w:val="0"/>
                <w:bCs/>
                <w:sz w:val="24"/>
                <w:lang w:val="en-US" w:eastAsia="zh-CN"/>
              </w:rPr>
              <w:t>2</w:t>
            </w:r>
            <w:r>
              <w:rPr>
                <w:rFonts w:hint="eastAsia"/>
                <w:b w:val="0"/>
                <w:bCs/>
                <w:sz w:val="24"/>
                <w:lang w:eastAsia="zh-CN"/>
              </w:rPr>
              <w:t>-</w:t>
            </w:r>
            <w:r>
              <w:rPr>
                <w:rFonts w:hint="eastAsia"/>
                <w:b w:val="0"/>
                <w:bCs/>
                <w:sz w:val="24"/>
                <w:lang w:val="en-US" w:eastAsia="zh-CN"/>
              </w:rPr>
              <w:t>26</w:t>
            </w:r>
            <w:r>
              <w:rPr>
                <w:rFonts w:hint="eastAsia"/>
                <w:b w:val="0"/>
                <w:bCs/>
                <w:sz w:val="24"/>
                <w:lang w:eastAsia="zh-CN"/>
              </w:rPr>
              <w:t>可知，项目排放的污染物未超过排污许可证的许可量。</w:t>
            </w:r>
          </w:p>
          <w:p w14:paraId="3FA37DE5">
            <w:pPr>
              <w:spacing w:line="500" w:lineRule="atLeast"/>
              <w:ind w:firstLine="480" w:firstLineChars="200"/>
              <w:jc w:val="left"/>
              <w:rPr>
                <w:rFonts w:hint="default"/>
                <w:b w:val="0"/>
                <w:bCs/>
                <w:sz w:val="24"/>
                <w:lang w:val="en-US" w:eastAsia="zh-CN"/>
              </w:rPr>
            </w:pPr>
            <w:r>
              <w:rPr>
                <w:rFonts w:hint="eastAsia"/>
                <w:b w:val="0"/>
                <w:bCs/>
                <w:sz w:val="24"/>
                <w:lang w:val="en-US" w:eastAsia="zh-CN"/>
              </w:rPr>
              <w:t>3、排污许可执行</w:t>
            </w:r>
          </w:p>
          <w:p w14:paraId="0A003EA6">
            <w:pPr>
              <w:spacing w:line="500" w:lineRule="atLeast"/>
              <w:ind w:firstLine="480" w:firstLineChars="200"/>
              <w:jc w:val="left"/>
              <w:rPr>
                <w:rFonts w:hint="eastAsia"/>
                <w:b w:val="0"/>
                <w:bCs/>
                <w:sz w:val="24"/>
                <w:lang w:eastAsia="zh-CN"/>
              </w:rPr>
            </w:pPr>
            <w:r>
              <w:rPr>
                <w:rFonts w:hint="eastAsia"/>
                <w:b w:val="0"/>
                <w:bCs/>
                <w:sz w:val="24"/>
                <w:lang w:eastAsia="zh-CN"/>
              </w:rPr>
              <w:t>目前，建设单位已按照排污许可证要求，完成以下工作</w:t>
            </w:r>
          </w:p>
          <w:p w14:paraId="3427B83C">
            <w:pPr>
              <w:spacing w:line="500" w:lineRule="atLeast"/>
              <w:ind w:firstLine="480" w:firstLineChars="200"/>
              <w:jc w:val="left"/>
              <w:rPr>
                <w:rFonts w:hint="eastAsia"/>
                <w:b w:val="0"/>
                <w:bCs/>
                <w:sz w:val="24"/>
                <w:lang w:eastAsia="zh-CN"/>
              </w:rPr>
            </w:pPr>
            <w:r>
              <w:rPr>
                <w:rFonts w:hint="eastAsia"/>
                <w:b w:val="0"/>
                <w:bCs/>
                <w:sz w:val="24"/>
                <w:lang w:eastAsia="zh-CN"/>
              </w:rPr>
              <w:t>（</w:t>
            </w:r>
            <w:r>
              <w:rPr>
                <w:rFonts w:hint="eastAsia"/>
                <w:b w:val="0"/>
                <w:bCs/>
                <w:sz w:val="24"/>
                <w:lang w:val="en-US" w:eastAsia="zh-CN"/>
              </w:rPr>
              <w:t>1</w:t>
            </w:r>
            <w:r>
              <w:rPr>
                <w:rFonts w:hint="eastAsia"/>
                <w:b w:val="0"/>
                <w:bCs/>
                <w:sz w:val="24"/>
                <w:lang w:eastAsia="zh-CN"/>
              </w:rPr>
              <w:t>）定期对各废水、废气排放口、地下水等进行监测，自行监测计划见表</w:t>
            </w:r>
            <w:r>
              <w:rPr>
                <w:rFonts w:hint="eastAsia"/>
                <w:b w:val="0"/>
                <w:bCs/>
                <w:sz w:val="24"/>
                <w:lang w:val="en-US" w:eastAsia="zh-CN"/>
              </w:rPr>
              <w:t>2</w:t>
            </w:r>
            <w:r>
              <w:rPr>
                <w:rFonts w:hint="eastAsia"/>
                <w:b w:val="0"/>
                <w:bCs/>
                <w:sz w:val="24"/>
                <w:lang w:eastAsia="zh-CN"/>
              </w:rPr>
              <w:t>-2</w:t>
            </w:r>
            <w:r>
              <w:rPr>
                <w:rFonts w:hint="eastAsia"/>
                <w:b w:val="0"/>
                <w:bCs/>
                <w:sz w:val="24"/>
                <w:lang w:val="en-US" w:eastAsia="zh-CN"/>
              </w:rPr>
              <w:t>7</w:t>
            </w:r>
            <w:r>
              <w:rPr>
                <w:rFonts w:hint="eastAsia"/>
                <w:b w:val="0"/>
                <w:bCs/>
                <w:sz w:val="24"/>
                <w:lang w:eastAsia="zh-CN"/>
              </w:rPr>
              <w:t>。</w:t>
            </w:r>
          </w:p>
          <w:p w14:paraId="04902B07">
            <w:pPr>
              <w:spacing w:line="500" w:lineRule="atLeast"/>
              <w:ind w:firstLine="480" w:firstLineChars="200"/>
              <w:jc w:val="left"/>
              <w:rPr>
                <w:rFonts w:hint="eastAsia"/>
                <w:b w:val="0"/>
                <w:bCs/>
                <w:sz w:val="24"/>
                <w:lang w:eastAsia="zh-CN"/>
              </w:rPr>
            </w:pPr>
            <w:r>
              <w:rPr>
                <w:rFonts w:hint="eastAsia"/>
                <w:b w:val="0"/>
                <w:bCs/>
                <w:sz w:val="24"/>
                <w:lang w:eastAsia="zh-CN"/>
              </w:rPr>
              <w:t>（</w:t>
            </w:r>
            <w:r>
              <w:rPr>
                <w:rFonts w:hint="eastAsia"/>
                <w:b w:val="0"/>
                <w:bCs/>
                <w:sz w:val="24"/>
                <w:lang w:val="en-US" w:eastAsia="zh-CN"/>
              </w:rPr>
              <w:t>2</w:t>
            </w:r>
            <w:r>
              <w:rPr>
                <w:rFonts w:hint="eastAsia"/>
                <w:b w:val="0"/>
                <w:bCs/>
                <w:sz w:val="24"/>
                <w:lang w:eastAsia="zh-CN"/>
              </w:rPr>
              <w:t>）建立完善的台账管理体系，以电子台账+纸质台账形式保存，保存期不少于5年。</w:t>
            </w:r>
          </w:p>
          <w:p w14:paraId="7D079B54">
            <w:pPr>
              <w:spacing w:line="500" w:lineRule="atLeast"/>
              <w:ind w:firstLine="480" w:firstLineChars="200"/>
              <w:jc w:val="left"/>
              <w:rPr>
                <w:rFonts w:hint="eastAsia"/>
                <w:b w:val="0"/>
                <w:bCs/>
                <w:sz w:val="24"/>
                <w:lang w:eastAsia="zh-CN"/>
              </w:rPr>
            </w:pPr>
            <w:r>
              <w:rPr>
                <w:rFonts w:hint="eastAsia"/>
                <w:b w:val="0"/>
                <w:bCs/>
                <w:sz w:val="24"/>
                <w:lang w:eastAsia="zh-CN"/>
              </w:rPr>
              <w:t>（</w:t>
            </w:r>
            <w:r>
              <w:rPr>
                <w:rFonts w:hint="eastAsia"/>
                <w:b w:val="0"/>
                <w:bCs/>
                <w:sz w:val="24"/>
                <w:lang w:val="en-US" w:eastAsia="zh-CN"/>
              </w:rPr>
              <w:t>3</w:t>
            </w:r>
            <w:r>
              <w:rPr>
                <w:rFonts w:hint="eastAsia"/>
                <w:b w:val="0"/>
                <w:bCs/>
                <w:sz w:val="24"/>
                <w:lang w:eastAsia="zh-CN"/>
              </w:rPr>
              <w:t>）按照完成执行报告。每年度按要求提交排污许可证执行（守法）年报；下一季度首月15日前提交实际排放情况及达标判定分析及污染防治设施运行情况超标排放或污染防治设施故障情况及采取的措施说明。</w:t>
            </w:r>
          </w:p>
          <w:p w14:paraId="4CB58CF2">
            <w:pPr>
              <w:spacing w:line="500" w:lineRule="atLeast"/>
              <w:ind w:firstLine="480" w:firstLineChars="200"/>
              <w:jc w:val="left"/>
              <w:rPr>
                <w:rFonts w:hint="eastAsia"/>
                <w:b w:val="0"/>
                <w:bCs/>
                <w:sz w:val="24"/>
                <w:lang w:eastAsia="zh-CN"/>
              </w:rPr>
            </w:pPr>
            <w:r>
              <w:rPr>
                <w:rFonts w:hint="eastAsia"/>
                <w:b w:val="0"/>
                <w:bCs/>
                <w:sz w:val="24"/>
                <w:lang w:eastAsia="zh-CN"/>
              </w:rPr>
              <w:t>（</w:t>
            </w:r>
            <w:r>
              <w:rPr>
                <w:rFonts w:hint="eastAsia"/>
                <w:b w:val="0"/>
                <w:bCs/>
                <w:sz w:val="24"/>
                <w:lang w:val="en-US" w:eastAsia="zh-CN"/>
              </w:rPr>
              <w:t>4</w:t>
            </w:r>
            <w:r>
              <w:rPr>
                <w:rFonts w:hint="eastAsia"/>
                <w:b w:val="0"/>
                <w:bCs/>
                <w:sz w:val="24"/>
                <w:lang w:eastAsia="zh-CN"/>
              </w:rPr>
              <w:t>）按要求将自行监测信息、基础信息、排污信息、防治污染设施的建设和运行情况、执行报告等内容的信息公开。</w:t>
            </w:r>
          </w:p>
          <w:p w14:paraId="05D075F8">
            <w:pPr>
              <w:spacing w:line="500" w:lineRule="atLeast"/>
              <w:ind w:firstLine="482" w:firstLineChars="200"/>
              <w:jc w:val="left"/>
              <w:rPr>
                <w:rFonts w:hint="default"/>
                <w:b w:val="0"/>
                <w:bCs/>
                <w:sz w:val="24"/>
                <w:lang w:val="en-US" w:eastAsia="zh-CN"/>
              </w:rPr>
            </w:pPr>
            <w:r>
              <w:rPr>
                <w:rFonts w:hint="eastAsia"/>
                <w:b/>
                <w:bCs w:val="0"/>
                <w:sz w:val="24"/>
                <w:lang w:val="en-US" w:eastAsia="zh-CN"/>
              </w:rPr>
              <w:t>6.4日常监测情况</w:t>
            </w:r>
          </w:p>
          <w:p w14:paraId="7E3B6AC9">
            <w:pPr>
              <w:spacing w:line="500" w:lineRule="atLeast"/>
              <w:ind w:firstLine="480" w:firstLineChars="200"/>
              <w:jc w:val="left"/>
              <w:rPr>
                <w:rFonts w:hint="eastAsia"/>
                <w:b w:val="0"/>
                <w:bCs/>
                <w:sz w:val="24"/>
                <w:lang w:eastAsia="zh-CN"/>
              </w:rPr>
            </w:pPr>
            <w:r>
              <w:rPr>
                <w:rFonts w:hint="eastAsia"/>
                <w:b w:val="0"/>
                <w:bCs/>
                <w:sz w:val="24"/>
                <w:lang w:eastAsia="zh-CN"/>
              </w:rPr>
              <w:t>目前，现有工程废气、废水、噪声按照企业自行监测计划定期委托有资质的环境监测机构进行检测，现有工程监测计划落实情况见表</w:t>
            </w:r>
            <w:r>
              <w:rPr>
                <w:rFonts w:hint="eastAsia"/>
                <w:b w:val="0"/>
                <w:bCs/>
                <w:sz w:val="24"/>
                <w:lang w:val="en-US" w:eastAsia="zh-CN"/>
              </w:rPr>
              <w:t>2-27</w:t>
            </w:r>
            <w:r>
              <w:rPr>
                <w:rFonts w:hint="eastAsia"/>
                <w:b w:val="0"/>
                <w:bCs/>
                <w:sz w:val="24"/>
                <w:lang w:eastAsia="zh-CN"/>
              </w:rPr>
              <w:t>，其中：DA021、DA040、DA043和DA044均已安装在线检测装置并已联网。</w:t>
            </w:r>
          </w:p>
          <w:p w14:paraId="70114C8B">
            <w:pPr>
              <w:pStyle w:val="51"/>
              <w:numPr>
                <w:ilvl w:val="2"/>
                <w:numId w:val="3"/>
              </w:numPr>
              <w:spacing w:line="500" w:lineRule="atLeast"/>
              <w:ind w:firstLineChars="0"/>
              <w:jc w:val="center"/>
              <w:rPr>
                <w:rFonts w:hint="eastAsia"/>
                <w:b w:val="0"/>
                <w:bCs/>
                <w:sz w:val="24"/>
                <w:lang w:eastAsia="zh-CN"/>
              </w:rPr>
            </w:pPr>
            <w:r>
              <w:rPr>
                <w:rFonts w:hint="eastAsia"/>
                <w:b/>
                <w:sz w:val="24"/>
                <w:lang w:eastAsia="zh-CN"/>
              </w:rPr>
              <w:t>现有工程监测计划落实情况</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2" w:type="dxa"/>
                <w:bottom w:w="0" w:type="dxa"/>
                <w:right w:w="72" w:type="dxa"/>
              </w:tblCellMar>
            </w:tblPr>
            <w:tblGrid>
              <w:gridCol w:w="492"/>
              <w:gridCol w:w="2185"/>
              <w:gridCol w:w="754"/>
              <w:gridCol w:w="800"/>
              <w:gridCol w:w="1340"/>
              <w:gridCol w:w="2842"/>
            </w:tblGrid>
            <w:tr w14:paraId="06D1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blHeader/>
              </w:trPr>
              <w:tc>
                <w:tcPr>
                  <w:tcW w:w="292" w:type="pct"/>
                  <w:noWrap w:val="0"/>
                  <w:vAlign w:val="center"/>
                </w:tcPr>
                <w:p w14:paraId="0ECB4ED0">
                  <w:pPr>
                    <w:jc w:val="center"/>
                    <w:rPr>
                      <w:rFonts w:eastAsia="宋体"/>
                      <w:sz w:val="21"/>
                      <w:szCs w:val="21"/>
                      <w:u w:val="single"/>
                    </w:rPr>
                  </w:pPr>
                  <w:r>
                    <w:rPr>
                      <w:rFonts w:hint="eastAsia" w:eastAsia="宋体"/>
                      <w:sz w:val="21"/>
                      <w:szCs w:val="21"/>
                      <w:u w:val="single"/>
                    </w:rPr>
                    <w:t>污染类型</w:t>
                  </w:r>
                </w:p>
              </w:tc>
              <w:tc>
                <w:tcPr>
                  <w:tcW w:w="1298" w:type="pct"/>
                  <w:noWrap w:val="0"/>
                  <w:vAlign w:val="center"/>
                </w:tcPr>
                <w:p w14:paraId="6AB50050">
                  <w:pPr>
                    <w:jc w:val="center"/>
                    <w:rPr>
                      <w:rFonts w:eastAsia="宋体"/>
                      <w:sz w:val="21"/>
                      <w:szCs w:val="21"/>
                      <w:u w:val="single"/>
                    </w:rPr>
                  </w:pPr>
                  <w:r>
                    <w:rPr>
                      <w:rFonts w:hint="eastAsia" w:eastAsia="宋体"/>
                      <w:sz w:val="21"/>
                      <w:szCs w:val="21"/>
                      <w:u w:val="single"/>
                    </w:rPr>
                    <w:t>监测点位名称</w:t>
                  </w:r>
                </w:p>
              </w:tc>
              <w:tc>
                <w:tcPr>
                  <w:tcW w:w="448" w:type="pct"/>
                  <w:noWrap w:val="0"/>
                  <w:vAlign w:val="center"/>
                </w:tcPr>
                <w:p w14:paraId="5F46395E">
                  <w:pPr>
                    <w:jc w:val="center"/>
                    <w:rPr>
                      <w:rFonts w:eastAsia="宋体"/>
                      <w:sz w:val="21"/>
                      <w:szCs w:val="21"/>
                      <w:u w:val="single"/>
                    </w:rPr>
                  </w:pPr>
                  <w:r>
                    <w:rPr>
                      <w:rFonts w:hint="eastAsia" w:eastAsia="宋体"/>
                      <w:sz w:val="21"/>
                      <w:szCs w:val="21"/>
                      <w:u w:val="single"/>
                    </w:rPr>
                    <w:t>编号</w:t>
                  </w:r>
                </w:p>
              </w:tc>
              <w:tc>
                <w:tcPr>
                  <w:tcW w:w="475" w:type="pct"/>
                  <w:noWrap w:val="0"/>
                  <w:vAlign w:val="center"/>
                </w:tcPr>
                <w:p w14:paraId="1624C423">
                  <w:pPr>
                    <w:jc w:val="center"/>
                    <w:rPr>
                      <w:rFonts w:eastAsia="宋体"/>
                      <w:sz w:val="21"/>
                      <w:szCs w:val="21"/>
                      <w:u w:val="single"/>
                    </w:rPr>
                  </w:pPr>
                  <w:r>
                    <w:rPr>
                      <w:rFonts w:hint="eastAsia" w:eastAsia="宋体"/>
                      <w:sz w:val="21"/>
                      <w:szCs w:val="21"/>
                      <w:u w:val="single"/>
                    </w:rPr>
                    <w:t>监测频次</w:t>
                  </w:r>
                </w:p>
              </w:tc>
              <w:tc>
                <w:tcPr>
                  <w:tcW w:w="796" w:type="pct"/>
                  <w:noWrap w:val="0"/>
                  <w:vAlign w:val="center"/>
                </w:tcPr>
                <w:p w14:paraId="08D6D8EC">
                  <w:pPr>
                    <w:jc w:val="center"/>
                    <w:rPr>
                      <w:rFonts w:eastAsia="宋体"/>
                      <w:sz w:val="21"/>
                      <w:szCs w:val="21"/>
                      <w:u w:val="single"/>
                    </w:rPr>
                  </w:pPr>
                  <w:r>
                    <w:rPr>
                      <w:rFonts w:hint="eastAsia" w:eastAsia="宋体"/>
                      <w:sz w:val="21"/>
                      <w:szCs w:val="21"/>
                      <w:u w:val="single"/>
                    </w:rPr>
                    <w:t>监测项目</w:t>
                  </w:r>
                </w:p>
              </w:tc>
              <w:tc>
                <w:tcPr>
                  <w:tcW w:w="1689" w:type="pct"/>
                  <w:noWrap w:val="0"/>
                  <w:vAlign w:val="center"/>
                </w:tcPr>
                <w:p w14:paraId="0D654E28">
                  <w:pPr>
                    <w:jc w:val="center"/>
                    <w:rPr>
                      <w:rFonts w:hint="default" w:eastAsia="宋体"/>
                      <w:sz w:val="21"/>
                      <w:szCs w:val="21"/>
                      <w:u w:val="single"/>
                      <w:lang w:val="en-US" w:eastAsia="zh-CN"/>
                    </w:rPr>
                  </w:pPr>
                  <w:r>
                    <w:rPr>
                      <w:rFonts w:hint="eastAsia" w:eastAsia="宋体"/>
                      <w:sz w:val="21"/>
                      <w:szCs w:val="21"/>
                      <w:u w:val="single"/>
                      <w:lang w:val="en-US" w:eastAsia="zh-CN"/>
                    </w:rPr>
                    <w:t>执行标准</w:t>
                  </w:r>
                </w:p>
              </w:tc>
            </w:tr>
            <w:tr w14:paraId="0C20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restart"/>
                  <w:noWrap w:val="0"/>
                  <w:vAlign w:val="center"/>
                </w:tcPr>
                <w:p w14:paraId="1CA664DA">
                  <w:pPr>
                    <w:jc w:val="center"/>
                    <w:rPr>
                      <w:rFonts w:eastAsia="宋体"/>
                      <w:sz w:val="21"/>
                      <w:szCs w:val="21"/>
                      <w:u w:val="single"/>
                    </w:rPr>
                  </w:pPr>
                  <w:r>
                    <w:rPr>
                      <w:rFonts w:hint="eastAsia" w:eastAsia="宋体"/>
                      <w:sz w:val="21"/>
                      <w:szCs w:val="21"/>
                      <w:u w:val="single"/>
                    </w:rPr>
                    <w:t>废气</w:t>
                  </w:r>
                </w:p>
              </w:tc>
              <w:tc>
                <w:tcPr>
                  <w:tcW w:w="1298" w:type="pct"/>
                  <w:noWrap w:val="0"/>
                  <w:vAlign w:val="center"/>
                </w:tcPr>
                <w:p w14:paraId="05069645">
                  <w:pPr>
                    <w:jc w:val="center"/>
                    <w:rPr>
                      <w:rFonts w:eastAsia="宋体"/>
                      <w:sz w:val="21"/>
                      <w:szCs w:val="21"/>
                      <w:u w:val="single"/>
                    </w:rPr>
                  </w:pPr>
                  <w:r>
                    <w:rPr>
                      <w:rFonts w:hint="eastAsia" w:eastAsia="宋体"/>
                      <w:sz w:val="21"/>
                      <w:szCs w:val="21"/>
                      <w:u w:val="single"/>
                    </w:rPr>
                    <w:t>甲醇中间罐区水洗塔排放口</w:t>
                  </w:r>
                </w:p>
              </w:tc>
              <w:tc>
                <w:tcPr>
                  <w:tcW w:w="448" w:type="pct"/>
                  <w:noWrap w:val="0"/>
                  <w:vAlign w:val="center"/>
                </w:tcPr>
                <w:p w14:paraId="345CAAEB">
                  <w:pPr>
                    <w:jc w:val="center"/>
                    <w:rPr>
                      <w:rFonts w:eastAsia="宋体"/>
                      <w:sz w:val="21"/>
                      <w:szCs w:val="21"/>
                      <w:u w:val="single"/>
                    </w:rPr>
                  </w:pPr>
                  <w:r>
                    <w:rPr>
                      <w:rFonts w:hint="eastAsia" w:eastAsia="宋体"/>
                      <w:sz w:val="21"/>
                      <w:szCs w:val="21"/>
                      <w:u w:val="single"/>
                    </w:rPr>
                    <w:t>DA</w:t>
                  </w:r>
                  <w:r>
                    <w:rPr>
                      <w:rFonts w:eastAsia="宋体"/>
                      <w:sz w:val="21"/>
                      <w:szCs w:val="21"/>
                      <w:u w:val="single"/>
                    </w:rPr>
                    <w:t>001</w:t>
                  </w:r>
                </w:p>
              </w:tc>
              <w:tc>
                <w:tcPr>
                  <w:tcW w:w="475" w:type="pct"/>
                  <w:noWrap w:val="0"/>
                  <w:vAlign w:val="center"/>
                </w:tcPr>
                <w:p w14:paraId="0AFA37A2">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16F20334">
                  <w:pPr>
                    <w:jc w:val="center"/>
                    <w:rPr>
                      <w:rFonts w:eastAsia="宋体"/>
                      <w:sz w:val="21"/>
                      <w:szCs w:val="21"/>
                      <w:u w:val="single"/>
                    </w:rPr>
                  </w:pPr>
                  <w:r>
                    <w:rPr>
                      <w:rFonts w:hint="eastAsia" w:eastAsia="宋体"/>
                      <w:sz w:val="21"/>
                      <w:szCs w:val="21"/>
                      <w:u w:val="single"/>
                    </w:rPr>
                    <w:t>甲醇</w:t>
                  </w:r>
                </w:p>
              </w:tc>
              <w:tc>
                <w:tcPr>
                  <w:tcW w:w="1689" w:type="pct"/>
                  <w:noWrap w:val="0"/>
                  <w:vAlign w:val="center"/>
                </w:tcPr>
                <w:p w14:paraId="3ACD7598">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0188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05DE71C">
                  <w:pPr>
                    <w:jc w:val="center"/>
                    <w:rPr>
                      <w:rFonts w:eastAsia="宋体"/>
                      <w:sz w:val="21"/>
                      <w:szCs w:val="21"/>
                      <w:u w:val="single"/>
                    </w:rPr>
                  </w:pPr>
                </w:p>
              </w:tc>
              <w:tc>
                <w:tcPr>
                  <w:tcW w:w="1298" w:type="pct"/>
                  <w:noWrap w:val="0"/>
                  <w:vAlign w:val="center"/>
                </w:tcPr>
                <w:p w14:paraId="4A353118">
                  <w:pPr>
                    <w:jc w:val="center"/>
                    <w:rPr>
                      <w:rFonts w:eastAsia="宋体"/>
                      <w:sz w:val="21"/>
                      <w:szCs w:val="21"/>
                      <w:u w:val="single"/>
                    </w:rPr>
                  </w:pPr>
                  <w:r>
                    <w:rPr>
                      <w:rFonts w:hint="eastAsia" w:eastAsia="宋体"/>
                      <w:sz w:val="21"/>
                      <w:szCs w:val="21"/>
                      <w:u w:val="single"/>
                    </w:rPr>
                    <w:t>华谊炉</w:t>
                  </w:r>
                  <w:r>
                    <w:rPr>
                      <w:rFonts w:eastAsia="宋体"/>
                      <w:sz w:val="21"/>
                      <w:szCs w:val="21"/>
                      <w:u w:val="single"/>
                    </w:rPr>
                    <w:t>1#</w:t>
                  </w:r>
                  <w:r>
                    <w:rPr>
                      <w:rFonts w:hint="eastAsia" w:eastAsia="宋体"/>
                      <w:sz w:val="21"/>
                      <w:szCs w:val="21"/>
                      <w:u w:val="single"/>
                    </w:rPr>
                    <w:t>煤加压尾气排放口</w:t>
                  </w:r>
                </w:p>
              </w:tc>
              <w:tc>
                <w:tcPr>
                  <w:tcW w:w="448" w:type="pct"/>
                  <w:noWrap w:val="0"/>
                  <w:vAlign w:val="center"/>
                </w:tcPr>
                <w:p w14:paraId="0F03EFB0">
                  <w:pPr>
                    <w:jc w:val="center"/>
                    <w:rPr>
                      <w:rFonts w:eastAsia="宋体"/>
                      <w:sz w:val="21"/>
                      <w:szCs w:val="21"/>
                      <w:u w:val="single"/>
                    </w:rPr>
                  </w:pPr>
                  <w:r>
                    <w:rPr>
                      <w:rFonts w:hint="eastAsia" w:eastAsia="宋体"/>
                      <w:sz w:val="21"/>
                      <w:szCs w:val="21"/>
                      <w:u w:val="single"/>
                    </w:rPr>
                    <w:t>DA</w:t>
                  </w:r>
                  <w:r>
                    <w:rPr>
                      <w:rFonts w:eastAsia="宋体"/>
                      <w:sz w:val="21"/>
                      <w:szCs w:val="21"/>
                      <w:u w:val="single"/>
                    </w:rPr>
                    <w:t>002</w:t>
                  </w:r>
                </w:p>
              </w:tc>
              <w:tc>
                <w:tcPr>
                  <w:tcW w:w="475" w:type="pct"/>
                  <w:noWrap w:val="0"/>
                  <w:vAlign w:val="center"/>
                </w:tcPr>
                <w:p w14:paraId="6149AB45">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DA2164B">
                  <w:pPr>
                    <w:jc w:val="center"/>
                    <w:rPr>
                      <w:rFonts w:eastAsia="宋体"/>
                      <w:sz w:val="21"/>
                      <w:szCs w:val="21"/>
                      <w:u w:val="single"/>
                    </w:rPr>
                  </w:pPr>
                  <w:r>
                    <w:rPr>
                      <w:rFonts w:hint="eastAsia" w:eastAsia="宋体"/>
                      <w:sz w:val="21"/>
                      <w:szCs w:val="21"/>
                      <w:u w:val="single"/>
                    </w:rPr>
                    <w:t>颗粒物</w:t>
                  </w:r>
                </w:p>
              </w:tc>
              <w:tc>
                <w:tcPr>
                  <w:tcW w:w="1689" w:type="pct"/>
                  <w:vMerge w:val="restart"/>
                  <w:noWrap w:val="0"/>
                  <w:vAlign w:val="center"/>
                </w:tcPr>
                <w:p w14:paraId="15AAD003">
                  <w:pPr>
                    <w:jc w:val="center"/>
                    <w:rPr>
                      <w:rFonts w:hint="eastAsia" w:eastAsia="宋体"/>
                      <w:sz w:val="21"/>
                      <w:szCs w:val="21"/>
                      <w:u w:val="single"/>
                    </w:rPr>
                  </w:pPr>
                  <w:r>
                    <w:rPr>
                      <w:rFonts w:hint="eastAsia" w:eastAsia="宋体"/>
                      <w:sz w:val="21"/>
                      <w:szCs w:val="21"/>
                      <w:u w:val="single"/>
                    </w:rPr>
                    <w:t>《大气污染物综合排放标准》(GB16297-1996)</w:t>
                  </w:r>
                </w:p>
              </w:tc>
            </w:tr>
            <w:tr w14:paraId="12DE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645AE75">
                  <w:pPr>
                    <w:jc w:val="center"/>
                    <w:rPr>
                      <w:rFonts w:eastAsia="宋体"/>
                      <w:sz w:val="21"/>
                      <w:szCs w:val="21"/>
                      <w:u w:val="single"/>
                    </w:rPr>
                  </w:pPr>
                </w:p>
              </w:tc>
              <w:tc>
                <w:tcPr>
                  <w:tcW w:w="1298" w:type="pct"/>
                  <w:noWrap w:val="0"/>
                  <w:vAlign w:val="center"/>
                </w:tcPr>
                <w:p w14:paraId="56E61310">
                  <w:pPr>
                    <w:jc w:val="center"/>
                    <w:rPr>
                      <w:rFonts w:eastAsia="宋体"/>
                      <w:sz w:val="21"/>
                      <w:szCs w:val="21"/>
                      <w:u w:val="single"/>
                    </w:rPr>
                  </w:pPr>
                  <w:r>
                    <w:rPr>
                      <w:rFonts w:hint="eastAsia" w:eastAsia="宋体"/>
                      <w:sz w:val="21"/>
                      <w:szCs w:val="21"/>
                      <w:u w:val="single"/>
                    </w:rPr>
                    <w:t>华谊炉</w:t>
                  </w:r>
                  <w:r>
                    <w:rPr>
                      <w:rFonts w:eastAsia="宋体"/>
                      <w:sz w:val="21"/>
                      <w:szCs w:val="21"/>
                      <w:u w:val="single"/>
                    </w:rPr>
                    <w:t>2#</w:t>
                  </w:r>
                  <w:r>
                    <w:rPr>
                      <w:rFonts w:hint="eastAsia" w:eastAsia="宋体"/>
                      <w:sz w:val="21"/>
                      <w:szCs w:val="21"/>
                      <w:u w:val="single"/>
                    </w:rPr>
                    <w:t>煤加压尾气排放口</w:t>
                  </w:r>
                </w:p>
              </w:tc>
              <w:tc>
                <w:tcPr>
                  <w:tcW w:w="448" w:type="pct"/>
                  <w:noWrap w:val="0"/>
                  <w:vAlign w:val="center"/>
                </w:tcPr>
                <w:p w14:paraId="5016D7D9">
                  <w:pPr>
                    <w:jc w:val="center"/>
                    <w:rPr>
                      <w:rFonts w:eastAsia="宋体"/>
                      <w:sz w:val="21"/>
                      <w:szCs w:val="21"/>
                      <w:u w:val="single"/>
                    </w:rPr>
                  </w:pPr>
                  <w:r>
                    <w:rPr>
                      <w:rFonts w:hint="eastAsia" w:eastAsia="宋体"/>
                      <w:sz w:val="21"/>
                      <w:szCs w:val="21"/>
                      <w:u w:val="single"/>
                    </w:rPr>
                    <w:t>DA</w:t>
                  </w:r>
                  <w:r>
                    <w:rPr>
                      <w:rFonts w:eastAsia="宋体"/>
                      <w:sz w:val="21"/>
                      <w:szCs w:val="21"/>
                      <w:u w:val="single"/>
                    </w:rPr>
                    <w:t>003</w:t>
                  </w:r>
                </w:p>
              </w:tc>
              <w:tc>
                <w:tcPr>
                  <w:tcW w:w="475" w:type="pct"/>
                  <w:noWrap w:val="0"/>
                  <w:vAlign w:val="center"/>
                </w:tcPr>
                <w:p w14:paraId="044AD2E1">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37FED42F">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1D61EB8">
                  <w:pPr>
                    <w:jc w:val="center"/>
                    <w:rPr>
                      <w:rFonts w:hint="eastAsia" w:eastAsia="宋体"/>
                      <w:sz w:val="21"/>
                      <w:szCs w:val="21"/>
                      <w:u w:val="single"/>
                    </w:rPr>
                  </w:pPr>
                </w:p>
              </w:tc>
            </w:tr>
            <w:tr w14:paraId="3850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9E07F30">
                  <w:pPr>
                    <w:jc w:val="center"/>
                    <w:rPr>
                      <w:rFonts w:eastAsia="宋体"/>
                      <w:sz w:val="21"/>
                      <w:szCs w:val="21"/>
                      <w:u w:val="single"/>
                    </w:rPr>
                  </w:pPr>
                </w:p>
              </w:tc>
              <w:tc>
                <w:tcPr>
                  <w:tcW w:w="1298" w:type="pct"/>
                  <w:vMerge w:val="restart"/>
                  <w:noWrap w:val="0"/>
                  <w:vAlign w:val="center"/>
                </w:tcPr>
                <w:p w14:paraId="0B565E28">
                  <w:pPr>
                    <w:jc w:val="center"/>
                    <w:rPr>
                      <w:rFonts w:eastAsia="宋体"/>
                      <w:sz w:val="21"/>
                      <w:szCs w:val="21"/>
                      <w:u w:val="single"/>
                    </w:rPr>
                  </w:pPr>
                  <w:r>
                    <w:rPr>
                      <w:rFonts w:eastAsia="宋体"/>
                      <w:sz w:val="21"/>
                      <w:szCs w:val="21"/>
                      <w:u w:val="single"/>
                    </w:rPr>
                    <w:t>1#</w:t>
                  </w:r>
                  <w:r>
                    <w:rPr>
                      <w:rFonts w:hint="eastAsia" w:eastAsia="宋体"/>
                      <w:sz w:val="21"/>
                      <w:szCs w:val="21"/>
                      <w:u w:val="single"/>
                    </w:rPr>
                    <w:t>磨煤干燥尾气排放口</w:t>
                  </w:r>
                </w:p>
              </w:tc>
              <w:tc>
                <w:tcPr>
                  <w:tcW w:w="448" w:type="pct"/>
                  <w:vMerge w:val="restart"/>
                  <w:noWrap w:val="0"/>
                  <w:vAlign w:val="center"/>
                </w:tcPr>
                <w:p w14:paraId="152380DE">
                  <w:pPr>
                    <w:jc w:val="center"/>
                    <w:rPr>
                      <w:rFonts w:eastAsia="宋体"/>
                      <w:sz w:val="21"/>
                      <w:szCs w:val="21"/>
                      <w:u w:val="single"/>
                    </w:rPr>
                  </w:pPr>
                  <w:r>
                    <w:rPr>
                      <w:rFonts w:eastAsia="宋体"/>
                      <w:sz w:val="21"/>
                      <w:szCs w:val="21"/>
                      <w:u w:val="single"/>
                    </w:rPr>
                    <w:t>DA004</w:t>
                  </w:r>
                </w:p>
              </w:tc>
              <w:tc>
                <w:tcPr>
                  <w:tcW w:w="475" w:type="pct"/>
                  <w:noWrap w:val="0"/>
                  <w:vAlign w:val="center"/>
                </w:tcPr>
                <w:p w14:paraId="214EBCF8">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6225838B">
                  <w:pPr>
                    <w:jc w:val="center"/>
                    <w:rPr>
                      <w:rFonts w:eastAsia="宋体"/>
                      <w:sz w:val="21"/>
                      <w:szCs w:val="21"/>
                      <w:u w:val="single"/>
                    </w:rPr>
                  </w:pPr>
                  <w:r>
                    <w:rPr>
                      <w:rFonts w:hint="eastAsia" w:eastAsia="宋体"/>
                      <w:sz w:val="21"/>
                      <w:szCs w:val="21"/>
                      <w:u w:val="single"/>
                    </w:rPr>
                    <w:t>氮氧化物</w:t>
                  </w:r>
                </w:p>
              </w:tc>
              <w:tc>
                <w:tcPr>
                  <w:tcW w:w="1689" w:type="pct"/>
                  <w:vMerge w:val="restart"/>
                  <w:noWrap w:val="0"/>
                  <w:vAlign w:val="center"/>
                </w:tcPr>
                <w:p w14:paraId="1CD667AA">
                  <w:pPr>
                    <w:jc w:val="center"/>
                    <w:rPr>
                      <w:rFonts w:hint="eastAsia" w:eastAsia="宋体"/>
                      <w:sz w:val="21"/>
                      <w:szCs w:val="21"/>
                      <w:u w:val="single"/>
                    </w:rPr>
                  </w:pPr>
                  <w:r>
                    <w:rPr>
                      <w:rFonts w:hint="eastAsia" w:eastAsia="宋体"/>
                      <w:sz w:val="21"/>
                      <w:szCs w:val="21"/>
                      <w:u w:val="single"/>
                    </w:rPr>
                    <w:t>《大气污染物综合排放标准》(GB16297-1996)</w:t>
                  </w:r>
                </w:p>
              </w:tc>
            </w:tr>
            <w:tr w14:paraId="36DF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1D29378">
                  <w:pPr>
                    <w:jc w:val="center"/>
                    <w:rPr>
                      <w:rFonts w:eastAsia="宋体"/>
                      <w:sz w:val="21"/>
                      <w:szCs w:val="21"/>
                      <w:u w:val="single"/>
                    </w:rPr>
                  </w:pPr>
                </w:p>
              </w:tc>
              <w:tc>
                <w:tcPr>
                  <w:tcW w:w="1298" w:type="pct"/>
                  <w:vMerge w:val="continue"/>
                  <w:noWrap w:val="0"/>
                  <w:vAlign w:val="center"/>
                </w:tcPr>
                <w:p w14:paraId="1C94F8C6">
                  <w:pPr>
                    <w:jc w:val="center"/>
                    <w:rPr>
                      <w:rFonts w:eastAsia="宋体"/>
                      <w:sz w:val="21"/>
                      <w:szCs w:val="21"/>
                      <w:u w:val="single"/>
                    </w:rPr>
                  </w:pPr>
                </w:p>
              </w:tc>
              <w:tc>
                <w:tcPr>
                  <w:tcW w:w="448" w:type="pct"/>
                  <w:vMerge w:val="continue"/>
                  <w:noWrap w:val="0"/>
                  <w:vAlign w:val="center"/>
                </w:tcPr>
                <w:p w14:paraId="4196A2ED">
                  <w:pPr>
                    <w:jc w:val="center"/>
                    <w:rPr>
                      <w:rFonts w:eastAsia="宋体"/>
                      <w:sz w:val="21"/>
                      <w:szCs w:val="21"/>
                      <w:u w:val="single"/>
                    </w:rPr>
                  </w:pPr>
                </w:p>
              </w:tc>
              <w:tc>
                <w:tcPr>
                  <w:tcW w:w="475" w:type="pct"/>
                  <w:noWrap w:val="0"/>
                  <w:vAlign w:val="center"/>
                </w:tcPr>
                <w:p w14:paraId="4F499B52">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455DA001">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A48BA4C">
                  <w:pPr>
                    <w:jc w:val="center"/>
                    <w:rPr>
                      <w:rFonts w:hint="eastAsia" w:eastAsia="宋体"/>
                      <w:sz w:val="21"/>
                      <w:szCs w:val="21"/>
                      <w:u w:val="single"/>
                    </w:rPr>
                  </w:pPr>
                </w:p>
              </w:tc>
            </w:tr>
            <w:tr w14:paraId="19F4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83A1291">
                  <w:pPr>
                    <w:jc w:val="center"/>
                    <w:rPr>
                      <w:rFonts w:eastAsia="宋体"/>
                      <w:sz w:val="21"/>
                      <w:szCs w:val="21"/>
                      <w:u w:val="single"/>
                    </w:rPr>
                  </w:pPr>
                </w:p>
              </w:tc>
              <w:tc>
                <w:tcPr>
                  <w:tcW w:w="1298" w:type="pct"/>
                  <w:vMerge w:val="restart"/>
                  <w:noWrap w:val="0"/>
                  <w:vAlign w:val="center"/>
                </w:tcPr>
                <w:p w14:paraId="4833C1B6">
                  <w:pPr>
                    <w:jc w:val="center"/>
                    <w:rPr>
                      <w:rFonts w:eastAsia="宋体"/>
                      <w:sz w:val="21"/>
                      <w:szCs w:val="21"/>
                      <w:u w:val="single"/>
                    </w:rPr>
                  </w:pPr>
                  <w:r>
                    <w:rPr>
                      <w:rFonts w:eastAsia="宋体"/>
                      <w:sz w:val="21"/>
                      <w:szCs w:val="21"/>
                      <w:u w:val="single"/>
                    </w:rPr>
                    <w:t>2#</w:t>
                  </w:r>
                  <w:r>
                    <w:rPr>
                      <w:rFonts w:hint="eastAsia" w:eastAsia="宋体"/>
                      <w:sz w:val="21"/>
                      <w:szCs w:val="21"/>
                      <w:u w:val="single"/>
                    </w:rPr>
                    <w:t>磨煤干燥尾气排放口</w:t>
                  </w:r>
                </w:p>
              </w:tc>
              <w:tc>
                <w:tcPr>
                  <w:tcW w:w="448" w:type="pct"/>
                  <w:vMerge w:val="restart"/>
                  <w:noWrap w:val="0"/>
                  <w:vAlign w:val="center"/>
                </w:tcPr>
                <w:p w14:paraId="223A2C16">
                  <w:pPr>
                    <w:jc w:val="center"/>
                    <w:rPr>
                      <w:rFonts w:eastAsia="宋体"/>
                      <w:sz w:val="21"/>
                      <w:szCs w:val="21"/>
                      <w:u w:val="single"/>
                    </w:rPr>
                  </w:pPr>
                  <w:r>
                    <w:rPr>
                      <w:rFonts w:eastAsia="宋体"/>
                      <w:sz w:val="21"/>
                      <w:szCs w:val="21"/>
                      <w:u w:val="single"/>
                    </w:rPr>
                    <w:t>DA005</w:t>
                  </w:r>
                </w:p>
              </w:tc>
              <w:tc>
                <w:tcPr>
                  <w:tcW w:w="475" w:type="pct"/>
                  <w:noWrap w:val="0"/>
                  <w:vAlign w:val="center"/>
                </w:tcPr>
                <w:p w14:paraId="3A623CC5">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6BD18AD2">
                  <w:pPr>
                    <w:jc w:val="center"/>
                    <w:rPr>
                      <w:rFonts w:eastAsia="宋体"/>
                      <w:sz w:val="21"/>
                      <w:szCs w:val="21"/>
                      <w:u w:val="single"/>
                    </w:rPr>
                  </w:pPr>
                  <w:r>
                    <w:rPr>
                      <w:rFonts w:hint="eastAsia" w:eastAsia="宋体"/>
                      <w:sz w:val="21"/>
                      <w:szCs w:val="21"/>
                      <w:u w:val="single"/>
                    </w:rPr>
                    <w:t>氮氧化物</w:t>
                  </w:r>
                </w:p>
              </w:tc>
              <w:tc>
                <w:tcPr>
                  <w:tcW w:w="1689" w:type="pct"/>
                  <w:vMerge w:val="continue"/>
                  <w:noWrap w:val="0"/>
                  <w:vAlign w:val="center"/>
                </w:tcPr>
                <w:p w14:paraId="60F9C25E">
                  <w:pPr>
                    <w:jc w:val="center"/>
                    <w:rPr>
                      <w:rFonts w:hint="eastAsia" w:eastAsia="宋体"/>
                      <w:sz w:val="21"/>
                      <w:szCs w:val="21"/>
                      <w:u w:val="single"/>
                    </w:rPr>
                  </w:pPr>
                </w:p>
              </w:tc>
            </w:tr>
            <w:tr w14:paraId="4C01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7496946">
                  <w:pPr>
                    <w:jc w:val="center"/>
                    <w:rPr>
                      <w:rFonts w:eastAsia="宋体"/>
                      <w:sz w:val="21"/>
                      <w:szCs w:val="21"/>
                      <w:u w:val="single"/>
                    </w:rPr>
                  </w:pPr>
                </w:p>
              </w:tc>
              <w:tc>
                <w:tcPr>
                  <w:tcW w:w="1298" w:type="pct"/>
                  <w:vMerge w:val="continue"/>
                  <w:noWrap w:val="0"/>
                  <w:vAlign w:val="center"/>
                </w:tcPr>
                <w:p w14:paraId="6F411AF9">
                  <w:pPr>
                    <w:jc w:val="center"/>
                    <w:rPr>
                      <w:rFonts w:eastAsia="宋体"/>
                      <w:sz w:val="21"/>
                      <w:szCs w:val="21"/>
                      <w:u w:val="single"/>
                    </w:rPr>
                  </w:pPr>
                </w:p>
              </w:tc>
              <w:tc>
                <w:tcPr>
                  <w:tcW w:w="448" w:type="pct"/>
                  <w:vMerge w:val="continue"/>
                  <w:noWrap w:val="0"/>
                  <w:vAlign w:val="center"/>
                </w:tcPr>
                <w:p w14:paraId="4044B23A">
                  <w:pPr>
                    <w:jc w:val="center"/>
                    <w:rPr>
                      <w:rFonts w:eastAsia="宋体"/>
                      <w:sz w:val="21"/>
                      <w:szCs w:val="21"/>
                      <w:u w:val="single"/>
                    </w:rPr>
                  </w:pPr>
                </w:p>
              </w:tc>
              <w:tc>
                <w:tcPr>
                  <w:tcW w:w="475" w:type="pct"/>
                  <w:noWrap w:val="0"/>
                  <w:vAlign w:val="center"/>
                </w:tcPr>
                <w:p w14:paraId="074C4EE9">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6ED088DB">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6603A195">
                  <w:pPr>
                    <w:jc w:val="center"/>
                    <w:rPr>
                      <w:rFonts w:hint="eastAsia" w:eastAsia="宋体"/>
                      <w:sz w:val="21"/>
                      <w:szCs w:val="21"/>
                      <w:u w:val="single"/>
                    </w:rPr>
                  </w:pPr>
                </w:p>
              </w:tc>
            </w:tr>
            <w:tr w14:paraId="7ED9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FECEC70">
                  <w:pPr>
                    <w:jc w:val="center"/>
                    <w:rPr>
                      <w:rFonts w:eastAsia="宋体"/>
                      <w:sz w:val="21"/>
                      <w:szCs w:val="21"/>
                      <w:u w:val="single"/>
                    </w:rPr>
                  </w:pPr>
                </w:p>
              </w:tc>
              <w:tc>
                <w:tcPr>
                  <w:tcW w:w="1298" w:type="pct"/>
                  <w:vMerge w:val="restart"/>
                  <w:noWrap w:val="0"/>
                  <w:vAlign w:val="center"/>
                </w:tcPr>
                <w:p w14:paraId="54C3153C">
                  <w:pPr>
                    <w:jc w:val="center"/>
                    <w:rPr>
                      <w:rFonts w:eastAsia="宋体"/>
                      <w:sz w:val="21"/>
                      <w:szCs w:val="21"/>
                      <w:u w:val="single"/>
                    </w:rPr>
                  </w:pPr>
                  <w:r>
                    <w:rPr>
                      <w:rFonts w:eastAsia="宋体"/>
                      <w:sz w:val="21"/>
                      <w:szCs w:val="21"/>
                      <w:u w:val="single"/>
                    </w:rPr>
                    <w:t>3#</w:t>
                  </w:r>
                  <w:r>
                    <w:rPr>
                      <w:rFonts w:hint="eastAsia" w:eastAsia="宋体"/>
                      <w:sz w:val="21"/>
                      <w:szCs w:val="21"/>
                      <w:u w:val="single"/>
                    </w:rPr>
                    <w:t>磨煤干燥尾气排放口</w:t>
                  </w:r>
                </w:p>
              </w:tc>
              <w:tc>
                <w:tcPr>
                  <w:tcW w:w="448" w:type="pct"/>
                  <w:vMerge w:val="restart"/>
                  <w:noWrap w:val="0"/>
                  <w:vAlign w:val="center"/>
                </w:tcPr>
                <w:p w14:paraId="596A0902">
                  <w:pPr>
                    <w:jc w:val="center"/>
                    <w:rPr>
                      <w:rFonts w:eastAsia="宋体"/>
                      <w:sz w:val="21"/>
                      <w:szCs w:val="21"/>
                      <w:u w:val="single"/>
                    </w:rPr>
                  </w:pPr>
                  <w:r>
                    <w:rPr>
                      <w:rFonts w:eastAsia="宋体"/>
                      <w:sz w:val="21"/>
                      <w:szCs w:val="21"/>
                      <w:u w:val="single"/>
                    </w:rPr>
                    <w:t>DA006</w:t>
                  </w:r>
                </w:p>
              </w:tc>
              <w:tc>
                <w:tcPr>
                  <w:tcW w:w="475" w:type="pct"/>
                  <w:noWrap w:val="0"/>
                  <w:vAlign w:val="center"/>
                </w:tcPr>
                <w:p w14:paraId="5088E2B1">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1D676F1E">
                  <w:pPr>
                    <w:jc w:val="center"/>
                    <w:rPr>
                      <w:rFonts w:eastAsia="宋体"/>
                      <w:sz w:val="21"/>
                      <w:szCs w:val="21"/>
                      <w:u w:val="single"/>
                    </w:rPr>
                  </w:pPr>
                  <w:r>
                    <w:rPr>
                      <w:rFonts w:hint="eastAsia" w:eastAsia="宋体"/>
                      <w:sz w:val="21"/>
                      <w:szCs w:val="21"/>
                      <w:u w:val="single"/>
                    </w:rPr>
                    <w:t>氮氧化物</w:t>
                  </w:r>
                </w:p>
              </w:tc>
              <w:tc>
                <w:tcPr>
                  <w:tcW w:w="1689" w:type="pct"/>
                  <w:vMerge w:val="continue"/>
                  <w:noWrap w:val="0"/>
                  <w:vAlign w:val="center"/>
                </w:tcPr>
                <w:p w14:paraId="0D6CF644">
                  <w:pPr>
                    <w:jc w:val="center"/>
                    <w:rPr>
                      <w:rFonts w:hint="eastAsia" w:eastAsia="宋体"/>
                      <w:sz w:val="21"/>
                      <w:szCs w:val="21"/>
                      <w:u w:val="single"/>
                    </w:rPr>
                  </w:pPr>
                </w:p>
              </w:tc>
            </w:tr>
            <w:tr w14:paraId="7277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10391E3">
                  <w:pPr>
                    <w:jc w:val="center"/>
                    <w:rPr>
                      <w:rFonts w:eastAsia="宋体"/>
                      <w:sz w:val="21"/>
                      <w:szCs w:val="21"/>
                      <w:u w:val="single"/>
                    </w:rPr>
                  </w:pPr>
                </w:p>
              </w:tc>
              <w:tc>
                <w:tcPr>
                  <w:tcW w:w="1298" w:type="pct"/>
                  <w:vMerge w:val="continue"/>
                  <w:noWrap w:val="0"/>
                  <w:vAlign w:val="center"/>
                </w:tcPr>
                <w:p w14:paraId="35F4C93F">
                  <w:pPr>
                    <w:jc w:val="center"/>
                    <w:rPr>
                      <w:rFonts w:eastAsia="宋体"/>
                      <w:sz w:val="21"/>
                      <w:szCs w:val="21"/>
                      <w:u w:val="single"/>
                    </w:rPr>
                  </w:pPr>
                </w:p>
              </w:tc>
              <w:tc>
                <w:tcPr>
                  <w:tcW w:w="448" w:type="pct"/>
                  <w:vMerge w:val="continue"/>
                  <w:noWrap w:val="0"/>
                  <w:vAlign w:val="center"/>
                </w:tcPr>
                <w:p w14:paraId="174B7C3E">
                  <w:pPr>
                    <w:jc w:val="center"/>
                    <w:rPr>
                      <w:rFonts w:eastAsia="宋体"/>
                      <w:sz w:val="21"/>
                      <w:szCs w:val="21"/>
                      <w:u w:val="single"/>
                    </w:rPr>
                  </w:pPr>
                </w:p>
              </w:tc>
              <w:tc>
                <w:tcPr>
                  <w:tcW w:w="475" w:type="pct"/>
                  <w:noWrap w:val="0"/>
                  <w:vAlign w:val="center"/>
                </w:tcPr>
                <w:p w14:paraId="311DC96D">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6CD5FA22">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52AF2309">
                  <w:pPr>
                    <w:jc w:val="center"/>
                    <w:rPr>
                      <w:rFonts w:hint="eastAsia" w:eastAsia="宋体"/>
                      <w:sz w:val="21"/>
                      <w:szCs w:val="21"/>
                      <w:u w:val="single"/>
                    </w:rPr>
                  </w:pPr>
                </w:p>
              </w:tc>
            </w:tr>
            <w:tr w14:paraId="4B42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A9E4E3A">
                  <w:pPr>
                    <w:jc w:val="center"/>
                    <w:rPr>
                      <w:rFonts w:eastAsia="宋体"/>
                      <w:sz w:val="21"/>
                      <w:szCs w:val="21"/>
                      <w:u w:val="single"/>
                    </w:rPr>
                  </w:pPr>
                </w:p>
              </w:tc>
              <w:tc>
                <w:tcPr>
                  <w:tcW w:w="1298" w:type="pct"/>
                  <w:vMerge w:val="restart"/>
                  <w:noWrap w:val="0"/>
                  <w:vAlign w:val="center"/>
                </w:tcPr>
                <w:p w14:paraId="675C4481">
                  <w:pPr>
                    <w:jc w:val="center"/>
                    <w:rPr>
                      <w:rFonts w:eastAsia="宋体"/>
                      <w:sz w:val="21"/>
                      <w:szCs w:val="21"/>
                      <w:u w:val="single"/>
                    </w:rPr>
                  </w:pPr>
                  <w:r>
                    <w:rPr>
                      <w:rFonts w:eastAsia="宋体"/>
                      <w:sz w:val="21"/>
                      <w:szCs w:val="21"/>
                      <w:u w:val="single"/>
                    </w:rPr>
                    <w:t>4#</w:t>
                  </w:r>
                  <w:r>
                    <w:rPr>
                      <w:rFonts w:hint="eastAsia" w:eastAsia="宋体"/>
                      <w:sz w:val="21"/>
                      <w:szCs w:val="21"/>
                      <w:u w:val="single"/>
                    </w:rPr>
                    <w:t>磨煤干燥尾气排放口</w:t>
                  </w:r>
                </w:p>
              </w:tc>
              <w:tc>
                <w:tcPr>
                  <w:tcW w:w="448" w:type="pct"/>
                  <w:vMerge w:val="restart"/>
                  <w:noWrap w:val="0"/>
                  <w:vAlign w:val="center"/>
                </w:tcPr>
                <w:p w14:paraId="1CD20FA3">
                  <w:pPr>
                    <w:jc w:val="center"/>
                    <w:rPr>
                      <w:rFonts w:eastAsia="宋体"/>
                      <w:sz w:val="21"/>
                      <w:szCs w:val="21"/>
                      <w:u w:val="single"/>
                    </w:rPr>
                  </w:pPr>
                  <w:r>
                    <w:rPr>
                      <w:rFonts w:eastAsia="宋体"/>
                      <w:sz w:val="21"/>
                      <w:szCs w:val="21"/>
                      <w:u w:val="single"/>
                    </w:rPr>
                    <w:t>DA007</w:t>
                  </w:r>
                </w:p>
              </w:tc>
              <w:tc>
                <w:tcPr>
                  <w:tcW w:w="475" w:type="pct"/>
                  <w:noWrap w:val="0"/>
                  <w:vAlign w:val="center"/>
                </w:tcPr>
                <w:p w14:paraId="38BE2C2A">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0FDFB0B6">
                  <w:pPr>
                    <w:jc w:val="center"/>
                    <w:rPr>
                      <w:rFonts w:eastAsia="宋体"/>
                      <w:sz w:val="21"/>
                      <w:szCs w:val="21"/>
                      <w:u w:val="single"/>
                    </w:rPr>
                  </w:pPr>
                  <w:r>
                    <w:rPr>
                      <w:rFonts w:hint="eastAsia" w:eastAsia="宋体"/>
                      <w:sz w:val="21"/>
                      <w:szCs w:val="21"/>
                      <w:u w:val="single"/>
                    </w:rPr>
                    <w:t>氮氧化物</w:t>
                  </w:r>
                </w:p>
              </w:tc>
              <w:tc>
                <w:tcPr>
                  <w:tcW w:w="1689" w:type="pct"/>
                  <w:vMerge w:val="continue"/>
                  <w:noWrap w:val="0"/>
                  <w:vAlign w:val="center"/>
                </w:tcPr>
                <w:p w14:paraId="121E2200">
                  <w:pPr>
                    <w:jc w:val="center"/>
                    <w:rPr>
                      <w:rFonts w:hint="eastAsia" w:eastAsia="宋体"/>
                      <w:sz w:val="21"/>
                      <w:szCs w:val="21"/>
                      <w:u w:val="single"/>
                    </w:rPr>
                  </w:pPr>
                </w:p>
              </w:tc>
            </w:tr>
            <w:tr w14:paraId="7740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74809DD">
                  <w:pPr>
                    <w:jc w:val="center"/>
                    <w:rPr>
                      <w:rFonts w:eastAsia="宋体"/>
                      <w:sz w:val="21"/>
                      <w:szCs w:val="21"/>
                      <w:u w:val="single"/>
                    </w:rPr>
                  </w:pPr>
                </w:p>
              </w:tc>
              <w:tc>
                <w:tcPr>
                  <w:tcW w:w="1298" w:type="pct"/>
                  <w:vMerge w:val="continue"/>
                  <w:noWrap w:val="0"/>
                  <w:vAlign w:val="center"/>
                </w:tcPr>
                <w:p w14:paraId="2B493325">
                  <w:pPr>
                    <w:jc w:val="center"/>
                    <w:rPr>
                      <w:rFonts w:eastAsia="宋体"/>
                      <w:sz w:val="21"/>
                      <w:szCs w:val="21"/>
                      <w:u w:val="single"/>
                    </w:rPr>
                  </w:pPr>
                </w:p>
              </w:tc>
              <w:tc>
                <w:tcPr>
                  <w:tcW w:w="448" w:type="pct"/>
                  <w:vMerge w:val="continue"/>
                  <w:noWrap w:val="0"/>
                  <w:vAlign w:val="center"/>
                </w:tcPr>
                <w:p w14:paraId="27D3E540">
                  <w:pPr>
                    <w:jc w:val="center"/>
                    <w:rPr>
                      <w:rFonts w:eastAsia="宋体"/>
                      <w:sz w:val="21"/>
                      <w:szCs w:val="21"/>
                      <w:u w:val="single"/>
                    </w:rPr>
                  </w:pPr>
                </w:p>
              </w:tc>
              <w:tc>
                <w:tcPr>
                  <w:tcW w:w="475" w:type="pct"/>
                  <w:noWrap w:val="0"/>
                  <w:vAlign w:val="center"/>
                </w:tcPr>
                <w:p w14:paraId="1CFD9CCB">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2563E666">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3AD783D1">
                  <w:pPr>
                    <w:jc w:val="center"/>
                    <w:rPr>
                      <w:rFonts w:hint="eastAsia" w:eastAsia="宋体"/>
                      <w:sz w:val="21"/>
                      <w:szCs w:val="21"/>
                      <w:u w:val="single"/>
                    </w:rPr>
                  </w:pPr>
                </w:p>
              </w:tc>
            </w:tr>
            <w:tr w14:paraId="3D91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951D14C">
                  <w:pPr>
                    <w:jc w:val="center"/>
                    <w:rPr>
                      <w:rFonts w:eastAsia="宋体"/>
                      <w:sz w:val="21"/>
                      <w:szCs w:val="21"/>
                      <w:u w:val="single"/>
                    </w:rPr>
                  </w:pPr>
                </w:p>
              </w:tc>
              <w:tc>
                <w:tcPr>
                  <w:tcW w:w="1298" w:type="pct"/>
                  <w:vMerge w:val="restart"/>
                  <w:noWrap w:val="0"/>
                  <w:vAlign w:val="center"/>
                </w:tcPr>
                <w:p w14:paraId="22A743F8">
                  <w:pPr>
                    <w:jc w:val="center"/>
                    <w:rPr>
                      <w:rFonts w:eastAsia="宋体"/>
                      <w:sz w:val="21"/>
                      <w:szCs w:val="21"/>
                      <w:u w:val="single"/>
                    </w:rPr>
                  </w:pPr>
                  <w:r>
                    <w:rPr>
                      <w:rFonts w:eastAsia="宋体"/>
                      <w:sz w:val="21"/>
                      <w:szCs w:val="21"/>
                      <w:u w:val="single"/>
                    </w:rPr>
                    <w:t>5#</w:t>
                  </w:r>
                  <w:r>
                    <w:rPr>
                      <w:rFonts w:hint="eastAsia" w:eastAsia="宋体"/>
                      <w:sz w:val="21"/>
                      <w:szCs w:val="21"/>
                      <w:u w:val="single"/>
                    </w:rPr>
                    <w:t>磨煤干燥尾气排放口</w:t>
                  </w:r>
                </w:p>
              </w:tc>
              <w:tc>
                <w:tcPr>
                  <w:tcW w:w="448" w:type="pct"/>
                  <w:vMerge w:val="restart"/>
                  <w:noWrap w:val="0"/>
                  <w:vAlign w:val="center"/>
                </w:tcPr>
                <w:p w14:paraId="3FB23A6D">
                  <w:pPr>
                    <w:jc w:val="center"/>
                    <w:rPr>
                      <w:rFonts w:eastAsia="宋体"/>
                      <w:sz w:val="21"/>
                      <w:szCs w:val="21"/>
                      <w:u w:val="single"/>
                    </w:rPr>
                  </w:pPr>
                  <w:r>
                    <w:rPr>
                      <w:rFonts w:eastAsia="宋体"/>
                      <w:sz w:val="21"/>
                      <w:szCs w:val="21"/>
                      <w:u w:val="single"/>
                    </w:rPr>
                    <w:t>DA008</w:t>
                  </w:r>
                </w:p>
              </w:tc>
              <w:tc>
                <w:tcPr>
                  <w:tcW w:w="475" w:type="pct"/>
                  <w:noWrap w:val="0"/>
                  <w:vAlign w:val="center"/>
                </w:tcPr>
                <w:p w14:paraId="5FB383E5">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50301C80">
                  <w:pPr>
                    <w:jc w:val="center"/>
                    <w:rPr>
                      <w:rFonts w:eastAsia="宋体"/>
                      <w:sz w:val="21"/>
                      <w:szCs w:val="21"/>
                      <w:u w:val="single"/>
                    </w:rPr>
                  </w:pPr>
                  <w:r>
                    <w:rPr>
                      <w:rFonts w:hint="eastAsia" w:eastAsia="宋体"/>
                      <w:sz w:val="21"/>
                      <w:szCs w:val="21"/>
                      <w:u w:val="single"/>
                    </w:rPr>
                    <w:t>氮氧化物</w:t>
                  </w:r>
                </w:p>
              </w:tc>
              <w:tc>
                <w:tcPr>
                  <w:tcW w:w="1689" w:type="pct"/>
                  <w:vMerge w:val="continue"/>
                  <w:noWrap w:val="0"/>
                  <w:vAlign w:val="center"/>
                </w:tcPr>
                <w:p w14:paraId="2C874ACA">
                  <w:pPr>
                    <w:jc w:val="center"/>
                    <w:rPr>
                      <w:rFonts w:hint="eastAsia" w:eastAsia="宋体"/>
                      <w:sz w:val="21"/>
                      <w:szCs w:val="21"/>
                      <w:u w:val="single"/>
                    </w:rPr>
                  </w:pPr>
                </w:p>
              </w:tc>
            </w:tr>
            <w:tr w14:paraId="77F7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568D05B">
                  <w:pPr>
                    <w:jc w:val="center"/>
                    <w:rPr>
                      <w:rFonts w:eastAsia="宋体"/>
                      <w:sz w:val="21"/>
                      <w:szCs w:val="21"/>
                      <w:u w:val="single"/>
                    </w:rPr>
                  </w:pPr>
                </w:p>
              </w:tc>
              <w:tc>
                <w:tcPr>
                  <w:tcW w:w="1298" w:type="pct"/>
                  <w:vMerge w:val="continue"/>
                  <w:noWrap w:val="0"/>
                  <w:vAlign w:val="center"/>
                </w:tcPr>
                <w:p w14:paraId="157FEE19">
                  <w:pPr>
                    <w:jc w:val="center"/>
                    <w:rPr>
                      <w:rFonts w:eastAsia="宋体"/>
                      <w:sz w:val="21"/>
                      <w:szCs w:val="21"/>
                      <w:u w:val="single"/>
                    </w:rPr>
                  </w:pPr>
                </w:p>
              </w:tc>
              <w:tc>
                <w:tcPr>
                  <w:tcW w:w="448" w:type="pct"/>
                  <w:vMerge w:val="continue"/>
                  <w:noWrap w:val="0"/>
                  <w:vAlign w:val="center"/>
                </w:tcPr>
                <w:p w14:paraId="7B1B17E3">
                  <w:pPr>
                    <w:jc w:val="center"/>
                    <w:rPr>
                      <w:rFonts w:eastAsia="宋体"/>
                      <w:sz w:val="21"/>
                      <w:szCs w:val="21"/>
                      <w:u w:val="single"/>
                    </w:rPr>
                  </w:pPr>
                </w:p>
              </w:tc>
              <w:tc>
                <w:tcPr>
                  <w:tcW w:w="475" w:type="pct"/>
                  <w:noWrap w:val="0"/>
                  <w:vAlign w:val="center"/>
                </w:tcPr>
                <w:p w14:paraId="43D07FB0">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6E741B71">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5B9D1AAE">
                  <w:pPr>
                    <w:jc w:val="center"/>
                    <w:rPr>
                      <w:rFonts w:hint="eastAsia" w:eastAsia="宋体"/>
                      <w:sz w:val="21"/>
                      <w:szCs w:val="21"/>
                      <w:u w:val="single"/>
                    </w:rPr>
                  </w:pPr>
                </w:p>
              </w:tc>
            </w:tr>
            <w:tr w14:paraId="7F09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CD50611">
                  <w:pPr>
                    <w:jc w:val="center"/>
                    <w:rPr>
                      <w:rFonts w:eastAsia="宋体"/>
                      <w:sz w:val="21"/>
                      <w:szCs w:val="21"/>
                      <w:u w:val="single"/>
                    </w:rPr>
                  </w:pPr>
                </w:p>
              </w:tc>
              <w:tc>
                <w:tcPr>
                  <w:tcW w:w="1298" w:type="pct"/>
                  <w:vMerge w:val="restart"/>
                  <w:noWrap w:val="0"/>
                  <w:vAlign w:val="center"/>
                </w:tcPr>
                <w:p w14:paraId="4835F14D">
                  <w:pPr>
                    <w:jc w:val="center"/>
                    <w:rPr>
                      <w:rFonts w:eastAsia="宋体"/>
                      <w:sz w:val="21"/>
                      <w:szCs w:val="21"/>
                      <w:u w:val="single"/>
                    </w:rPr>
                  </w:pPr>
                  <w:r>
                    <w:rPr>
                      <w:rFonts w:eastAsia="宋体"/>
                      <w:sz w:val="21"/>
                      <w:szCs w:val="21"/>
                      <w:u w:val="single"/>
                    </w:rPr>
                    <w:t>6#</w:t>
                  </w:r>
                  <w:r>
                    <w:rPr>
                      <w:rFonts w:hint="eastAsia" w:eastAsia="宋体"/>
                      <w:sz w:val="21"/>
                      <w:szCs w:val="21"/>
                      <w:u w:val="single"/>
                    </w:rPr>
                    <w:t>磨煤干燥尾气排放口</w:t>
                  </w:r>
                </w:p>
              </w:tc>
              <w:tc>
                <w:tcPr>
                  <w:tcW w:w="448" w:type="pct"/>
                  <w:vMerge w:val="restart"/>
                  <w:noWrap w:val="0"/>
                  <w:vAlign w:val="center"/>
                </w:tcPr>
                <w:p w14:paraId="63BAAB03">
                  <w:pPr>
                    <w:jc w:val="center"/>
                    <w:rPr>
                      <w:rFonts w:eastAsia="宋体"/>
                      <w:sz w:val="21"/>
                      <w:szCs w:val="21"/>
                      <w:u w:val="single"/>
                    </w:rPr>
                  </w:pPr>
                  <w:r>
                    <w:rPr>
                      <w:rFonts w:eastAsia="宋体"/>
                      <w:sz w:val="21"/>
                      <w:szCs w:val="21"/>
                      <w:u w:val="single"/>
                    </w:rPr>
                    <w:t>DA009</w:t>
                  </w:r>
                </w:p>
              </w:tc>
              <w:tc>
                <w:tcPr>
                  <w:tcW w:w="475" w:type="pct"/>
                  <w:noWrap w:val="0"/>
                  <w:vAlign w:val="center"/>
                </w:tcPr>
                <w:p w14:paraId="10DAC9AB">
                  <w:pPr>
                    <w:jc w:val="center"/>
                    <w:rPr>
                      <w:rFonts w:eastAsia="宋体"/>
                      <w:sz w:val="21"/>
                      <w:szCs w:val="21"/>
                      <w:u w:val="single"/>
                    </w:rPr>
                  </w:pPr>
                  <w:r>
                    <w:rPr>
                      <w:rFonts w:hint="eastAsia" w:eastAsia="宋体"/>
                      <w:sz w:val="21"/>
                      <w:szCs w:val="21"/>
                      <w:u w:val="single"/>
                    </w:rPr>
                    <w:t>1次/月</w:t>
                  </w:r>
                </w:p>
              </w:tc>
              <w:tc>
                <w:tcPr>
                  <w:tcW w:w="796" w:type="pct"/>
                  <w:noWrap w:val="0"/>
                  <w:vAlign w:val="center"/>
                </w:tcPr>
                <w:p w14:paraId="15BC1006">
                  <w:pPr>
                    <w:jc w:val="center"/>
                    <w:rPr>
                      <w:rFonts w:eastAsia="宋体"/>
                      <w:sz w:val="21"/>
                      <w:szCs w:val="21"/>
                      <w:u w:val="single"/>
                    </w:rPr>
                  </w:pPr>
                  <w:r>
                    <w:rPr>
                      <w:rFonts w:hint="eastAsia" w:eastAsia="宋体"/>
                      <w:sz w:val="21"/>
                      <w:szCs w:val="21"/>
                      <w:u w:val="single"/>
                    </w:rPr>
                    <w:t>氮氧化物</w:t>
                  </w:r>
                </w:p>
              </w:tc>
              <w:tc>
                <w:tcPr>
                  <w:tcW w:w="1689" w:type="pct"/>
                  <w:vMerge w:val="continue"/>
                  <w:noWrap w:val="0"/>
                  <w:vAlign w:val="center"/>
                </w:tcPr>
                <w:p w14:paraId="415C4802">
                  <w:pPr>
                    <w:jc w:val="center"/>
                    <w:rPr>
                      <w:rFonts w:hint="eastAsia" w:eastAsia="宋体"/>
                      <w:sz w:val="21"/>
                      <w:szCs w:val="21"/>
                      <w:u w:val="single"/>
                    </w:rPr>
                  </w:pPr>
                </w:p>
              </w:tc>
            </w:tr>
            <w:tr w14:paraId="6AEF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002D01B">
                  <w:pPr>
                    <w:jc w:val="center"/>
                    <w:rPr>
                      <w:rFonts w:eastAsia="宋体"/>
                      <w:sz w:val="21"/>
                      <w:szCs w:val="21"/>
                      <w:u w:val="single"/>
                    </w:rPr>
                  </w:pPr>
                </w:p>
              </w:tc>
              <w:tc>
                <w:tcPr>
                  <w:tcW w:w="1298" w:type="pct"/>
                  <w:vMerge w:val="continue"/>
                  <w:noWrap w:val="0"/>
                  <w:vAlign w:val="center"/>
                </w:tcPr>
                <w:p w14:paraId="251B82CD">
                  <w:pPr>
                    <w:jc w:val="center"/>
                    <w:rPr>
                      <w:rFonts w:eastAsia="宋体"/>
                      <w:sz w:val="21"/>
                      <w:szCs w:val="21"/>
                      <w:u w:val="single"/>
                    </w:rPr>
                  </w:pPr>
                </w:p>
              </w:tc>
              <w:tc>
                <w:tcPr>
                  <w:tcW w:w="448" w:type="pct"/>
                  <w:vMerge w:val="continue"/>
                  <w:noWrap w:val="0"/>
                  <w:vAlign w:val="center"/>
                </w:tcPr>
                <w:p w14:paraId="79E8D612">
                  <w:pPr>
                    <w:jc w:val="center"/>
                    <w:rPr>
                      <w:rFonts w:eastAsia="宋体"/>
                      <w:sz w:val="21"/>
                      <w:szCs w:val="21"/>
                      <w:u w:val="single"/>
                    </w:rPr>
                  </w:pPr>
                </w:p>
              </w:tc>
              <w:tc>
                <w:tcPr>
                  <w:tcW w:w="475" w:type="pct"/>
                  <w:noWrap w:val="0"/>
                  <w:vAlign w:val="center"/>
                </w:tcPr>
                <w:p w14:paraId="6AE30CBA">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495B9478">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4D20DD91">
                  <w:pPr>
                    <w:jc w:val="center"/>
                    <w:rPr>
                      <w:rFonts w:hint="eastAsia" w:eastAsia="宋体"/>
                      <w:sz w:val="21"/>
                      <w:szCs w:val="21"/>
                      <w:u w:val="single"/>
                    </w:rPr>
                  </w:pPr>
                </w:p>
              </w:tc>
            </w:tr>
            <w:tr w14:paraId="2119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AB43694">
                  <w:pPr>
                    <w:jc w:val="center"/>
                    <w:rPr>
                      <w:rFonts w:eastAsia="宋体"/>
                      <w:sz w:val="21"/>
                      <w:szCs w:val="21"/>
                      <w:u w:val="single"/>
                    </w:rPr>
                  </w:pPr>
                </w:p>
              </w:tc>
              <w:tc>
                <w:tcPr>
                  <w:tcW w:w="1298" w:type="pct"/>
                  <w:noWrap w:val="0"/>
                  <w:vAlign w:val="center"/>
                </w:tcPr>
                <w:p w14:paraId="5E1ACD4D">
                  <w:pPr>
                    <w:jc w:val="center"/>
                    <w:rPr>
                      <w:rFonts w:eastAsia="宋体"/>
                      <w:sz w:val="21"/>
                      <w:szCs w:val="21"/>
                      <w:u w:val="single"/>
                    </w:rPr>
                  </w:pPr>
                  <w:r>
                    <w:rPr>
                      <w:rFonts w:eastAsia="宋体"/>
                      <w:sz w:val="21"/>
                      <w:szCs w:val="21"/>
                      <w:u w:val="single"/>
                    </w:rPr>
                    <w:t>1#</w:t>
                  </w:r>
                  <w:r>
                    <w:rPr>
                      <w:rFonts w:hint="eastAsia" w:eastAsia="宋体"/>
                      <w:sz w:val="21"/>
                      <w:szCs w:val="21"/>
                      <w:u w:val="single"/>
                    </w:rPr>
                    <w:t>磨前煤仓排放口</w:t>
                  </w:r>
                </w:p>
              </w:tc>
              <w:tc>
                <w:tcPr>
                  <w:tcW w:w="448" w:type="pct"/>
                  <w:noWrap w:val="0"/>
                  <w:vAlign w:val="center"/>
                </w:tcPr>
                <w:p w14:paraId="00820550">
                  <w:pPr>
                    <w:jc w:val="center"/>
                    <w:rPr>
                      <w:rFonts w:eastAsia="宋体"/>
                      <w:sz w:val="21"/>
                      <w:szCs w:val="21"/>
                      <w:u w:val="single"/>
                    </w:rPr>
                  </w:pPr>
                  <w:r>
                    <w:rPr>
                      <w:rFonts w:eastAsia="宋体"/>
                      <w:sz w:val="21"/>
                      <w:szCs w:val="21"/>
                      <w:u w:val="single"/>
                    </w:rPr>
                    <w:t>DA010</w:t>
                  </w:r>
                </w:p>
              </w:tc>
              <w:tc>
                <w:tcPr>
                  <w:tcW w:w="475" w:type="pct"/>
                  <w:noWrap w:val="0"/>
                  <w:vAlign w:val="center"/>
                </w:tcPr>
                <w:p w14:paraId="72B298A5">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1E36CB54">
                  <w:pPr>
                    <w:jc w:val="center"/>
                    <w:rPr>
                      <w:rFonts w:eastAsia="宋体"/>
                      <w:sz w:val="21"/>
                      <w:szCs w:val="21"/>
                      <w:u w:val="single"/>
                    </w:rPr>
                  </w:pPr>
                  <w:r>
                    <w:rPr>
                      <w:rFonts w:hint="eastAsia" w:eastAsia="宋体"/>
                      <w:sz w:val="21"/>
                      <w:szCs w:val="21"/>
                      <w:u w:val="single"/>
                    </w:rPr>
                    <w:t>颗粒物</w:t>
                  </w:r>
                </w:p>
              </w:tc>
              <w:tc>
                <w:tcPr>
                  <w:tcW w:w="1689" w:type="pct"/>
                  <w:vMerge w:val="restart"/>
                  <w:noWrap w:val="0"/>
                  <w:vAlign w:val="center"/>
                </w:tcPr>
                <w:p w14:paraId="24C37E44">
                  <w:pPr>
                    <w:jc w:val="center"/>
                    <w:rPr>
                      <w:rFonts w:hint="eastAsia" w:eastAsia="宋体"/>
                      <w:sz w:val="21"/>
                      <w:szCs w:val="21"/>
                      <w:u w:val="single"/>
                    </w:rPr>
                  </w:pPr>
                  <w:r>
                    <w:rPr>
                      <w:rFonts w:hint="eastAsia" w:eastAsia="宋体"/>
                      <w:sz w:val="21"/>
                      <w:szCs w:val="21"/>
                      <w:u w:val="single"/>
                    </w:rPr>
                    <w:t>《大气污染物综合排放标准》(GB16297-1996)</w:t>
                  </w:r>
                </w:p>
              </w:tc>
            </w:tr>
            <w:tr w14:paraId="47A6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14CBDBA">
                  <w:pPr>
                    <w:jc w:val="center"/>
                    <w:rPr>
                      <w:rFonts w:eastAsia="宋体"/>
                      <w:sz w:val="21"/>
                      <w:szCs w:val="21"/>
                      <w:u w:val="single"/>
                    </w:rPr>
                  </w:pPr>
                </w:p>
              </w:tc>
              <w:tc>
                <w:tcPr>
                  <w:tcW w:w="1298" w:type="pct"/>
                  <w:noWrap w:val="0"/>
                  <w:vAlign w:val="center"/>
                </w:tcPr>
                <w:p w14:paraId="321D7F8A">
                  <w:pPr>
                    <w:jc w:val="center"/>
                    <w:rPr>
                      <w:rFonts w:eastAsia="宋体"/>
                      <w:sz w:val="21"/>
                      <w:szCs w:val="21"/>
                      <w:u w:val="single"/>
                    </w:rPr>
                  </w:pPr>
                  <w:r>
                    <w:rPr>
                      <w:rFonts w:hint="eastAsia" w:eastAsia="宋体"/>
                      <w:sz w:val="21"/>
                      <w:szCs w:val="21"/>
                      <w:u w:val="single"/>
                    </w:rPr>
                    <w:t>1</w:t>
                  </w:r>
                  <w:r>
                    <w:rPr>
                      <w:rFonts w:eastAsia="宋体"/>
                      <w:sz w:val="21"/>
                      <w:szCs w:val="21"/>
                      <w:u w:val="single"/>
                    </w:rPr>
                    <w:t>#</w:t>
                  </w:r>
                  <w:r>
                    <w:rPr>
                      <w:rFonts w:hint="eastAsia" w:eastAsia="宋体"/>
                      <w:sz w:val="21"/>
                      <w:szCs w:val="21"/>
                      <w:u w:val="single"/>
                    </w:rPr>
                    <w:t>煤加压尾气排放口</w:t>
                  </w:r>
                </w:p>
              </w:tc>
              <w:tc>
                <w:tcPr>
                  <w:tcW w:w="448" w:type="pct"/>
                  <w:noWrap w:val="0"/>
                  <w:vAlign w:val="center"/>
                </w:tcPr>
                <w:p w14:paraId="7B8404ED">
                  <w:pPr>
                    <w:jc w:val="center"/>
                    <w:rPr>
                      <w:rFonts w:hint="eastAsia" w:eastAsia="宋体"/>
                      <w:sz w:val="21"/>
                      <w:szCs w:val="21"/>
                      <w:u w:val="single"/>
                    </w:rPr>
                  </w:pPr>
                  <w:r>
                    <w:rPr>
                      <w:rFonts w:eastAsia="宋体"/>
                      <w:sz w:val="21"/>
                      <w:szCs w:val="21"/>
                      <w:u w:val="single"/>
                    </w:rPr>
                    <w:t>DA01</w:t>
                  </w:r>
                  <w:r>
                    <w:rPr>
                      <w:rFonts w:hint="eastAsia" w:eastAsia="宋体"/>
                      <w:sz w:val="21"/>
                      <w:szCs w:val="21"/>
                      <w:u w:val="single"/>
                    </w:rPr>
                    <w:t>1</w:t>
                  </w:r>
                </w:p>
              </w:tc>
              <w:tc>
                <w:tcPr>
                  <w:tcW w:w="475" w:type="pct"/>
                  <w:noWrap w:val="0"/>
                  <w:vAlign w:val="center"/>
                </w:tcPr>
                <w:p w14:paraId="66B3447A">
                  <w:pPr>
                    <w:jc w:val="center"/>
                    <w:rPr>
                      <w:rFonts w:hint="eastAsia" w:eastAsia="宋体"/>
                      <w:sz w:val="21"/>
                      <w:szCs w:val="21"/>
                      <w:u w:val="single"/>
                    </w:rPr>
                  </w:pPr>
                  <w:r>
                    <w:rPr>
                      <w:rFonts w:hint="eastAsia" w:eastAsia="宋体"/>
                      <w:sz w:val="21"/>
                      <w:szCs w:val="21"/>
                      <w:u w:val="single"/>
                    </w:rPr>
                    <w:t>1次/半年</w:t>
                  </w:r>
                </w:p>
              </w:tc>
              <w:tc>
                <w:tcPr>
                  <w:tcW w:w="796" w:type="pct"/>
                  <w:noWrap w:val="0"/>
                  <w:vAlign w:val="center"/>
                </w:tcPr>
                <w:p w14:paraId="47E8224A">
                  <w:pPr>
                    <w:jc w:val="center"/>
                    <w:rPr>
                      <w:rFonts w:hint="eastAsia"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2B6FE08">
                  <w:pPr>
                    <w:jc w:val="center"/>
                    <w:rPr>
                      <w:rFonts w:hint="eastAsia" w:eastAsia="宋体"/>
                      <w:sz w:val="21"/>
                      <w:szCs w:val="21"/>
                      <w:u w:val="single"/>
                    </w:rPr>
                  </w:pPr>
                </w:p>
              </w:tc>
            </w:tr>
            <w:tr w14:paraId="6B1F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48A6A37">
                  <w:pPr>
                    <w:jc w:val="center"/>
                    <w:rPr>
                      <w:rFonts w:eastAsia="宋体"/>
                      <w:sz w:val="21"/>
                      <w:szCs w:val="21"/>
                      <w:u w:val="single"/>
                    </w:rPr>
                  </w:pPr>
                </w:p>
              </w:tc>
              <w:tc>
                <w:tcPr>
                  <w:tcW w:w="1298" w:type="pct"/>
                  <w:noWrap w:val="0"/>
                  <w:vAlign w:val="center"/>
                </w:tcPr>
                <w:p w14:paraId="3B4894F8">
                  <w:pPr>
                    <w:jc w:val="center"/>
                    <w:rPr>
                      <w:rFonts w:eastAsia="宋体"/>
                      <w:sz w:val="21"/>
                      <w:szCs w:val="21"/>
                      <w:u w:val="single"/>
                    </w:rPr>
                  </w:pPr>
                  <w:r>
                    <w:rPr>
                      <w:rFonts w:eastAsia="宋体"/>
                      <w:sz w:val="21"/>
                      <w:szCs w:val="21"/>
                      <w:u w:val="single"/>
                    </w:rPr>
                    <w:t>2#</w:t>
                  </w:r>
                  <w:r>
                    <w:rPr>
                      <w:rFonts w:hint="eastAsia" w:eastAsia="宋体"/>
                      <w:sz w:val="21"/>
                      <w:szCs w:val="21"/>
                      <w:u w:val="single"/>
                    </w:rPr>
                    <w:t>磨前煤仓排放口</w:t>
                  </w:r>
                </w:p>
              </w:tc>
              <w:tc>
                <w:tcPr>
                  <w:tcW w:w="448" w:type="pct"/>
                  <w:noWrap w:val="0"/>
                  <w:vAlign w:val="center"/>
                </w:tcPr>
                <w:p w14:paraId="7F6AE51A">
                  <w:pPr>
                    <w:jc w:val="center"/>
                    <w:rPr>
                      <w:rFonts w:eastAsia="宋体"/>
                      <w:sz w:val="21"/>
                      <w:szCs w:val="21"/>
                      <w:u w:val="single"/>
                    </w:rPr>
                  </w:pPr>
                  <w:r>
                    <w:rPr>
                      <w:rFonts w:eastAsia="宋体"/>
                      <w:sz w:val="21"/>
                      <w:szCs w:val="21"/>
                      <w:u w:val="single"/>
                    </w:rPr>
                    <w:t>DA012</w:t>
                  </w:r>
                </w:p>
              </w:tc>
              <w:tc>
                <w:tcPr>
                  <w:tcW w:w="475" w:type="pct"/>
                  <w:noWrap w:val="0"/>
                  <w:vAlign w:val="center"/>
                </w:tcPr>
                <w:p w14:paraId="1DC93AFB">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8F5F7CD">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51EB3209">
                  <w:pPr>
                    <w:jc w:val="center"/>
                    <w:rPr>
                      <w:rFonts w:hint="eastAsia" w:eastAsia="宋体"/>
                      <w:sz w:val="21"/>
                      <w:szCs w:val="21"/>
                      <w:u w:val="single"/>
                    </w:rPr>
                  </w:pPr>
                </w:p>
              </w:tc>
            </w:tr>
            <w:tr w14:paraId="3C38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E0973C8">
                  <w:pPr>
                    <w:jc w:val="center"/>
                    <w:rPr>
                      <w:rFonts w:eastAsia="宋体"/>
                      <w:sz w:val="21"/>
                      <w:szCs w:val="21"/>
                      <w:u w:val="single"/>
                    </w:rPr>
                  </w:pPr>
                </w:p>
              </w:tc>
              <w:tc>
                <w:tcPr>
                  <w:tcW w:w="1298" w:type="pct"/>
                  <w:noWrap w:val="0"/>
                  <w:vAlign w:val="center"/>
                </w:tcPr>
                <w:p w14:paraId="49EAE92B">
                  <w:pPr>
                    <w:jc w:val="center"/>
                    <w:rPr>
                      <w:rFonts w:eastAsia="宋体"/>
                      <w:sz w:val="21"/>
                      <w:szCs w:val="21"/>
                      <w:u w:val="single"/>
                    </w:rPr>
                  </w:pPr>
                  <w:r>
                    <w:rPr>
                      <w:rFonts w:eastAsia="宋体"/>
                      <w:sz w:val="21"/>
                      <w:szCs w:val="21"/>
                      <w:u w:val="single"/>
                    </w:rPr>
                    <w:t>2#</w:t>
                  </w:r>
                  <w:r>
                    <w:rPr>
                      <w:rFonts w:hint="eastAsia" w:eastAsia="宋体"/>
                      <w:sz w:val="21"/>
                      <w:szCs w:val="21"/>
                      <w:u w:val="single"/>
                    </w:rPr>
                    <w:t>煤加压尾气排放口</w:t>
                  </w:r>
                </w:p>
              </w:tc>
              <w:tc>
                <w:tcPr>
                  <w:tcW w:w="448" w:type="pct"/>
                  <w:noWrap w:val="0"/>
                  <w:vAlign w:val="center"/>
                </w:tcPr>
                <w:p w14:paraId="2E17B719">
                  <w:pPr>
                    <w:jc w:val="center"/>
                    <w:rPr>
                      <w:rFonts w:eastAsia="宋体"/>
                      <w:sz w:val="21"/>
                      <w:szCs w:val="21"/>
                      <w:u w:val="single"/>
                    </w:rPr>
                  </w:pPr>
                  <w:r>
                    <w:rPr>
                      <w:rFonts w:eastAsia="宋体"/>
                      <w:sz w:val="21"/>
                      <w:szCs w:val="21"/>
                      <w:u w:val="single"/>
                    </w:rPr>
                    <w:t>DA013</w:t>
                  </w:r>
                </w:p>
              </w:tc>
              <w:tc>
                <w:tcPr>
                  <w:tcW w:w="475" w:type="pct"/>
                  <w:noWrap w:val="0"/>
                  <w:vAlign w:val="center"/>
                </w:tcPr>
                <w:p w14:paraId="1E1FAA56">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762C2144">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730FC506">
                  <w:pPr>
                    <w:jc w:val="center"/>
                    <w:rPr>
                      <w:rFonts w:hint="eastAsia" w:eastAsia="宋体"/>
                      <w:sz w:val="21"/>
                      <w:szCs w:val="21"/>
                      <w:u w:val="single"/>
                    </w:rPr>
                  </w:pPr>
                </w:p>
              </w:tc>
            </w:tr>
            <w:tr w14:paraId="14A2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DCC9CDE">
                  <w:pPr>
                    <w:jc w:val="center"/>
                    <w:rPr>
                      <w:rFonts w:eastAsia="宋体"/>
                      <w:sz w:val="21"/>
                      <w:szCs w:val="21"/>
                      <w:u w:val="single"/>
                    </w:rPr>
                  </w:pPr>
                </w:p>
              </w:tc>
              <w:tc>
                <w:tcPr>
                  <w:tcW w:w="1298" w:type="pct"/>
                  <w:noWrap w:val="0"/>
                  <w:vAlign w:val="center"/>
                </w:tcPr>
                <w:p w14:paraId="587629EA">
                  <w:pPr>
                    <w:jc w:val="center"/>
                    <w:rPr>
                      <w:rFonts w:eastAsia="宋体"/>
                      <w:sz w:val="21"/>
                      <w:szCs w:val="21"/>
                      <w:u w:val="single"/>
                    </w:rPr>
                  </w:pPr>
                  <w:r>
                    <w:rPr>
                      <w:rFonts w:eastAsia="宋体"/>
                      <w:sz w:val="21"/>
                      <w:szCs w:val="21"/>
                      <w:u w:val="single"/>
                    </w:rPr>
                    <w:t>3#</w:t>
                  </w:r>
                  <w:r>
                    <w:rPr>
                      <w:rFonts w:hint="eastAsia" w:eastAsia="宋体"/>
                      <w:sz w:val="21"/>
                      <w:szCs w:val="21"/>
                      <w:u w:val="single"/>
                    </w:rPr>
                    <w:t>磨前煤仓</w:t>
                  </w:r>
                  <w:r>
                    <w:rPr>
                      <w:rFonts w:hint="eastAsia"/>
                      <w:sz w:val="21"/>
                      <w:szCs w:val="21"/>
                      <w:u w:val="single"/>
                      <w:lang w:eastAsia="zh-CN"/>
                    </w:rPr>
                    <w:t>排放</w:t>
                  </w:r>
                  <w:r>
                    <w:rPr>
                      <w:rFonts w:hint="eastAsia" w:eastAsia="宋体"/>
                      <w:sz w:val="21"/>
                      <w:szCs w:val="21"/>
                      <w:u w:val="single"/>
                    </w:rPr>
                    <w:t>口</w:t>
                  </w:r>
                </w:p>
              </w:tc>
              <w:tc>
                <w:tcPr>
                  <w:tcW w:w="448" w:type="pct"/>
                  <w:noWrap w:val="0"/>
                  <w:vAlign w:val="center"/>
                </w:tcPr>
                <w:p w14:paraId="4277AE3E">
                  <w:pPr>
                    <w:jc w:val="center"/>
                    <w:rPr>
                      <w:rFonts w:eastAsia="宋体"/>
                      <w:sz w:val="21"/>
                      <w:szCs w:val="21"/>
                      <w:u w:val="single"/>
                    </w:rPr>
                  </w:pPr>
                  <w:r>
                    <w:rPr>
                      <w:rFonts w:eastAsia="宋体"/>
                      <w:sz w:val="21"/>
                      <w:szCs w:val="21"/>
                      <w:u w:val="single"/>
                    </w:rPr>
                    <w:t>DA014</w:t>
                  </w:r>
                </w:p>
              </w:tc>
              <w:tc>
                <w:tcPr>
                  <w:tcW w:w="475" w:type="pct"/>
                  <w:noWrap w:val="0"/>
                  <w:vAlign w:val="center"/>
                </w:tcPr>
                <w:p w14:paraId="344F1D96">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645AFE3">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6E9B368E">
                  <w:pPr>
                    <w:jc w:val="center"/>
                    <w:rPr>
                      <w:rFonts w:hint="eastAsia" w:eastAsia="宋体"/>
                      <w:sz w:val="21"/>
                      <w:szCs w:val="21"/>
                      <w:u w:val="single"/>
                    </w:rPr>
                  </w:pPr>
                </w:p>
              </w:tc>
            </w:tr>
            <w:tr w14:paraId="1300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7914F95">
                  <w:pPr>
                    <w:jc w:val="center"/>
                    <w:rPr>
                      <w:rFonts w:eastAsia="宋体"/>
                      <w:sz w:val="21"/>
                      <w:szCs w:val="21"/>
                      <w:u w:val="single"/>
                    </w:rPr>
                  </w:pPr>
                </w:p>
              </w:tc>
              <w:tc>
                <w:tcPr>
                  <w:tcW w:w="1298" w:type="pct"/>
                  <w:noWrap w:val="0"/>
                  <w:vAlign w:val="center"/>
                </w:tcPr>
                <w:p w14:paraId="6C9930E3">
                  <w:pPr>
                    <w:jc w:val="center"/>
                    <w:rPr>
                      <w:rFonts w:eastAsia="宋体"/>
                      <w:sz w:val="21"/>
                      <w:szCs w:val="21"/>
                      <w:u w:val="single"/>
                    </w:rPr>
                  </w:pPr>
                  <w:r>
                    <w:rPr>
                      <w:rFonts w:eastAsia="宋体"/>
                      <w:sz w:val="21"/>
                      <w:szCs w:val="21"/>
                      <w:u w:val="single"/>
                    </w:rPr>
                    <w:t>3#</w:t>
                  </w:r>
                  <w:r>
                    <w:rPr>
                      <w:rFonts w:hint="eastAsia" w:eastAsia="宋体"/>
                      <w:sz w:val="21"/>
                      <w:szCs w:val="21"/>
                      <w:u w:val="single"/>
                    </w:rPr>
                    <w:t>煤加压尾气排放口</w:t>
                  </w:r>
                </w:p>
              </w:tc>
              <w:tc>
                <w:tcPr>
                  <w:tcW w:w="448" w:type="pct"/>
                  <w:noWrap w:val="0"/>
                  <w:vAlign w:val="center"/>
                </w:tcPr>
                <w:p w14:paraId="2E6F9C2B">
                  <w:pPr>
                    <w:jc w:val="center"/>
                    <w:rPr>
                      <w:rFonts w:eastAsia="宋体"/>
                      <w:sz w:val="21"/>
                      <w:szCs w:val="21"/>
                      <w:u w:val="single"/>
                    </w:rPr>
                  </w:pPr>
                  <w:r>
                    <w:rPr>
                      <w:rFonts w:eastAsia="宋体"/>
                      <w:sz w:val="21"/>
                      <w:szCs w:val="21"/>
                      <w:u w:val="single"/>
                    </w:rPr>
                    <w:t>DA015</w:t>
                  </w:r>
                </w:p>
              </w:tc>
              <w:tc>
                <w:tcPr>
                  <w:tcW w:w="475" w:type="pct"/>
                  <w:noWrap w:val="0"/>
                  <w:vAlign w:val="center"/>
                </w:tcPr>
                <w:p w14:paraId="1A2E2288">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1CBED306">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33A40E8">
                  <w:pPr>
                    <w:jc w:val="center"/>
                    <w:rPr>
                      <w:rFonts w:hint="eastAsia" w:eastAsia="宋体"/>
                      <w:sz w:val="21"/>
                      <w:szCs w:val="21"/>
                      <w:u w:val="single"/>
                    </w:rPr>
                  </w:pPr>
                </w:p>
              </w:tc>
            </w:tr>
            <w:tr w14:paraId="42EC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843722D">
                  <w:pPr>
                    <w:jc w:val="center"/>
                    <w:rPr>
                      <w:rFonts w:eastAsia="宋体"/>
                      <w:sz w:val="21"/>
                      <w:szCs w:val="21"/>
                      <w:u w:val="single"/>
                    </w:rPr>
                  </w:pPr>
                </w:p>
              </w:tc>
              <w:tc>
                <w:tcPr>
                  <w:tcW w:w="1298" w:type="pct"/>
                  <w:noWrap w:val="0"/>
                  <w:vAlign w:val="center"/>
                </w:tcPr>
                <w:p w14:paraId="1161C896">
                  <w:pPr>
                    <w:jc w:val="center"/>
                    <w:rPr>
                      <w:rFonts w:eastAsia="宋体"/>
                      <w:sz w:val="21"/>
                      <w:szCs w:val="21"/>
                      <w:u w:val="single"/>
                    </w:rPr>
                  </w:pPr>
                  <w:r>
                    <w:rPr>
                      <w:rFonts w:eastAsia="宋体"/>
                      <w:sz w:val="21"/>
                      <w:szCs w:val="21"/>
                      <w:u w:val="single"/>
                    </w:rPr>
                    <w:t>4#</w:t>
                  </w:r>
                  <w:r>
                    <w:rPr>
                      <w:rFonts w:hint="eastAsia" w:eastAsia="宋体"/>
                      <w:sz w:val="21"/>
                      <w:szCs w:val="21"/>
                      <w:u w:val="single"/>
                    </w:rPr>
                    <w:t>磨前煤仓</w:t>
                  </w:r>
                  <w:r>
                    <w:rPr>
                      <w:rFonts w:hint="eastAsia"/>
                      <w:sz w:val="21"/>
                      <w:szCs w:val="21"/>
                      <w:u w:val="single"/>
                      <w:lang w:eastAsia="zh-CN"/>
                    </w:rPr>
                    <w:t>排放</w:t>
                  </w:r>
                  <w:r>
                    <w:rPr>
                      <w:rFonts w:hint="eastAsia" w:eastAsia="宋体"/>
                      <w:sz w:val="21"/>
                      <w:szCs w:val="21"/>
                      <w:u w:val="single"/>
                    </w:rPr>
                    <w:t>口</w:t>
                  </w:r>
                </w:p>
              </w:tc>
              <w:tc>
                <w:tcPr>
                  <w:tcW w:w="448" w:type="pct"/>
                  <w:noWrap w:val="0"/>
                  <w:vAlign w:val="center"/>
                </w:tcPr>
                <w:p w14:paraId="6C3A78E6">
                  <w:pPr>
                    <w:jc w:val="center"/>
                    <w:rPr>
                      <w:rFonts w:eastAsia="宋体"/>
                      <w:sz w:val="21"/>
                      <w:szCs w:val="21"/>
                      <w:u w:val="single"/>
                    </w:rPr>
                  </w:pPr>
                  <w:r>
                    <w:rPr>
                      <w:rFonts w:eastAsia="宋体"/>
                      <w:sz w:val="21"/>
                      <w:szCs w:val="21"/>
                      <w:u w:val="single"/>
                    </w:rPr>
                    <w:t>DA016</w:t>
                  </w:r>
                </w:p>
              </w:tc>
              <w:tc>
                <w:tcPr>
                  <w:tcW w:w="475" w:type="pct"/>
                  <w:noWrap w:val="0"/>
                  <w:vAlign w:val="center"/>
                </w:tcPr>
                <w:p w14:paraId="5AB84754">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2EEBF19B">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31EF7226">
                  <w:pPr>
                    <w:jc w:val="center"/>
                    <w:rPr>
                      <w:rFonts w:hint="eastAsia" w:eastAsia="宋体"/>
                      <w:sz w:val="21"/>
                      <w:szCs w:val="21"/>
                      <w:u w:val="single"/>
                    </w:rPr>
                  </w:pPr>
                </w:p>
              </w:tc>
            </w:tr>
            <w:tr w14:paraId="7016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EB33661">
                  <w:pPr>
                    <w:jc w:val="center"/>
                    <w:rPr>
                      <w:rFonts w:eastAsia="宋体"/>
                      <w:sz w:val="21"/>
                      <w:szCs w:val="21"/>
                      <w:u w:val="single"/>
                    </w:rPr>
                  </w:pPr>
                </w:p>
              </w:tc>
              <w:tc>
                <w:tcPr>
                  <w:tcW w:w="1298" w:type="pct"/>
                  <w:noWrap w:val="0"/>
                  <w:vAlign w:val="center"/>
                </w:tcPr>
                <w:p w14:paraId="59E7C845">
                  <w:pPr>
                    <w:jc w:val="center"/>
                    <w:rPr>
                      <w:rFonts w:eastAsia="宋体"/>
                      <w:sz w:val="21"/>
                      <w:szCs w:val="21"/>
                      <w:u w:val="single"/>
                    </w:rPr>
                  </w:pPr>
                  <w:r>
                    <w:rPr>
                      <w:rFonts w:eastAsia="宋体"/>
                      <w:sz w:val="21"/>
                      <w:szCs w:val="21"/>
                      <w:u w:val="single"/>
                    </w:rPr>
                    <w:t>4#</w:t>
                  </w:r>
                  <w:r>
                    <w:rPr>
                      <w:rFonts w:hint="eastAsia" w:eastAsia="宋体"/>
                      <w:sz w:val="21"/>
                      <w:szCs w:val="21"/>
                      <w:u w:val="single"/>
                    </w:rPr>
                    <w:t>煤加压尾气排放口</w:t>
                  </w:r>
                </w:p>
              </w:tc>
              <w:tc>
                <w:tcPr>
                  <w:tcW w:w="448" w:type="pct"/>
                  <w:noWrap w:val="0"/>
                  <w:vAlign w:val="center"/>
                </w:tcPr>
                <w:p w14:paraId="11999DE5">
                  <w:pPr>
                    <w:jc w:val="center"/>
                    <w:rPr>
                      <w:rFonts w:eastAsia="宋体"/>
                      <w:sz w:val="21"/>
                      <w:szCs w:val="21"/>
                      <w:u w:val="single"/>
                    </w:rPr>
                  </w:pPr>
                  <w:r>
                    <w:rPr>
                      <w:rFonts w:eastAsia="宋体"/>
                      <w:sz w:val="21"/>
                      <w:szCs w:val="21"/>
                      <w:u w:val="single"/>
                    </w:rPr>
                    <w:t>DA017</w:t>
                  </w:r>
                </w:p>
              </w:tc>
              <w:tc>
                <w:tcPr>
                  <w:tcW w:w="475" w:type="pct"/>
                  <w:noWrap w:val="0"/>
                  <w:vAlign w:val="center"/>
                </w:tcPr>
                <w:p w14:paraId="07287E8F">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493268D6">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0B6D1C05">
                  <w:pPr>
                    <w:jc w:val="center"/>
                    <w:rPr>
                      <w:rFonts w:hint="eastAsia" w:eastAsia="宋体"/>
                      <w:sz w:val="21"/>
                      <w:szCs w:val="21"/>
                      <w:u w:val="single"/>
                    </w:rPr>
                  </w:pPr>
                </w:p>
              </w:tc>
            </w:tr>
            <w:tr w14:paraId="5A3B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68BF27CB">
                  <w:pPr>
                    <w:jc w:val="center"/>
                    <w:rPr>
                      <w:rFonts w:eastAsia="宋体"/>
                      <w:sz w:val="21"/>
                      <w:szCs w:val="21"/>
                      <w:u w:val="single"/>
                    </w:rPr>
                  </w:pPr>
                </w:p>
              </w:tc>
              <w:tc>
                <w:tcPr>
                  <w:tcW w:w="1298" w:type="pct"/>
                  <w:noWrap w:val="0"/>
                  <w:vAlign w:val="center"/>
                </w:tcPr>
                <w:p w14:paraId="655295F3">
                  <w:pPr>
                    <w:jc w:val="center"/>
                    <w:rPr>
                      <w:rFonts w:eastAsia="宋体"/>
                      <w:sz w:val="21"/>
                      <w:szCs w:val="21"/>
                      <w:u w:val="single"/>
                    </w:rPr>
                  </w:pPr>
                  <w:r>
                    <w:rPr>
                      <w:rFonts w:eastAsia="宋体"/>
                      <w:sz w:val="21"/>
                      <w:szCs w:val="21"/>
                      <w:u w:val="single"/>
                    </w:rPr>
                    <w:t>5#</w:t>
                  </w:r>
                  <w:r>
                    <w:rPr>
                      <w:rFonts w:hint="eastAsia" w:eastAsia="宋体"/>
                      <w:sz w:val="21"/>
                      <w:szCs w:val="21"/>
                      <w:u w:val="single"/>
                    </w:rPr>
                    <w:t>磨前煤仓排放口</w:t>
                  </w:r>
                </w:p>
              </w:tc>
              <w:tc>
                <w:tcPr>
                  <w:tcW w:w="448" w:type="pct"/>
                  <w:noWrap w:val="0"/>
                  <w:vAlign w:val="center"/>
                </w:tcPr>
                <w:p w14:paraId="2E9FF5A3">
                  <w:pPr>
                    <w:jc w:val="center"/>
                    <w:rPr>
                      <w:rFonts w:eastAsia="宋体"/>
                      <w:sz w:val="21"/>
                      <w:szCs w:val="21"/>
                      <w:u w:val="single"/>
                    </w:rPr>
                  </w:pPr>
                  <w:r>
                    <w:rPr>
                      <w:rFonts w:eastAsia="宋体"/>
                      <w:sz w:val="21"/>
                      <w:szCs w:val="21"/>
                      <w:u w:val="single"/>
                    </w:rPr>
                    <w:t>DA018</w:t>
                  </w:r>
                </w:p>
              </w:tc>
              <w:tc>
                <w:tcPr>
                  <w:tcW w:w="475" w:type="pct"/>
                  <w:noWrap w:val="0"/>
                  <w:vAlign w:val="center"/>
                </w:tcPr>
                <w:p w14:paraId="3F1BE2B3">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4AB0AEEE">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519876B4">
                  <w:pPr>
                    <w:jc w:val="center"/>
                    <w:rPr>
                      <w:rFonts w:hint="eastAsia" w:eastAsia="宋体"/>
                      <w:sz w:val="21"/>
                      <w:szCs w:val="21"/>
                      <w:u w:val="single"/>
                    </w:rPr>
                  </w:pPr>
                </w:p>
              </w:tc>
            </w:tr>
            <w:tr w14:paraId="43AC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49BB29CF">
                  <w:pPr>
                    <w:jc w:val="center"/>
                    <w:rPr>
                      <w:rFonts w:eastAsia="宋体"/>
                      <w:sz w:val="21"/>
                      <w:szCs w:val="21"/>
                      <w:u w:val="single"/>
                    </w:rPr>
                  </w:pPr>
                </w:p>
              </w:tc>
              <w:tc>
                <w:tcPr>
                  <w:tcW w:w="1298" w:type="pct"/>
                  <w:noWrap w:val="0"/>
                  <w:vAlign w:val="center"/>
                </w:tcPr>
                <w:p w14:paraId="23C53B99">
                  <w:pPr>
                    <w:jc w:val="center"/>
                    <w:rPr>
                      <w:rFonts w:eastAsia="宋体"/>
                      <w:sz w:val="21"/>
                      <w:szCs w:val="21"/>
                      <w:u w:val="single"/>
                    </w:rPr>
                  </w:pPr>
                  <w:r>
                    <w:rPr>
                      <w:rFonts w:eastAsia="宋体"/>
                      <w:sz w:val="21"/>
                      <w:szCs w:val="21"/>
                      <w:u w:val="single"/>
                    </w:rPr>
                    <w:t>5#</w:t>
                  </w:r>
                  <w:r>
                    <w:rPr>
                      <w:rFonts w:hint="eastAsia" w:eastAsia="宋体"/>
                      <w:sz w:val="21"/>
                      <w:szCs w:val="21"/>
                      <w:u w:val="single"/>
                    </w:rPr>
                    <w:t>煤加压尾气排放口</w:t>
                  </w:r>
                </w:p>
              </w:tc>
              <w:tc>
                <w:tcPr>
                  <w:tcW w:w="448" w:type="pct"/>
                  <w:noWrap w:val="0"/>
                  <w:vAlign w:val="center"/>
                </w:tcPr>
                <w:p w14:paraId="73E61EBC">
                  <w:pPr>
                    <w:jc w:val="center"/>
                    <w:rPr>
                      <w:rFonts w:eastAsia="宋体"/>
                      <w:sz w:val="21"/>
                      <w:szCs w:val="21"/>
                      <w:u w:val="single"/>
                    </w:rPr>
                  </w:pPr>
                  <w:r>
                    <w:rPr>
                      <w:rFonts w:eastAsia="宋体"/>
                      <w:sz w:val="21"/>
                      <w:szCs w:val="21"/>
                      <w:u w:val="single"/>
                    </w:rPr>
                    <w:t>DA019</w:t>
                  </w:r>
                </w:p>
              </w:tc>
              <w:tc>
                <w:tcPr>
                  <w:tcW w:w="475" w:type="pct"/>
                  <w:noWrap w:val="0"/>
                  <w:vAlign w:val="center"/>
                </w:tcPr>
                <w:p w14:paraId="1C0D7C91">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66D7544E">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266E2AC">
                  <w:pPr>
                    <w:jc w:val="center"/>
                    <w:rPr>
                      <w:rFonts w:hint="eastAsia" w:eastAsia="宋体"/>
                      <w:sz w:val="21"/>
                      <w:szCs w:val="21"/>
                      <w:u w:val="single"/>
                    </w:rPr>
                  </w:pPr>
                </w:p>
              </w:tc>
            </w:tr>
            <w:tr w14:paraId="579A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3B96F4C">
                  <w:pPr>
                    <w:jc w:val="center"/>
                    <w:rPr>
                      <w:rFonts w:eastAsia="宋体"/>
                      <w:sz w:val="21"/>
                      <w:szCs w:val="21"/>
                      <w:u w:val="single"/>
                    </w:rPr>
                  </w:pPr>
                </w:p>
              </w:tc>
              <w:tc>
                <w:tcPr>
                  <w:tcW w:w="1298" w:type="pct"/>
                  <w:noWrap w:val="0"/>
                  <w:vAlign w:val="center"/>
                </w:tcPr>
                <w:p w14:paraId="6742B8BA">
                  <w:pPr>
                    <w:jc w:val="center"/>
                    <w:rPr>
                      <w:rFonts w:eastAsia="宋体"/>
                      <w:sz w:val="21"/>
                      <w:szCs w:val="21"/>
                      <w:u w:val="single"/>
                    </w:rPr>
                  </w:pPr>
                  <w:r>
                    <w:rPr>
                      <w:rFonts w:eastAsia="宋体"/>
                      <w:sz w:val="21"/>
                      <w:szCs w:val="21"/>
                      <w:u w:val="single"/>
                    </w:rPr>
                    <w:t>6#</w:t>
                  </w:r>
                  <w:r>
                    <w:rPr>
                      <w:rFonts w:hint="eastAsia" w:eastAsia="宋体"/>
                      <w:sz w:val="21"/>
                      <w:szCs w:val="21"/>
                      <w:u w:val="single"/>
                    </w:rPr>
                    <w:t>磨前煤仓排放口</w:t>
                  </w:r>
                </w:p>
              </w:tc>
              <w:tc>
                <w:tcPr>
                  <w:tcW w:w="448" w:type="pct"/>
                  <w:noWrap w:val="0"/>
                  <w:vAlign w:val="center"/>
                </w:tcPr>
                <w:p w14:paraId="0B78EB57">
                  <w:pPr>
                    <w:jc w:val="center"/>
                    <w:rPr>
                      <w:rFonts w:eastAsia="宋体"/>
                      <w:sz w:val="21"/>
                      <w:szCs w:val="21"/>
                      <w:u w:val="single"/>
                    </w:rPr>
                  </w:pPr>
                  <w:r>
                    <w:rPr>
                      <w:rFonts w:eastAsia="宋体"/>
                      <w:sz w:val="21"/>
                      <w:szCs w:val="21"/>
                      <w:u w:val="single"/>
                    </w:rPr>
                    <w:t>DA020</w:t>
                  </w:r>
                </w:p>
              </w:tc>
              <w:tc>
                <w:tcPr>
                  <w:tcW w:w="475" w:type="pct"/>
                  <w:noWrap w:val="0"/>
                  <w:vAlign w:val="center"/>
                </w:tcPr>
                <w:p w14:paraId="11FB1D45">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CFC095E">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25DEB71">
                  <w:pPr>
                    <w:jc w:val="center"/>
                    <w:rPr>
                      <w:rFonts w:hint="eastAsia" w:eastAsia="宋体"/>
                      <w:sz w:val="21"/>
                      <w:szCs w:val="21"/>
                      <w:u w:val="single"/>
                    </w:rPr>
                  </w:pPr>
                </w:p>
              </w:tc>
            </w:tr>
            <w:tr w14:paraId="089B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DD596E3">
                  <w:pPr>
                    <w:jc w:val="center"/>
                    <w:rPr>
                      <w:rFonts w:eastAsia="宋体"/>
                      <w:sz w:val="21"/>
                      <w:szCs w:val="21"/>
                      <w:u w:val="single"/>
                    </w:rPr>
                  </w:pPr>
                </w:p>
              </w:tc>
              <w:tc>
                <w:tcPr>
                  <w:tcW w:w="1298" w:type="pct"/>
                  <w:noWrap w:val="0"/>
                  <w:vAlign w:val="center"/>
                </w:tcPr>
                <w:p w14:paraId="499412AD">
                  <w:pPr>
                    <w:jc w:val="center"/>
                    <w:rPr>
                      <w:rFonts w:eastAsia="宋体"/>
                      <w:sz w:val="21"/>
                      <w:szCs w:val="21"/>
                      <w:u w:val="single"/>
                    </w:rPr>
                  </w:pPr>
                  <w:r>
                    <w:rPr>
                      <w:rFonts w:hint="eastAsia" w:eastAsia="宋体"/>
                      <w:sz w:val="21"/>
                      <w:szCs w:val="21"/>
                      <w:u w:val="single"/>
                    </w:rPr>
                    <w:t>变换加热炉尾气排放口</w:t>
                  </w:r>
                </w:p>
              </w:tc>
              <w:tc>
                <w:tcPr>
                  <w:tcW w:w="448" w:type="pct"/>
                  <w:noWrap w:val="0"/>
                  <w:vAlign w:val="center"/>
                </w:tcPr>
                <w:p w14:paraId="617C5CDD">
                  <w:pPr>
                    <w:jc w:val="center"/>
                    <w:rPr>
                      <w:rFonts w:eastAsia="宋体"/>
                      <w:sz w:val="21"/>
                      <w:szCs w:val="21"/>
                      <w:u w:val="single"/>
                    </w:rPr>
                  </w:pPr>
                  <w:r>
                    <w:rPr>
                      <w:rFonts w:eastAsia="宋体"/>
                      <w:sz w:val="21"/>
                      <w:szCs w:val="21"/>
                      <w:u w:val="single"/>
                    </w:rPr>
                    <w:t>DA021</w:t>
                  </w:r>
                </w:p>
              </w:tc>
              <w:tc>
                <w:tcPr>
                  <w:tcW w:w="475" w:type="pct"/>
                  <w:noWrap w:val="0"/>
                  <w:vAlign w:val="center"/>
                </w:tcPr>
                <w:p w14:paraId="2BC53051">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69FAB4B4">
                  <w:pPr>
                    <w:jc w:val="center"/>
                    <w:rPr>
                      <w:rFonts w:eastAsia="宋体"/>
                      <w:sz w:val="21"/>
                      <w:szCs w:val="21"/>
                      <w:u w:val="single"/>
                    </w:rPr>
                  </w:pPr>
                  <w:r>
                    <w:rPr>
                      <w:rFonts w:hint="eastAsia" w:eastAsia="宋体"/>
                      <w:sz w:val="21"/>
                      <w:szCs w:val="21"/>
                      <w:u w:val="single"/>
                    </w:rPr>
                    <w:t>氮氧化物、二氧化硫、颗粒物</w:t>
                  </w:r>
                </w:p>
              </w:tc>
              <w:tc>
                <w:tcPr>
                  <w:tcW w:w="1689" w:type="pct"/>
                  <w:noWrap w:val="0"/>
                  <w:vAlign w:val="center"/>
                </w:tcPr>
                <w:p w14:paraId="1037C612">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797F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4B6C788">
                  <w:pPr>
                    <w:jc w:val="center"/>
                    <w:rPr>
                      <w:rFonts w:eastAsia="宋体"/>
                      <w:sz w:val="21"/>
                      <w:szCs w:val="21"/>
                      <w:u w:val="single"/>
                    </w:rPr>
                  </w:pPr>
                </w:p>
              </w:tc>
              <w:tc>
                <w:tcPr>
                  <w:tcW w:w="1298" w:type="pct"/>
                  <w:noWrap w:val="0"/>
                  <w:vAlign w:val="center"/>
                </w:tcPr>
                <w:p w14:paraId="09DAE0CB">
                  <w:pPr>
                    <w:jc w:val="center"/>
                    <w:rPr>
                      <w:rFonts w:eastAsia="宋体"/>
                      <w:sz w:val="21"/>
                      <w:szCs w:val="21"/>
                      <w:u w:val="single"/>
                    </w:rPr>
                  </w:pPr>
                  <w:r>
                    <w:rPr>
                      <w:rFonts w:eastAsia="宋体"/>
                      <w:sz w:val="21"/>
                      <w:szCs w:val="21"/>
                      <w:u w:val="single"/>
                    </w:rPr>
                    <w:t>1#</w:t>
                  </w:r>
                  <w:r>
                    <w:rPr>
                      <w:rFonts w:hint="eastAsia" w:eastAsia="宋体"/>
                      <w:sz w:val="21"/>
                      <w:szCs w:val="21"/>
                      <w:u w:val="single"/>
                    </w:rPr>
                    <w:t>筒仓排放口</w:t>
                  </w:r>
                </w:p>
              </w:tc>
              <w:tc>
                <w:tcPr>
                  <w:tcW w:w="448" w:type="pct"/>
                  <w:noWrap w:val="0"/>
                  <w:vAlign w:val="center"/>
                </w:tcPr>
                <w:p w14:paraId="7E91572E">
                  <w:pPr>
                    <w:jc w:val="center"/>
                    <w:rPr>
                      <w:rFonts w:eastAsia="宋体"/>
                      <w:sz w:val="21"/>
                      <w:szCs w:val="21"/>
                      <w:u w:val="single"/>
                    </w:rPr>
                  </w:pPr>
                  <w:r>
                    <w:rPr>
                      <w:rFonts w:eastAsia="宋体"/>
                      <w:sz w:val="21"/>
                      <w:szCs w:val="21"/>
                      <w:u w:val="single"/>
                    </w:rPr>
                    <w:t>DA022</w:t>
                  </w:r>
                </w:p>
              </w:tc>
              <w:tc>
                <w:tcPr>
                  <w:tcW w:w="475" w:type="pct"/>
                  <w:noWrap w:val="0"/>
                  <w:vAlign w:val="center"/>
                </w:tcPr>
                <w:p w14:paraId="6A38ECA9">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092E012E">
                  <w:pPr>
                    <w:jc w:val="center"/>
                    <w:rPr>
                      <w:rFonts w:eastAsia="宋体"/>
                      <w:sz w:val="21"/>
                      <w:szCs w:val="21"/>
                      <w:u w:val="single"/>
                    </w:rPr>
                  </w:pPr>
                  <w:r>
                    <w:rPr>
                      <w:rFonts w:hint="eastAsia" w:eastAsia="宋体"/>
                      <w:sz w:val="21"/>
                      <w:szCs w:val="21"/>
                      <w:u w:val="single"/>
                    </w:rPr>
                    <w:t>颗粒物</w:t>
                  </w:r>
                </w:p>
              </w:tc>
              <w:tc>
                <w:tcPr>
                  <w:tcW w:w="1689" w:type="pct"/>
                  <w:vMerge w:val="restart"/>
                  <w:noWrap w:val="0"/>
                  <w:vAlign w:val="center"/>
                </w:tcPr>
                <w:p w14:paraId="6BEBB699">
                  <w:pPr>
                    <w:jc w:val="center"/>
                    <w:rPr>
                      <w:rFonts w:hint="eastAsia" w:eastAsia="宋体"/>
                      <w:sz w:val="21"/>
                      <w:szCs w:val="21"/>
                      <w:u w:val="single"/>
                    </w:rPr>
                  </w:pPr>
                  <w:r>
                    <w:rPr>
                      <w:rFonts w:hint="eastAsia" w:eastAsia="宋体"/>
                      <w:sz w:val="21"/>
                      <w:szCs w:val="21"/>
                      <w:u w:val="single"/>
                    </w:rPr>
                    <w:t>《大气污染物综合排放标准》(GB16297-1996)</w:t>
                  </w:r>
                </w:p>
              </w:tc>
            </w:tr>
            <w:tr w14:paraId="51F3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B5D8A31">
                  <w:pPr>
                    <w:jc w:val="center"/>
                    <w:rPr>
                      <w:rFonts w:eastAsia="宋体"/>
                      <w:sz w:val="21"/>
                      <w:szCs w:val="21"/>
                      <w:u w:val="single"/>
                    </w:rPr>
                  </w:pPr>
                </w:p>
              </w:tc>
              <w:tc>
                <w:tcPr>
                  <w:tcW w:w="1298" w:type="pct"/>
                  <w:noWrap w:val="0"/>
                  <w:vAlign w:val="center"/>
                </w:tcPr>
                <w:p w14:paraId="5F5CB118">
                  <w:pPr>
                    <w:jc w:val="center"/>
                    <w:rPr>
                      <w:rFonts w:eastAsia="宋体"/>
                      <w:sz w:val="21"/>
                      <w:szCs w:val="21"/>
                      <w:u w:val="single"/>
                    </w:rPr>
                  </w:pPr>
                  <w:r>
                    <w:rPr>
                      <w:rFonts w:eastAsia="宋体"/>
                      <w:sz w:val="21"/>
                      <w:szCs w:val="21"/>
                      <w:u w:val="single"/>
                    </w:rPr>
                    <w:t>2#</w:t>
                  </w:r>
                  <w:r>
                    <w:rPr>
                      <w:rFonts w:hint="eastAsia" w:eastAsia="宋体"/>
                      <w:sz w:val="21"/>
                      <w:szCs w:val="21"/>
                      <w:u w:val="single"/>
                    </w:rPr>
                    <w:t>筒仓排放口</w:t>
                  </w:r>
                </w:p>
              </w:tc>
              <w:tc>
                <w:tcPr>
                  <w:tcW w:w="448" w:type="pct"/>
                  <w:noWrap w:val="0"/>
                  <w:vAlign w:val="center"/>
                </w:tcPr>
                <w:p w14:paraId="0ECA4439">
                  <w:pPr>
                    <w:jc w:val="center"/>
                    <w:rPr>
                      <w:rFonts w:eastAsia="宋体"/>
                      <w:sz w:val="21"/>
                      <w:szCs w:val="21"/>
                      <w:u w:val="single"/>
                    </w:rPr>
                  </w:pPr>
                  <w:r>
                    <w:rPr>
                      <w:rFonts w:eastAsia="宋体"/>
                      <w:sz w:val="21"/>
                      <w:szCs w:val="21"/>
                      <w:u w:val="single"/>
                    </w:rPr>
                    <w:t>DA023</w:t>
                  </w:r>
                </w:p>
              </w:tc>
              <w:tc>
                <w:tcPr>
                  <w:tcW w:w="475" w:type="pct"/>
                  <w:noWrap w:val="0"/>
                  <w:vAlign w:val="center"/>
                </w:tcPr>
                <w:p w14:paraId="2BBF0E37">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6663C12C">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3279739">
                  <w:pPr>
                    <w:jc w:val="center"/>
                    <w:rPr>
                      <w:rFonts w:hint="eastAsia" w:eastAsia="宋体"/>
                      <w:sz w:val="21"/>
                      <w:szCs w:val="21"/>
                      <w:u w:val="single"/>
                    </w:rPr>
                  </w:pPr>
                </w:p>
              </w:tc>
            </w:tr>
            <w:tr w14:paraId="7AA7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6138A6C">
                  <w:pPr>
                    <w:jc w:val="center"/>
                    <w:rPr>
                      <w:rFonts w:eastAsia="宋体"/>
                      <w:sz w:val="21"/>
                      <w:szCs w:val="21"/>
                      <w:u w:val="single"/>
                    </w:rPr>
                  </w:pPr>
                </w:p>
              </w:tc>
              <w:tc>
                <w:tcPr>
                  <w:tcW w:w="1298" w:type="pct"/>
                  <w:noWrap w:val="0"/>
                  <w:vAlign w:val="center"/>
                </w:tcPr>
                <w:p w14:paraId="032A494B">
                  <w:pPr>
                    <w:jc w:val="center"/>
                    <w:rPr>
                      <w:rFonts w:eastAsia="宋体"/>
                      <w:sz w:val="21"/>
                      <w:szCs w:val="21"/>
                      <w:u w:val="single"/>
                    </w:rPr>
                  </w:pPr>
                  <w:r>
                    <w:rPr>
                      <w:rFonts w:eastAsia="宋体"/>
                      <w:sz w:val="21"/>
                      <w:szCs w:val="21"/>
                      <w:u w:val="single"/>
                    </w:rPr>
                    <w:t>3#</w:t>
                  </w:r>
                  <w:r>
                    <w:rPr>
                      <w:rFonts w:hint="eastAsia" w:eastAsia="宋体"/>
                      <w:sz w:val="21"/>
                      <w:szCs w:val="21"/>
                      <w:u w:val="single"/>
                    </w:rPr>
                    <w:t>筒仓排放口</w:t>
                  </w:r>
                </w:p>
              </w:tc>
              <w:tc>
                <w:tcPr>
                  <w:tcW w:w="448" w:type="pct"/>
                  <w:noWrap w:val="0"/>
                  <w:vAlign w:val="center"/>
                </w:tcPr>
                <w:p w14:paraId="7B46DF71">
                  <w:pPr>
                    <w:jc w:val="center"/>
                    <w:rPr>
                      <w:rFonts w:eastAsia="宋体"/>
                      <w:sz w:val="21"/>
                      <w:szCs w:val="21"/>
                      <w:u w:val="single"/>
                    </w:rPr>
                  </w:pPr>
                  <w:r>
                    <w:rPr>
                      <w:rFonts w:eastAsia="宋体"/>
                      <w:sz w:val="21"/>
                      <w:szCs w:val="21"/>
                      <w:u w:val="single"/>
                    </w:rPr>
                    <w:t>DA024</w:t>
                  </w:r>
                </w:p>
              </w:tc>
              <w:tc>
                <w:tcPr>
                  <w:tcW w:w="475" w:type="pct"/>
                  <w:noWrap w:val="0"/>
                  <w:vAlign w:val="center"/>
                </w:tcPr>
                <w:p w14:paraId="10165850">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1EEECD3">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3DC8C92E">
                  <w:pPr>
                    <w:jc w:val="center"/>
                    <w:rPr>
                      <w:rFonts w:hint="eastAsia" w:eastAsia="宋体"/>
                      <w:sz w:val="21"/>
                      <w:szCs w:val="21"/>
                      <w:u w:val="single"/>
                    </w:rPr>
                  </w:pPr>
                </w:p>
              </w:tc>
            </w:tr>
            <w:tr w14:paraId="5967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3D10A59">
                  <w:pPr>
                    <w:jc w:val="center"/>
                    <w:rPr>
                      <w:rFonts w:eastAsia="宋体"/>
                      <w:sz w:val="21"/>
                      <w:szCs w:val="21"/>
                      <w:u w:val="single"/>
                    </w:rPr>
                  </w:pPr>
                </w:p>
              </w:tc>
              <w:tc>
                <w:tcPr>
                  <w:tcW w:w="1298" w:type="pct"/>
                  <w:noWrap w:val="0"/>
                  <w:vAlign w:val="center"/>
                </w:tcPr>
                <w:p w14:paraId="26FA1720">
                  <w:pPr>
                    <w:jc w:val="center"/>
                    <w:rPr>
                      <w:rFonts w:eastAsia="宋体"/>
                      <w:sz w:val="21"/>
                      <w:szCs w:val="21"/>
                      <w:u w:val="single"/>
                    </w:rPr>
                  </w:pPr>
                  <w:r>
                    <w:rPr>
                      <w:rFonts w:hint="eastAsia" w:eastAsia="宋体"/>
                      <w:sz w:val="21"/>
                      <w:szCs w:val="21"/>
                      <w:u w:val="single"/>
                    </w:rPr>
                    <w:t>灰渣干燥尾气排放口</w:t>
                  </w:r>
                </w:p>
              </w:tc>
              <w:tc>
                <w:tcPr>
                  <w:tcW w:w="448" w:type="pct"/>
                  <w:noWrap w:val="0"/>
                  <w:vAlign w:val="center"/>
                </w:tcPr>
                <w:p w14:paraId="789D461B">
                  <w:pPr>
                    <w:jc w:val="center"/>
                    <w:rPr>
                      <w:rFonts w:eastAsia="宋体"/>
                      <w:sz w:val="21"/>
                      <w:szCs w:val="21"/>
                      <w:u w:val="single"/>
                    </w:rPr>
                  </w:pPr>
                  <w:r>
                    <w:rPr>
                      <w:rFonts w:eastAsia="宋体"/>
                      <w:sz w:val="21"/>
                      <w:szCs w:val="21"/>
                      <w:u w:val="single"/>
                    </w:rPr>
                    <w:t>DA025</w:t>
                  </w:r>
                </w:p>
              </w:tc>
              <w:tc>
                <w:tcPr>
                  <w:tcW w:w="475" w:type="pct"/>
                  <w:noWrap w:val="0"/>
                  <w:vAlign w:val="center"/>
                </w:tcPr>
                <w:p w14:paraId="26B93D8E">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533BE20">
                  <w:pPr>
                    <w:jc w:val="center"/>
                    <w:rPr>
                      <w:rFonts w:eastAsia="宋体"/>
                      <w:sz w:val="21"/>
                      <w:szCs w:val="21"/>
                      <w:u w:val="single"/>
                    </w:rPr>
                  </w:pPr>
                  <w:r>
                    <w:rPr>
                      <w:rFonts w:hint="eastAsia" w:eastAsia="宋体"/>
                      <w:sz w:val="21"/>
                      <w:szCs w:val="21"/>
                      <w:u w:val="single"/>
                    </w:rPr>
                    <w:t>颗粒物</w:t>
                  </w:r>
                </w:p>
              </w:tc>
              <w:tc>
                <w:tcPr>
                  <w:tcW w:w="1689" w:type="pct"/>
                  <w:noWrap w:val="0"/>
                  <w:vAlign w:val="center"/>
                </w:tcPr>
                <w:p w14:paraId="5D3BE1AB">
                  <w:pPr>
                    <w:jc w:val="center"/>
                    <w:rPr>
                      <w:rFonts w:hint="eastAsia" w:eastAsia="宋体"/>
                      <w:sz w:val="21"/>
                      <w:szCs w:val="21"/>
                      <w:u w:val="single"/>
                    </w:rPr>
                  </w:pPr>
                  <w:r>
                    <w:rPr>
                      <w:rFonts w:hint="eastAsia" w:eastAsia="宋体"/>
                      <w:sz w:val="21"/>
                      <w:szCs w:val="21"/>
                      <w:u w:val="single"/>
                    </w:rPr>
                    <w:t>《大气污染物综合排放标准》(GB16297-1996)</w:t>
                  </w:r>
                </w:p>
              </w:tc>
            </w:tr>
            <w:tr w14:paraId="539A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242B49B">
                  <w:pPr>
                    <w:jc w:val="center"/>
                    <w:rPr>
                      <w:rFonts w:eastAsia="宋体"/>
                      <w:sz w:val="21"/>
                      <w:szCs w:val="21"/>
                      <w:u w:val="single"/>
                    </w:rPr>
                  </w:pPr>
                </w:p>
              </w:tc>
              <w:tc>
                <w:tcPr>
                  <w:tcW w:w="1298" w:type="pct"/>
                  <w:noWrap w:val="0"/>
                  <w:vAlign w:val="center"/>
                </w:tcPr>
                <w:p w14:paraId="202BC7FF">
                  <w:pPr>
                    <w:jc w:val="center"/>
                    <w:rPr>
                      <w:rFonts w:eastAsia="宋体"/>
                      <w:sz w:val="21"/>
                      <w:szCs w:val="21"/>
                      <w:u w:val="single"/>
                    </w:rPr>
                  </w:pPr>
                  <w:r>
                    <w:rPr>
                      <w:rFonts w:eastAsia="宋体"/>
                      <w:sz w:val="21"/>
                      <w:szCs w:val="21"/>
                      <w:u w:val="single"/>
                    </w:rPr>
                    <w:t>1#</w:t>
                  </w:r>
                  <w:r>
                    <w:rPr>
                      <w:rFonts w:hint="eastAsia" w:eastAsia="宋体"/>
                      <w:sz w:val="21"/>
                      <w:szCs w:val="21"/>
                      <w:u w:val="single"/>
                    </w:rPr>
                    <w:t>转运站排放口</w:t>
                  </w:r>
                </w:p>
              </w:tc>
              <w:tc>
                <w:tcPr>
                  <w:tcW w:w="448" w:type="pct"/>
                  <w:noWrap w:val="0"/>
                  <w:vAlign w:val="center"/>
                </w:tcPr>
                <w:p w14:paraId="29A29044">
                  <w:pPr>
                    <w:jc w:val="center"/>
                    <w:rPr>
                      <w:rFonts w:eastAsia="宋体"/>
                      <w:sz w:val="21"/>
                      <w:szCs w:val="21"/>
                      <w:u w:val="single"/>
                    </w:rPr>
                  </w:pPr>
                  <w:r>
                    <w:rPr>
                      <w:rFonts w:eastAsia="宋体"/>
                      <w:sz w:val="21"/>
                      <w:szCs w:val="21"/>
                      <w:u w:val="single"/>
                    </w:rPr>
                    <w:t>DA026</w:t>
                  </w:r>
                </w:p>
              </w:tc>
              <w:tc>
                <w:tcPr>
                  <w:tcW w:w="475" w:type="pct"/>
                  <w:noWrap w:val="0"/>
                  <w:vAlign w:val="center"/>
                </w:tcPr>
                <w:p w14:paraId="39A540D6">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095A1A40">
                  <w:pPr>
                    <w:jc w:val="center"/>
                    <w:rPr>
                      <w:rFonts w:eastAsia="宋体"/>
                      <w:sz w:val="21"/>
                      <w:szCs w:val="21"/>
                      <w:u w:val="single"/>
                    </w:rPr>
                  </w:pPr>
                  <w:r>
                    <w:rPr>
                      <w:rFonts w:hint="eastAsia" w:eastAsia="宋体"/>
                      <w:sz w:val="21"/>
                      <w:szCs w:val="21"/>
                      <w:u w:val="single"/>
                    </w:rPr>
                    <w:t>颗粒物</w:t>
                  </w:r>
                </w:p>
              </w:tc>
              <w:tc>
                <w:tcPr>
                  <w:tcW w:w="1689" w:type="pct"/>
                  <w:vMerge w:val="restart"/>
                  <w:noWrap w:val="0"/>
                  <w:vAlign w:val="center"/>
                </w:tcPr>
                <w:p w14:paraId="6B402AD3">
                  <w:pPr>
                    <w:jc w:val="center"/>
                    <w:rPr>
                      <w:rFonts w:hint="eastAsia" w:eastAsia="宋体"/>
                      <w:sz w:val="21"/>
                      <w:szCs w:val="21"/>
                      <w:u w:val="single"/>
                    </w:rPr>
                  </w:pPr>
                  <w:r>
                    <w:rPr>
                      <w:rFonts w:hint="eastAsia" w:eastAsia="宋体"/>
                      <w:sz w:val="21"/>
                      <w:szCs w:val="21"/>
                      <w:u w:val="single"/>
                    </w:rPr>
                    <w:t>《大气污染物综合排放标准》(GB16297-1996)</w:t>
                  </w:r>
                </w:p>
              </w:tc>
            </w:tr>
            <w:tr w14:paraId="70FF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67E54C3">
                  <w:pPr>
                    <w:jc w:val="center"/>
                    <w:rPr>
                      <w:rFonts w:eastAsia="宋体"/>
                      <w:sz w:val="21"/>
                      <w:szCs w:val="21"/>
                      <w:u w:val="single"/>
                    </w:rPr>
                  </w:pPr>
                </w:p>
              </w:tc>
              <w:tc>
                <w:tcPr>
                  <w:tcW w:w="1298" w:type="pct"/>
                  <w:noWrap w:val="0"/>
                  <w:vAlign w:val="center"/>
                </w:tcPr>
                <w:p w14:paraId="6C5989D7">
                  <w:pPr>
                    <w:jc w:val="center"/>
                    <w:rPr>
                      <w:rFonts w:eastAsia="宋体"/>
                      <w:sz w:val="21"/>
                      <w:szCs w:val="21"/>
                      <w:u w:val="single"/>
                    </w:rPr>
                  </w:pPr>
                  <w:r>
                    <w:rPr>
                      <w:rFonts w:eastAsia="宋体"/>
                      <w:sz w:val="21"/>
                      <w:szCs w:val="21"/>
                      <w:u w:val="single"/>
                    </w:rPr>
                    <w:t>2#</w:t>
                  </w:r>
                  <w:r>
                    <w:rPr>
                      <w:rFonts w:hint="eastAsia" w:eastAsia="宋体"/>
                      <w:sz w:val="21"/>
                      <w:szCs w:val="21"/>
                      <w:u w:val="single"/>
                    </w:rPr>
                    <w:t>转运站排放口</w:t>
                  </w:r>
                </w:p>
              </w:tc>
              <w:tc>
                <w:tcPr>
                  <w:tcW w:w="448" w:type="pct"/>
                  <w:noWrap w:val="0"/>
                  <w:vAlign w:val="center"/>
                </w:tcPr>
                <w:p w14:paraId="2F684973">
                  <w:pPr>
                    <w:jc w:val="center"/>
                    <w:rPr>
                      <w:rFonts w:eastAsia="宋体"/>
                      <w:sz w:val="21"/>
                      <w:szCs w:val="21"/>
                      <w:u w:val="single"/>
                    </w:rPr>
                  </w:pPr>
                  <w:r>
                    <w:rPr>
                      <w:rFonts w:eastAsia="宋体"/>
                      <w:sz w:val="21"/>
                      <w:szCs w:val="21"/>
                      <w:u w:val="single"/>
                    </w:rPr>
                    <w:t>DA027</w:t>
                  </w:r>
                </w:p>
              </w:tc>
              <w:tc>
                <w:tcPr>
                  <w:tcW w:w="475" w:type="pct"/>
                  <w:noWrap w:val="0"/>
                  <w:vAlign w:val="center"/>
                </w:tcPr>
                <w:p w14:paraId="73E4B057">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1B2EAB1D">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565C93C3">
                  <w:pPr>
                    <w:jc w:val="center"/>
                    <w:rPr>
                      <w:rFonts w:hint="eastAsia" w:eastAsia="宋体"/>
                      <w:sz w:val="21"/>
                      <w:szCs w:val="21"/>
                      <w:u w:val="single"/>
                    </w:rPr>
                  </w:pPr>
                </w:p>
              </w:tc>
            </w:tr>
            <w:tr w14:paraId="7060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585EA19">
                  <w:pPr>
                    <w:jc w:val="center"/>
                    <w:rPr>
                      <w:rFonts w:eastAsia="宋体"/>
                      <w:sz w:val="21"/>
                      <w:szCs w:val="21"/>
                      <w:u w:val="single"/>
                    </w:rPr>
                  </w:pPr>
                </w:p>
              </w:tc>
              <w:tc>
                <w:tcPr>
                  <w:tcW w:w="1298" w:type="pct"/>
                  <w:noWrap w:val="0"/>
                  <w:vAlign w:val="center"/>
                </w:tcPr>
                <w:p w14:paraId="43BD2352">
                  <w:pPr>
                    <w:jc w:val="center"/>
                    <w:rPr>
                      <w:rFonts w:eastAsia="宋体"/>
                      <w:sz w:val="21"/>
                      <w:szCs w:val="21"/>
                      <w:u w:val="single"/>
                    </w:rPr>
                  </w:pPr>
                  <w:r>
                    <w:rPr>
                      <w:rFonts w:eastAsia="宋体"/>
                      <w:sz w:val="21"/>
                      <w:szCs w:val="21"/>
                      <w:u w:val="single"/>
                    </w:rPr>
                    <w:t>3#</w:t>
                  </w:r>
                  <w:r>
                    <w:rPr>
                      <w:rFonts w:hint="eastAsia" w:eastAsia="宋体"/>
                      <w:sz w:val="21"/>
                      <w:szCs w:val="21"/>
                      <w:u w:val="single"/>
                    </w:rPr>
                    <w:t>转运站排放口</w:t>
                  </w:r>
                </w:p>
              </w:tc>
              <w:tc>
                <w:tcPr>
                  <w:tcW w:w="448" w:type="pct"/>
                  <w:noWrap w:val="0"/>
                  <w:vAlign w:val="center"/>
                </w:tcPr>
                <w:p w14:paraId="6BD6B40C">
                  <w:pPr>
                    <w:jc w:val="center"/>
                    <w:rPr>
                      <w:rFonts w:eastAsia="宋体"/>
                      <w:sz w:val="21"/>
                      <w:szCs w:val="21"/>
                      <w:u w:val="single"/>
                    </w:rPr>
                  </w:pPr>
                  <w:r>
                    <w:rPr>
                      <w:rFonts w:eastAsia="宋体"/>
                      <w:sz w:val="21"/>
                      <w:szCs w:val="21"/>
                      <w:u w:val="single"/>
                    </w:rPr>
                    <w:t>DA028</w:t>
                  </w:r>
                </w:p>
              </w:tc>
              <w:tc>
                <w:tcPr>
                  <w:tcW w:w="475" w:type="pct"/>
                  <w:noWrap w:val="0"/>
                  <w:vAlign w:val="center"/>
                </w:tcPr>
                <w:p w14:paraId="2D5DA0F6">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67B7F446">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2C7D571C">
                  <w:pPr>
                    <w:jc w:val="center"/>
                    <w:rPr>
                      <w:rFonts w:hint="eastAsia" w:eastAsia="宋体"/>
                      <w:sz w:val="21"/>
                      <w:szCs w:val="21"/>
                      <w:u w:val="single"/>
                    </w:rPr>
                  </w:pPr>
                </w:p>
              </w:tc>
            </w:tr>
            <w:tr w14:paraId="1E45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A222BA5">
                  <w:pPr>
                    <w:jc w:val="center"/>
                    <w:rPr>
                      <w:rFonts w:eastAsia="宋体"/>
                      <w:sz w:val="21"/>
                      <w:szCs w:val="21"/>
                      <w:u w:val="single"/>
                    </w:rPr>
                  </w:pPr>
                </w:p>
              </w:tc>
              <w:tc>
                <w:tcPr>
                  <w:tcW w:w="1298" w:type="pct"/>
                  <w:noWrap w:val="0"/>
                  <w:vAlign w:val="center"/>
                </w:tcPr>
                <w:p w14:paraId="3430908E">
                  <w:pPr>
                    <w:jc w:val="center"/>
                    <w:rPr>
                      <w:rFonts w:eastAsia="宋体"/>
                      <w:sz w:val="21"/>
                      <w:szCs w:val="21"/>
                      <w:u w:val="single"/>
                    </w:rPr>
                  </w:pPr>
                  <w:r>
                    <w:rPr>
                      <w:rFonts w:eastAsia="宋体"/>
                      <w:sz w:val="21"/>
                      <w:szCs w:val="21"/>
                      <w:u w:val="single"/>
                    </w:rPr>
                    <w:t>4#</w:t>
                  </w:r>
                  <w:r>
                    <w:rPr>
                      <w:rFonts w:hint="eastAsia" w:eastAsia="宋体"/>
                      <w:sz w:val="21"/>
                      <w:szCs w:val="21"/>
                      <w:u w:val="single"/>
                    </w:rPr>
                    <w:t>转运站排放口</w:t>
                  </w:r>
                </w:p>
              </w:tc>
              <w:tc>
                <w:tcPr>
                  <w:tcW w:w="448" w:type="pct"/>
                  <w:noWrap w:val="0"/>
                  <w:vAlign w:val="center"/>
                </w:tcPr>
                <w:p w14:paraId="3A24768E">
                  <w:pPr>
                    <w:jc w:val="center"/>
                    <w:rPr>
                      <w:rFonts w:eastAsia="宋体"/>
                      <w:sz w:val="21"/>
                      <w:szCs w:val="21"/>
                      <w:u w:val="single"/>
                    </w:rPr>
                  </w:pPr>
                  <w:r>
                    <w:rPr>
                      <w:rFonts w:eastAsia="宋体"/>
                      <w:sz w:val="21"/>
                      <w:szCs w:val="21"/>
                      <w:u w:val="single"/>
                    </w:rPr>
                    <w:t>DA029</w:t>
                  </w:r>
                </w:p>
              </w:tc>
              <w:tc>
                <w:tcPr>
                  <w:tcW w:w="475" w:type="pct"/>
                  <w:noWrap w:val="0"/>
                  <w:vAlign w:val="center"/>
                </w:tcPr>
                <w:p w14:paraId="129435BF">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A478C6F">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673A38AC">
                  <w:pPr>
                    <w:jc w:val="center"/>
                    <w:rPr>
                      <w:rFonts w:hint="eastAsia" w:eastAsia="宋体"/>
                      <w:sz w:val="21"/>
                      <w:szCs w:val="21"/>
                      <w:u w:val="single"/>
                    </w:rPr>
                  </w:pPr>
                </w:p>
              </w:tc>
            </w:tr>
            <w:tr w14:paraId="2DD6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12DECA6">
                  <w:pPr>
                    <w:jc w:val="center"/>
                    <w:rPr>
                      <w:rFonts w:eastAsia="宋体"/>
                      <w:sz w:val="21"/>
                      <w:szCs w:val="21"/>
                      <w:u w:val="single"/>
                    </w:rPr>
                  </w:pPr>
                </w:p>
              </w:tc>
              <w:tc>
                <w:tcPr>
                  <w:tcW w:w="1298" w:type="pct"/>
                  <w:noWrap w:val="0"/>
                  <w:vAlign w:val="center"/>
                </w:tcPr>
                <w:p w14:paraId="73CFF85E">
                  <w:pPr>
                    <w:jc w:val="center"/>
                    <w:rPr>
                      <w:rFonts w:eastAsia="宋体"/>
                      <w:sz w:val="21"/>
                      <w:szCs w:val="21"/>
                      <w:u w:val="single"/>
                    </w:rPr>
                  </w:pPr>
                  <w:r>
                    <w:rPr>
                      <w:rFonts w:eastAsia="宋体"/>
                      <w:sz w:val="21"/>
                      <w:szCs w:val="21"/>
                      <w:u w:val="single"/>
                    </w:rPr>
                    <w:t>5#</w:t>
                  </w:r>
                  <w:r>
                    <w:rPr>
                      <w:rFonts w:hint="eastAsia" w:eastAsia="宋体"/>
                      <w:sz w:val="21"/>
                      <w:szCs w:val="21"/>
                      <w:u w:val="single"/>
                    </w:rPr>
                    <w:t>转运站排放口</w:t>
                  </w:r>
                </w:p>
              </w:tc>
              <w:tc>
                <w:tcPr>
                  <w:tcW w:w="448" w:type="pct"/>
                  <w:noWrap w:val="0"/>
                  <w:vAlign w:val="center"/>
                </w:tcPr>
                <w:p w14:paraId="3D42A48E">
                  <w:pPr>
                    <w:jc w:val="center"/>
                    <w:rPr>
                      <w:rFonts w:eastAsia="宋体"/>
                      <w:sz w:val="21"/>
                      <w:szCs w:val="21"/>
                      <w:u w:val="single"/>
                    </w:rPr>
                  </w:pPr>
                  <w:r>
                    <w:rPr>
                      <w:rFonts w:eastAsia="宋体"/>
                      <w:sz w:val="21"/>
                      <w:szCs w:val="21"/>
                      <w:u w:val="single"/>
                    </w:rPr>
                    <w:t>DA030</w:t>
                  </w:r>
                </w:p>
              </w:tc>
              <w:tc>
                <w:tcPr>
                  <w:tcW w:w="475" w:type="pct"/>
                  <w:noWrap w:val="0"/>
                  <w:vAlign w:val="center"/>
                </w:tcPr>
                <w:p w14:paraId="43FA198F">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662B38B5">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60D453A0">
                  <w:pPr>
                    <w:jc w:val="center"/>
                    <w:rPr>
                      <w:rFonts w:hint="eastAsia" w:eastAsia="宋体"/>
                      <w:sz w:val="21"/>
                      <w:szCs w:val="21"/>
                      <w:u w:val="single"/>
                    </w:rPr>
                  </w:pPr>
                </w:p>
              </w:tc>
            </w:tr>
            <w:tr w14:paraId="5A8D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62B41A29">
                  <w:pPr>
                    <w:jc w:val="center"/>
                    <w:rPr>
                      <w:rFonts w:eastAsia="宋体"/>
                      <w:sz w:val="21"/>
                      <w:szCs w:val="21"/>
                      <w:u w:val="single"/>
                    </w:rPr>
                  </w:pPr>
                </w:p>
              </w:tc>
              <w:tc>
                <w:tcPr>
                  <w:tcW w:w="1298" w:type="pct"/>
                  <w:noWrap w:val="0"/>
                  <w:vAlign w:val="center"/>
                </w:tcPr>
                <w:p w14:paraId="222897F2">
                  <w:pPr>
                    <w:jc w:val="center"/>
                    <w:rPr>
                      <w:rFonts w:eastAsia="宋体"/>
                      <w:sz w:val="21"/>
                      <w:szCs w:val="21"/>
                      <w:u w:val="single"/>
                    </w:rPr>
                  </w:pPr>
                  <w:r>
                    <w:rPr>
                      <w:rFonts w:hint="eastAsia" w:eastAsia="宋体"/>
                      <w:sz w:val="21"/>
                      <w:szCs w:val="21"/>
                      <w:u w:val="single"/>
                    </w:rPr>
                    <w:t>乙二醇罐区尾气吸收</w:t>
                  </w:r>
                  <w:r>
                    <w:rPr>
                      <w:rFonts w:eastAsia="宋体"/>
                      <w:sz w:val="21"/>
                      <w:szCs w:val="21"/>
                      <w:u w:val="single"/>
                    </w:rPr>
                    <w:t>2</w:t>
                  </w:r>
                  <w:r>
                    <w:rPr>
                      <w:rFonts w:hint="eastAsia" w:eastAsia="宋体"/>
                      <w:sz w:val="21"/>
                      <w:szCs w:val="21"/>
                      <w:u w:val="single"/>
                    </w:rPr>
                    <w:t>塔排放口</w:t>
                  </w:r>
                </w:p>
              </w:tc>
              <w:tc>
                <w:tcPr>
                  <w:tcW w:w="448" w:type="pct"/>
                  <w:noWrap w:val="0"/>
                  <w:vAlign w:val="center"/>
                </w:tcPr>
                <w:p w14:paraId="10860F45">
                  <w:pPr>
                    <w:jc w:val="center"/>
                    <w:rPr>
                      <w:rFonts w:eastAsia="宋体"/>
                      <w:sz w:val="21"/>
                      <w:szCs w:val="21"/>
                      <w:u w:val="single"/>
                    </w:rPr>
                  </w:pPr>
                  <w:r>
                    <w:rPr>
                      <w:rFonts w:hint="eastAsia" w:eastAsia="宋体"/>
                      <w:sz w:val="21"/>
                      <w:szCs w:val="21"/>
                      <w:u w:val="single"/>
                    </w:rPr>
                    <w:t>D</w:t>
                  </w:r>
                  <w:r>
                    <w:rPr>
                      <w:rFonts w:eastAsia="宋体"/>
                      <w:sz w:val="21"/>
                      <w:szCs w:val="21"/>
                      <w:u w:val="single"/>
                    </w:rPr>
                    <w:t>A032</w:t>
                  </w:r>
                </w:p>
              </w:tc>
              <w:tc>
                <w:tcPr>
                  <w:tcW w:w="475" w:type="pct"/>
                  <w:noWrap w:val="0"/>
                  <w:vAlign w:val="center"/>
                </w:tcPr>
                <w:p w14:paraId="0B1C8198">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0AEB90DF">
                  <w:pPr>
                    <w:jc w:val="center"/>
                    <w:rPr>
                      <w:rFonts w:eastAsia="宋体"/>
                      <w:sz w:val="21"/>
                      <w:szCs w:val="21"/>
                      <w:u w:val="single"/>
                    </w:rPr>
                  </w:pPr>
                  <w:r>
                    <w:rPr>
                      <w:rFonts w:hint="eastAsia" w:eastAsia="宋体"/>
                      <w:sz w:val="21"/>
                      <w:szCs w:val="21"/>
                      <w:u w:val="single"/>
                    </w:rPr>
                    <w:t>甲醇</w:t>
                  </w:r>
                </w:p>
              </w:tc>
              <w:tc>
                <w:tcPr>
                  <w:tcW w:w="1689" w:type="pct"/>
                  <w:noWrap w:val="0"/>
                  <w:vAlign w:val="center"/>
                </w:tcPr>
                <w:p w14:paraId="783E7515">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7081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4F86C47D">
                  <w:pPr>
                    <w:jc w:val="center"/>
                    <w:rPr>
                      <w:rFonts w:eastAsia="宋体"/>
                      <w:sz w:val="21"/>
                      <w:szCs w:val="21"/>
                      <w:u w:val="single"/>
                    </w:rPr>
                  </w:pPr>
                </w:p>
              </w:tc>
              <w:tc>
                <w:tcPr>
                  <w:tcW w:w="1298" w:type="pct"/>
                  <w:noWrap w:val="0"/>
                  <w:vAlign w:val="center"/>
                </w:tcPr>
                <w:p w14:paraId="33A7E64E">
                  <w:pPr>
                    <w:jc w:val="center"/>
                    <w:rPr>
                      <w:rFonts w:eastAsia="宋体"/>
                      <w:sz w:val="21"/>
                      <w:szCs w:val="21"/>
                      <w:u w:val="single"/>
                    </w:rPr>
                  </w:pPr>
                  <w:r>
                    <w:rPr>
                      <w:rFonts w:hint="eastAsia" w:eastAsia="宋体"/>
                      <w:sz w:val="21"/>
                      <w:szCs w:val="21"/>
                      <w:u w:val="single"/>
                    </w:rPr>
                    <w:t>乙二醇罐区尾气吸收</w:t>
                  </w:r>
                  <w:r>
                    <w:rPr>
                      <w:rFonts w:eastAsia="宋体"/>
                      <w:sz w:val="21"/>
                      <w:szCs w:val="21"/>
                      <w:u w:val="single"/>
                    </w:rPr>
                    <w:t>1</w:t>
                  </w:r>
                  <w:r>
                    <w:rPr>
                      <w:rFonts w:hint="eastAsia" w:eastAsia="宋体"/>
                      <w:sz w:val="21"/>
                      <w:szCs w:val="21"/>
                      <w:u w:val="single"/>
                    </w:rPr>
                    <w:t>塔排放口</w:t>
                  </w:r>
                </w:p>
              </w:tc>
              <w:tc>
                <w:tcPr>
                  <w:tcW w:w="448" w:type="pct"/>
                  <w:noWrap w:val="0"/>
                  <w:vAlign w:val="center"/>
                </w:tcPr>
                <w:p w14:paraId="4B57D13B">
                  <w:pPr>
                    <w:jc w:val="center"/>
                    <w:rPr>
                      <w:rFonts w:eastAsia="宋体"/>
                      <w:sz w:val="21"/>
                      <w:szCs w:val="21"/>
                      <w:u w:val="single"/>
                    </w:rPr>
                  </w:pPr>
                  <w:r>
                    <w:rPr>
                      <w:rFonts w:hint="eastAsia" w:eastAsia="宋体"/>
                      <w:sz w:val="21"/>
                      <w:szCs w:val="21"/>
                      <w:u w:val="single"/>
                    </w:rPr>
                    <w:t>D</w:t>
                  </w:r>
                  <w:r>
                    <w:rPr>
                      <w:rFonts w:eastAsia="宋体"/>
                      <w:sz w:val="21"/>
                      <w:szCs w:val="21"/>
                      <w:u w:val="single"/>
                    </w:rPr>
                    <w:t>A033</w:t>
                  </w:r>
                </w:p>
              </w:tc>
              <w:tc>
                <w:tcPr>
                  <w:tcW w:w="475" w:type="pct"/>
                  <w:noWrap w:val="0"/>
                  <w:vAlign w:val="center"/>
                </w:tcPr>
                <w:p w14:paraId="15C2F2B6">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45FD2336">
                  <w:pPr>
                    <w:jc w:val="center"/>
                    <w:rPr>
                      <w:rFonts w:eastAsia="宋体"/>
                      <w:sz w:val="21"/>
                      <w:szCs w:val="21"/>
                      <w:u w:val="single"/>
                    </w:rPr>
                  </w:pPr>
                  <w:r>
                    <w:rPr>
                      <w:rFonts w:hint="eastAsia" w:eastAsia="宋体"/>
                      <w:sz w:val="21"/>
                      <w:szCs w:val="21"/>
                      <w:u w:val="single"/>
                    </w:rPr>
                    <w:t>乙二醇</w:t>
                  </w:r>
                </w:p>
              </w:tc>
              <w:tc>
                <w:tcPr>
                  <w:tcW w:w="1689" w:type="pct"/>
                  <w:noWrap w:val="0"/>
                  <w:vAlign w:val="center"/>
                </w:tcPr>
                <w:p w14:paraId="44A2193E">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2844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F722873">
                  <w:pPr>
                    <w:jc w:val="center"/>
                    <w:rPr>
                      <w:rFonts w:eastAsia="宋体"/>
                      <w:sz w:val="21"/>
                      <w:szCs w:val="21"/>
                      <w:u w:val="single"/>
                    </w:rPr>
                  </w:pPr>
                </w:p>
              </w:tc>
              <w:tc>
                <w:tcPr>
                  <w:tcW w:w="1298" w:type="pct"/>
                  <w:noWrap w:val="0"/>
                  <w:vAlign w:val="center"/>
                </w:tcPr>
                <w:p w14:paraId="7B98FE64">
                  <w:pPr>
                    <w:jc w:val="center"/>
                    <w:rPr>
                      <w:rFonts w:eastAsia="宋体"/>
                      <w:sz w:val="21"/>
                      <w:szCs w:val="21"/>
                      <w:u w:val="single"/>
                    </w:rPr>
                  </w:pPr>
                  <w:r>
                    <w:rPr>
                      <w:rFonts w:eastAsia="宋体"/>
                      <w:sz w:val="21"/>
                      <w:szCs w:val="21"/>
                      <w:u w:val="single"/>
                    </w:rPr>
                    <w:t>EG</w:t>
                  </w:r>
                  <w:r>
                    <w:rPr>
                      <w:rFonts w:hint="eastAsia" w:eastAsia="宋体"/>
                      <w:sz w:val="21"/>
                      <w:szCs w:val="21"/>
                      <w:u w:val="single"/>
                    </w:rPr>
                    <w:t>精馏尾气洗涤塔排放口</w:t>
                  </w:r>
                </w:p>
              </w:tc>
              <w:tc>
                <w:tcPr>
                  <w:tcW w:w="448" w:type="pct"/>
                  <w:noWrap w:val="0"/>
                  <w:vAlign w:val="center"/>
                </w:tcPr>
                <w:p w14:paraId="6AB67B47">
                  <w:pPr>
                    <w:jc w:val="center"/>
                    <w:rPr>
                      <w:rFonts w:eastAsia="宋体"/>
                      <w:sz w:val="21"/>
                      <w:szCs w:val="21"/>
                      <w:u w:val="single"/>
                    </w:rPr>
                  </w:pPr>
                  <w:r>
                    <w:rPr>
                      <w:rFonts w:hint="eastAsia" w:eastAsia="宋体"/>
                      <w:sz w:val="21"/>
                      <w:szCs w:val="21"/>
                      <w:u w:val="single"/>
                    </w:rPr>
                    <w:t>D</w:t>
                  </w:r>
                  <w:r>
                    <w:rPr>
                      <w:rFonts w:eastAsia="宋体"/>
                      <w:sz w:val="21"/>
                      <w:szCs w:val="21"/>
                      <w:u w:val="single"/>
                    </w:rPr>
                    <w:t>A034</w:t>
                  </w:r>
                </w:p>
              </w:tc>
              <w:tc>
                <w:tcPr>
                  <w:tcW w:w="475" w:type="pct"/>
                  <w:noWrap w:val="0"/>
                  <w:vAlign w:val="center"/>
                </w:tcPr>
                <w:p w14:paraId="6348DB85">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335FE81F">
                  <w:pPr>
                    <w:jc w:val="center"/>
                    <w:rPr>
                      <w:rFonts w:eastAsia="宋体"/>
                      <w:sz w:val="21"/>
                      <w:szCs w:val="21"/>
                      <w:u w:val="single"/>
                    </w:rPr>
                  </w:pPr>
                  <w:r>
                    <w:rPr>
                      <w:rFonts w:hint="eastAsia" w:eastAsia="宋体"/>
                      <w:sz w:val="21"/>
                      <w:szCs w:val="21"/>
                      <w:u w:val="single"/>
                    </w:rPr>
                    <w:t>乙二醇</w:t>
                  </w:r>
                </w:p>
              </w:tc>
              <w:tc>
                <w:tcPr>
                  <w:tcW w:w="1689" w:type="pct"/>
                  <w:noWrap w:val="0"/>
                  <w:vAlign w:val="center"/>
                </w:tcPr>
                <w:p w14:paraId="6DBA12CE">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3985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E785CA3">
                  <w:pPr>
                    <w:jc w:val="center"/>
                    <w:rPr>
                      <w:rFonts w:eastAsia="宋体"/>
                      <w:sz w:val="21"/>
                      <w:szCs w:val="21"/>
                      <w:u w:val="single"/>
                    </w:rPr>
                  </w:pPr>
                </w:p>
              </w:tc>
              <w:tc>
                <w:tcPr>
                  <w:tcW w:w="1298" w:type="pct"/>
                  <w:noWrap w:val="0"/>
                  <w:vAlign w:val="center"/>
                </w:tcPr>
                <w:p w14:paraId="38F14B3D">
                  <w:pPr>
                    <w:jc w:val="center"/>
                    <w:rPr>
                      <w:rFonts w:eastAsia="宋体"/>
                      <w:sz w:val="21"/>
                      <w:szCs w:val="21"/>
                      <w:u w:val="single"/>
                    </w:rPr>
                  </w:pPr>
                  <w:r>
                    <w:rPr>
                      <w:rFonts w:eastAsia="宋体"/>
                      <w:sz w:val="21"/>
                      <w:szCs w:val="21"/>
                      <w:u w:val="single"/>
                    </w:rPr>
                    <w:t>DMO</w:t>
                  </w:r>
                  <w:r>
                    <w:rPr>
                      <w:rFonts w:hint="eastAsia" w:eastAsia="宋体"/>
                      <w:sz w:val="21"/>
                      <w:szCs w:val="21"/>
                      <w:u w:val="single"/>
                    </w:rPr>
                    <w:t>精馏尾气洗涤塔排放口</w:t>
                  </w:r>
                </w:p>
              </w:tc>
              <w:tc>
                <w:tcPr>
                  <w:tcW w:w="448" w:type="pct"/>
                  <w:noWrap w:val="0"/>
                  <w:vAlign w:val="center"/>
                </w:tcPr>
                <w:p w14:paraId="3B26AF13">
                  <w:pPr>
                    <w:jc w:val="center"/>
                    <w:rPr>
                      <w:rFonts w:eastAsia="宋体"/>
                      <w:sz w:val="21"/>
                      <w:szCs w:val="21"/>
                      <w:u w:val="single"/>
                    </w:rPr>
                  </w:pPr>
                  <w:r>
                    <w:rPr>
                      <w:rFonts w:eastAsia="宋体"/>
                      <w:sz w:val="21"/>
                      <w:szCs w:val="21"/>
                      <w:u w:val="single"/>
                    </w:rPr>
                    <w:t>DA035</w:t>
                  </w:r>
                </w:p>
              </w:tc>
              <w:tc>
                <w:tcPr>
                  <w:tcW w:w="475" w:type="pct"/>
                  <w:noWrap w:val="0"/>
                  <w:vAlign w:val="center"/>
                </w:tcPr>
                <w:p w14:paraId="635FB26D">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5EAF1414">
                  <w:pPr>
                    <w:jc w:val="center"/>
                    <w:rPr>
                      <w:rFonts w:eastAsia="宋体"/>
                      <w:sz w:val="21"/>
                      <w:szCs w:val="21"/>
                      <w:u w:val="single"/>
                    </w:rPr>
                  </w:pPr>
                  <w:r>
                    <w:rPr>
                      <w:rFonts w:hint="eastAsia" w:eastAsia="宋体"/>
                      <w:sz w:val="21"/>
                      <w:szCs w:val="21"/>
                      <w:u w:val="single"/>
                    </w:rPr>
                    <w:t>甲醇</w:t>
                  </w:r>
                </w:p>
              </w:tc>
              <w:tc>
                <w:tcPr>
                  <w:tcW w:w="1689" w:type="pct"/>
                  <w:noWrap w:val="0"/>
                  <w:vAlign w:val="center"/>
                </w:tcPr>
                <w:p w14:paraId="0024A4C3">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1FB9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015DD64">
                  <w:pPr>
                    <w:jc w:val="center"/>
                    <w:rPr>
                      <w:rFonts w:eastAsia="宋体"/>
                      <w:sz w:val="21"/>
                      <w:szCs w:val="21"/>
                      <w:u w:val="single"/>
                    </w:rPr>
                  </w:pPr>
                </w:p>
              </w:tc>
              <w:tc>
                <w:tcPr>
                  <w:tcW w:w="1298" w:type="pct"/>
                  <w:noWrap w:val="0"/>
                  <w:vAlign w:val="center"/>
                </w:tcPr>
                <w:p w14:paraId="328119FF">
                  <w:pPr>
                    <w:jc w:val="center"/>
                    <w:rPr>
                      <w:rFonts w:eastAsia="宋体"/>
                      <w:sz w:val="21"/>
                      <w:szCs w:val="21"/>
                      <w:u w:val="single"/>
                    </w:rPr>
                  </w:pPr>
                  <w:r>
                    <w:rPr>
                      <w:rFonts w:eastAsia="宋体"/>
                      <w:sz w:val="21"/>
                      <w:szCs w:val="21"/>
                      <w:u w:val="single"/>
                    </w:rPr>
                    <w:t>1#</w:t>
                  </w:r>
                  <w:r>
                    <w:rPr>
                      <w:rFonts w:hint="eastAsia" w:eastAsia="宋体"/>
                      <w:sz w:val="21"/>
                      <w:szCs w:val="21"/>
                      <w:u w:val="single"/>
                    </w:rPr>
                    <w:t>低温甲尾气排放口</w:t>
                  </w:r>
                </w:p>
              </w:tc>
              <w:tc>
                <w:tcPr>
                  <w:tcW w:w="448" w:type="pct"/>
                  <w:noWrap w:val="0"/>
                  <w:vAlign w:val="center"/>
                </w:tcPr>
                <w:p w14:paraId="7F870936">
                  <w:pPr>
                    <w:jc w:val="center"/>
                    <w:rPr>
                      <w:rFonts w:eastAsia="宋体"/>
                      <w:sz w:val="21"/>
                      <w:szCs w:val="21"/>
                      <w:u w:val="single"/>
                    </w:rPr>
                  </w:pPr>
                  <w:r>
                    <w:rPr>
                      <w:rFonts w:eastAsia="宋体"/>
                      <w:sz w:val="21"/>
                      <w:szCs w:val="21"/>
                      <w:u w:val="single"/>
                    </w:rPr>
                    <w:t>DA038</w:t>
                  </w:r>
                </w:p>
              </w:tc>
              <w:tc>
                <w:tcPr>
                  <w:tcW w:w="475" w:type="pct"/>
                  <w:noWrap w:val="0"/>
                  <w:vAlign w:val="center"/>
                </w:tcPr>
                <w:p w14:paraId="381D9249">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2245B265">
                  <w:pPr>
                    <w:jc w:val="center"/>
                    <w:rPr>
                      <w:rFonts w:eastAsia="宋体"/>
                      <w:sz w:val="21"/>
                      <w:szCs w:val="21"/>
                      <w:u w:val="single"/>
                    </w:rPr>
                  </w:pPr>
                  <w:r>
                    <w:rPr>
                      <w:rFonts w:hint="eastAsia" w:eastAsia="宋体"/>
                      <w:sz w:val="21"/>
                      <w:szCs w:val="21"/>
                      <w:u w:val="single"/>
                    </w:rPr>
                    <w:t>非甲烷总烃、甲醇、硫化氢</w:t>
                  </w:r>
                </w:p>
              </w:tc>
              <w:tc>
                <w:tcPr>
                  <w:tcW w:w="1689" w:type="pct"/>
                  <w:noWrap w:val="0"/>
                  <w:vAlign w:val="center"/>
                </w:tcPr>
                <w:p w14:paraId="35AE7BBC">
                  <w:pPr>
                    <w:jc w:val="center"/>
                    <w:rPr>
                      <w:rFonts w:hint="eastAsia" w:eastAsia="宋体"/>
                      <w:sz w:val="21"/>
                      <w:szCs w:val="21"/>
                      <w:u w:val="single"/>
                      <w:lang w:eastAsia="zh-CN"/>
                    </w:rPr>
                  </w:pPr>
                  <w:r>
                    <w:rPr>
                      <w:rFonts w:hint="eastAsia" w:eastAsia="宋体"/>
                      <w:sz w:val="21"/>
                      <w:szCs w:val="21"/>
                      <w:u w:val="single"/>
                    </w:rPr>
                    <w:t>《石油化学工业污染物排放标准》（GB31571-2015）及其修改单要求</w:t>
                  </w:r>
                  <w:r>
                    <w:rPr>
                      <w:rFonts w:hint="eastAsia"/>
                      <w:sz w:val="21"/>
                      <w:szCs w:val="21"/>
                      <w:u w:val="single"/>
                      <w:lang w:eastAsia="zh-CN"/>
                    </w:rPr>
                    <w:t>、</w:t>
                  </w:r>
                  <w:r>
                    <w:rPr>
                      <w:rFonts w:hint="eastAsia" w:eastAsia="宋体"/>
                      <w:sz w:val="21"/>
                      <w:szCs w:val="21"/>
                      <w:u w:val="single"/>
                    </w:rPr>
                    <w:t>《大气污染物综合排放标准》(GB16297-1996)</w:t>
                  </w:r>
                  <w:r>
                    <w:rPr>
                      <w:rFonts w:hint="eastAsia"/>
                      <w:sz w:val="21"/>
                      <w:szCs w:val="21"/>
                      <w:u w:val="single"/>
                      <w:lang w:eastAsia="zh-CN"/>
                    </w:rPr>
                    <w:t>、《</w:t>
                  </w:r>
                  <w:r>
                    <w:rPr>
                      <w:rFonts w:hint="eastAsia" w:eastAsia="宋体"/>
                      <w:sz w:val="21"/>
                      <w:szCs w:val="21"/>
                      <w:u w:val="single"/>
                    </w:rPr>
                    <w:t>恶臭污染物排放标准</w:t>
                  </w:r>
                  <w:r>
                    <w:rPr>
                      <w:rFonts w:hint="eastAsia"/>
                      <w:sz w:val="21"/>
                      <w:szCs w:val="21"/>
                      <w:u w:val="single"/>
                      <w:lang w:eastAsia="zh-CN"/>
                    </w:rPr>
                    <w:t>》（</w:t>
                  </w:r>
                  <w:r>
                    <w:rPr>
                      <w:rFonts w:hint="eastAsia" w:eastAsia="宋体"/>
                      <w:sz w:val="21"/>
                      <w:szCs w:val="21"/>
                      <w:u w:val="single"/>
                    </w:rPr>
                    <w:t>GB 14554-93</w:t>
                  </w:r>
                  <w:r>
                    <w:rPr>
                      <w:rFonts w:hint="eastAsia"/>
                      <w:sz w:val="21"/>
                      <w:szCs w:val="21"/>
                      <w:u w:val="single"/>
                      <w:lang w:eastAsia="zh-CN"/>
                    </w:rPr>
                    <w:t>）</w:t>
                  </w:r>
                  <w:r>
                    <w:rPr>
                      <w:rFonts w:hint="eastAsia" w:eastAsia="宋体"/>
                      <w:sz w:val="21"/>
                      <w:szCs w:val="21"/>
                      <w:u w:val="single"/>
                    </w:rPr>
                    <w:t xml:space="preserve"> </w:t>
                  </w:r>
                </w:p>
              </w:tc>
            </w:tr>
            <w:tr w14:paraId="58D5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A0C7759">
                  <w:pPr>
                    <w:jc w:val="center"/>
                    <w:rPr>
                      <w:rFonts w:eastAsia="宋体"/>
                      <w:sz w:val="21"/>
                      <w:szCs w:val="21"/>
                      <w:u w:val="single"/>
                    </w:rPr>
                  </w:pPr>
                </w:p>
              </w:tc>
              <w:tc>
                <w:tcPr>
                  <w:tcW w:w="1298" w:type="pct"/>
                  <w:noWrap w:val="0"/>
                  <w:vAlign w:val="center"/>
                </w:tcPr>
                <w:p w14:paraId="1C7EEE7A">
                  <w:pPr>
                    <w:jc w:val="center"/>
                    <w:rPr>
                      <w:rFonts w:eastAsia="宋体"/>
                      <w:sz w:val="21"/>
                      <w:szCs w:val="21"/>
                      <w:u w:val="single"/>
                    </w:rPr>
                  </w:pPr>
                  <w:r>
                    <w:rPr>
                      <w:rFonts w:hint="eastAsia" w:eastAsia="宋体"/>
                      <w:sz w:val="21"/>
                      <w:szCs w:val="21"/>
                      <w:u w:val="single"/>
                    </w:rPr>
                    <w:t>甲醇</w:t>
                  </w:r>
                  <w:r>
                    <w:rPr>
                      <w:rFonts w:eastAsia="宋体"/>
                      <w:sz w:val="21"/>
                      <w:szCs w:val="21"/>
                      <w:u w:val="single"/>
                    </w:rPr>
                    <w:t>2#</w:t>
                  </w:r>
                  <w:r>
                    <w:rPr>
                      <w:rFonts w:hint="eastAsia" w:eastAsia="宋体"/>
                      <w:sz w:val="21"/>
                      <w:szCs w:val="21"/>
                      <w:u w:val="single"/>
                    </w:rPr>
                    <w:t>装置精馏放空气排放口</w:t>
                  </w:r>
                </w:p>
              </w:tc>
              <w:tc>
                <w:tcPr>
                  <w:tcW w:w="448" w:type="pct"/>
                  <w:noWrap w:val="0"/>
                  <w:vAlign w:val="center"/>
                </w:tcPr>
                <w:p w14:paraId="616818D9">
                  <w:pPr>
                    <w:jc w:val="center"/>
                    <w:rPr>
                      <w:rFonts w:eastAsia="宋体"/>
                      <w:sz w:val="21"/>
                      <w:szCs w:val="21"/>
                      <w:u w:val="single"/>
                    </w:rPr>
                  </w:pPr>
                  <w:r>
                    <w:rPr>
                      <w:rFonts w:eastAsia="宋体"/>
                      <w:sz w:val="21"/>
                      <w:szCs w:val="21"/>
                      <w:u w:val="single"/>
                    </w:rPr>
                    <w:t>DA039</w:t>
                  </w:r>
                </w:p>
              </w:tc>
              <w:tc>
                <w:tcPr>
                  <w:tcW w:w="475" w:type="pct"/>
                  <w:noWrap w:val="0"/>
                  <w:vAlign w:val="center"/>
                </w:tcPr>
                <w:p w14:paraId="68799EE3">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110C0FFA">
                  <w:pPr>
                    <w:jc w:val="center"/>
                    <w:rPr>
                      <w:rFonts w:eastAsia="宋体"/>
                      <w:sz w:val="21"/>
                      <w:szCs w:val="21"/>
                      <w:u w:val="single"/>
                    </w:rPr>
                  </w:pPr>
                  <w:r>
                    <w:rPr>
                      <w:rFonts w:hint="eastAsia" w:eastAsia="宋体"/>
                      <w:sz w:val="21"/>
                      <w:szCs w:val="21"/>
                      <w:u w:val="single"/>
                    </w:rPr>
                    <w:t>甲醇</w:t>
                  </w:r>
                </w:p>
              </w:tc>
              <w:tc>
                <w:tcPr>
                  <w:tcW w:w="1689" w:type="pct"/>
                  <w:noWrap w:val="0"/>
                  <w:vAlign w:val="center"/>
                </w:tcPr>
                <w:p w14:paraId="0702E404">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1548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9097841">
                  <w:pPr>
                    <w:jc w:val="center"/>
                    <w:rPr>
                      <w:rFonts w:eastAsia="宋体"/>
                      <w:sz w:val="21"/>
                      <w:szCs w:val="21"/>
                      <w:u w:val="single"/>
                    </w:rPr>
                  </w:pPr>
                </w:p>
              </w:tc>
              <w:tc>
                <w:tcPr>
                  <w:tcW w:w="1298" w:type="pct"/>
                  <w:noWrap w:val="0"/>
                  <w:vAlign w:val="center"/>
                </w:tcPr>
                <w:p w14:paraId="7B6A882F">
                  <w:pPr>
                    <w:jc w:val="center"/>
                    <w:rPr>
                      <w:rFonts w:eastAsia="宋体"/>
                      <w:sz w:val="21"/>
                      <w:szCs w:val="21"/>
                      <w:u w:val="single"/>
                    </w:rPr>
                  </w:pPr>
                  <w:r>
                    <w:rPr>
                      <w:rFonts w:hint="eastAsia" w:eastAsia="宋体"/>
                      <w:sz w:val="21"/>
                      <w:szCs w:val="21"/>
                      <w:u w:val="single"/>
                    </w:rPr>
                    <w:t>甲醇</w:t>
                  </w:r>
                  <w:r>
                    <w:rPr>
                      <w:rFonts w:eastAsia="宋体"/>
                      <w:sz w:val="21"/>
                      <w:szCs w:val="21"/>
                      <w:u w:val="single"/>
                    </w:rPr>
                    <w:t>1#</w:t>
                  </w:r>
                  <w:r>
                    <w:rPr>
                      <w:rFonts w:hint="eastAsia" w:eastAsia="宋体"/>
                      <w:sz w:val="21"/>
                      <w:szCs w:val="21"/>
                      <w:u w:val="single"/>
                    </w:rPr>
                    <w:t>装置加热炉尾气排放口</w:t>
                  </w:r>
                </w:p>
              </w:tc>
              <w:tc>
                <w:tcPr>
                  <w:tcW w:w="448" w:type="pct"/>
                  <w:noWrap w:val="0"/>
                  <w:vAlign w:val="center"/>
                </w:tcPr>
                <w:p w14:paraId="7C364B45">
                  <w:pPr>
                    <w:jc w:val="center"/>
                    <w:rPr>
                      <w:rFonts w:eastAsia="宋体"/>
                      <w:sz w:val="21"/>
                      <w:szCs w:val="21"/>
                      <w:u w:val="single"/>
                    </w:rPr>
                  </w:pPr>
                  <w:r>
                    <w:rPr>
                      <w:rFonts w:eastAsia="宋体"/>
                      <w:sz w:val="21"/>
                      <w:szCs w:val="21"/>
                      <w:u w:val="single"/>
                    </w:rPr>
                    <w:t>DA040</w:t>
                  </w:r>
                </w:p>
              </w:tc>
              <w:tc>
                <w:tcPr>
                  <w:tcW w:w="475" w:type="pct"/>
                  <w:noWrap w:val="0"/>
                  <w:vAlign w:val="center"/>
                </w:tcPr>
                <w:p w14:paraId="02231595">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32CC0F1B">
                  <w:pPr>
                    <w:jc w:val="center"/>
                    <w:rPr>
                      <w:rFonts w:eastAsia="宋体"/>
                      <w:sz w:val="21"/>
                      <w:szCs w:val="21"/>
                      <w:u w:val="single"/>
                    </w:rPr>
                  </w:pPr>
                  <w:r>
                    <w:rPr>
                      <w:rFonts w:hint="eastAsia" w:eastAsia="宋体"/>
                      <w:sz w:val="21"/>
                      <w:szCs w:val="21"/>
                      <w:u w:val="single"/>
                    </w:rPr>
                    <w:t>二氧化硫、氮氧化物、颗粒物</w:t>
                  </w:r>
                </w:p>
              </w:tc>
              <w:tc>
                <w:tcPr>
                  <w:tcW w:w="1689" w:type="pct"/>
                  <w:noWrap w:val="0"/>
                  <w:vAlign w:val="center"/>
                </w:tcPr>
                <w:p w14:paraId="2974E858">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74A0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C911CF2">
                  <w:pPr>
                    <w:jc w:val="center"/>
                    <w:rPr>
                      <w:rFonts w:eastAsia="宋体"/>
                      <w:sz w:val="21"/>
                      <w:szCs w:val="21"/>
                      <w:u w:val="single"/>
                    </w:rPr>
                  </w:pPr>
                </w:p>
              </w:tc>
              <w:tc>
                <w:tcPr>
                  <w:tcW w:w="1298" w:type="pct"/>
                  <w:noWrap w:val="0"/>
                  <w:vAlign w:val="center"/>
                </w:tcPr>
                <w:p w14:paraId="2B9CC022">
                  <w:pPr>
                    <w:jc w:val="center"/>
                    <w:rPr>
                      <w:rFonts w:eastAsia="宋体"/>
                      <w:sz w:val="21"/>
                      <w:szCs w:val="21"/>
                      <w:u w:val="single"/>
                    </w:rPr>
                  </w:pPr>
                  <w:r>
                    <w:rPr>
                      <w:rFonts w:hint="eastAsia" w:eastAsia="宋体"/>
                      <w:sz w:val="21"/>
                      <w:szCs w:val="21"/>
                      <w:u w:val="single"/>
                    </w:rPr>
                    <w:t>甲醇</w:t>
                  </w:r>
                  <w:r>
                    <w:rPr>
                      <w:rFonts w:eastAsia="宋体"/>
                      <w:sz w:val="21"/>
                      <w:szCs w:val="21"/>
                      <w:u w:val="single"/>
                    </w:rPr>
                    <w:t>1#</w:t>
                  </w:r>
                  <w:r>
                    <w:rPr>
                      <w:rFonts w:hint="eastAsia" w:eastAsia="宋体"/>
                      <w:sz w:val="21"/>
                      <w:szCs w:val="21"/>
                      <w:u w:val="single"/>
                    </w:rPr>
                    <w:t>装置精馏放空气排放口</w:t>
                  </w:r>
                </w:p>
              </w:tc>
              <w:tc>
                <w:tcPr>
                  <w:tcW w:w="448" w:type="pct"/>
                  <w:noWrap w:val="0"/>
                  <w:vAlign w:val="center"/>
                </w:tcPr>
                <w:p w14:paraId="400A658C">
                  <w:pPr>
                    <w:jc w:val="center"/>
                    <w:rPr>
                      <w:rFonts w:eastAsia="宋体"/>
                      <w:sz w:val="21"/>
                      <w:szCs w:val="21"/>
                      <w:u w:val="single"/>
                    </w:rPr>
                  </w:pPr>
                  <w:r>
                    <w:rPr>
                      <w:rFonts w:eastAsia="宋体"/>
                      <w:sz w:val="21"/>
                      <w:szCs w:val="21"/>
                      <w:u w:val="single"/>
                    </w:rPr>
                    <w:t>DA041</w:t>
                  </w:r>
                </w:p>
              </w:tc>
              <w:tc>
                <w:tcPr>
                  <w:tcW w:w="475" w:type="pct"/>
                  <w:noWrap w:val="0"/>
                  <w:vAlign w:val="center"/>
                </w:tcPr>
                <w:p w14:paraId="366F490F">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0C5D01CF">
                  <w:pPr>
                    <w:jc w:val="center"/>
                    <w:rPr>
                      <w:rFonts w:eastAsia="宋体"/>
                      <w:sz w:val="21"/>
                      <w:szCs w:val="21"/>
                      <w:u w:val="single"/>
                    </w:rPr>
                  </w:pPr>
                  <w:r>
                    <w:rPr>
                      <w:rFonts w:hint="eastAsia" w:eastAsia="宋体"/>
                      <w:sz w:val="21"/>
                      <w:szCs w:val="21"/>
                      <w:u w:val="single"/>
                    </w:rPr>
                    <w:t>甲醇</w:t>
                  </w:r>
                </w:p>
              </w:tc>
              <w:tc>
                <w:tcPr>
                  <w:tcW w:w="1689" w:type="pct"/>
                  <w:noWrap w:val="0"/>
                  <w:vAlign w:val="center"/>
                </w:tcPr>
                <w:p w14:paraId="0EFCCDE5">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1292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294781C">
                  <w:pPr>
                    <w:jc w:val="center"/>
                    <w:rPr>
                      <w:rFonts w:eastAsia="宋体"/>
                      <w:sz w:val="21"/>
                      <w:szCs w:val="21"/>
                      <w:u w:val="single"/>
                    </w:rPr>
                  </w:pPr>
                </w:p>
              </w:tc>
              <w:tc>
                <w:tcPr>
                  <w:tcW w:w="1298" w:type="pct"/>
                  <w:noWrap w:val="0"/>
                  <w:vAlign w:val="center"/>
                </w:tcPr>
                <w:p w14:paraId="37F91F14">
                  <w:pPr>
                    <w:jc w:val="center"/>
                    <w:rPr>
                      <w:rFonts w:eastAsia="宋体"/>
                      <w:sz w:val="21"/>
                      <w:szCs w:val="21"/>
                      <w:u w:val="single"/>
                    </w:rPr>
                  </w:pPr>
                  <w:r>
                    <w:rPr>
                      <w:rFonts w:hint="eastAsia" w:eastAsia="宋体"/>
                      <w:sz w:val="21"/>
                      <w:szCs w:val="21"/>
                      <w:u w:val="single"/>
                    </w:rPr>
                    <w:t>甲醇</w:t>
                  </w:r>
                  <w:r>
                    <w:rPr>
                      <w:rFonts w:eastAsia="宋体"/>
                      <w:sz w:val="21"/>
                      <w:szCs w:val="21"/>
                      <w:u w:val="single"/>
                    </w:rPr>
                    <w:t>2#</w:t>
                  </w:r>
                  <w:r>
                    <w:rPr>
                      <w:rFonts w:hint="eastAsia" w:eastAsia="宋体"/>
                      <w:sz w:val="21"/>
                      <w:szCs w:val="21"/>
                      <w:u w:val="single"/>
                    </w:rPr>
                    <w:t>装置加热炉尾气排放口</w:t>
                  </w:r>
                </w:p>
              </w:tc>
              <w:tc>
                <w:tcPr>
                  <w:tcW w:w="448" w:type="pct"/>
                  <w:noWrap w:val="0"/>
                  <w:vAlign w:val="center"/>
                </w:tcPr>
                <w:p w14:paraId="00A76A35">
                  <w:pPr>
                    <w:jc w:val="center"/>
                    <w:rPr>
                      <w:rFonts w:eastAsia="宋体"/>
                      <w:sz w:val="21"/>
                      <w:szCs w:val="21"/>
                      <w:u w:val="single"/>
                    </w:rPr>
                  </w:pPr>
                  <w:r>
                    <w:rPr>
                      <w:rFonts w:eastAsia="宋体"/>
                      <w:sz w:val="21"/>
                      <w:szCs w:val="21"/>
                      <w:u w:val="single"/>
                    </w:rPr>
                    <w:t>DA043</w:t>
                  </w:r>
                </w:p>
              </w:tc>
              <w:tc>
                <w:tcPr>
                  <w:tcW w:w="475" w:type="pct"/>
                  <w:noWrap w:val="0"/>
                  <w:vAlign w:val="center"/>
                </w:tcPr>
                <w:p w14:paraId="20009965">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6BE3CCE7">
                  <w:pPr>
                    <w:jc w:val="center"/>
                    <w:rPr>
                      <w:rFonts w:eastAsia="宋体"/>
                      <w:sz w:val="21"/>
                      <w:szCs w:val="21"/>
                      <w:u w:val="single"/>
                    </w:rPr>
                  </w:pPr>
                  <w:r>
                    <w:rPr>
                      <w:rFonts w:hint="eastAsia" w:eastAsia="宋体"/>
                      <w:sz w:val="21"/>
                      <w:szCs w:val="21"/>
                      <w:u w:val="single"/>
                    </w:rPr>
                    <w:t>二氧化硫、氮氧化物、颗粒物</w:t>
                  </w:r>
                </w:p>
              </w:tc>
              <w:tc>
                <w:tcPr>
                  <w:tcW w:w="1689" w:type="pct"/>
                  <w:noWrap w:val="0"/>
                  <w:vAlign w:val="center"/>
                </w:tcPr>
                <w:p w14:paraId="109715A0">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p>
              </w:tc>
            </w:tr>
            <w:tr w14:paraId="6E7B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8BEEFE3">
                  <w:pPr>
                    <w:jc w:val="center"/>
                    <w:rPr>
                      <w:rFonts w:eastAsia="宋体"/>
                      <w:sz w:val="21"/>
                      <w:szCs w:val="21"/>
                      <w:u w:val="single"/>
                    </w:rPr>
                  </w:pPr>
                </w:p>
              </w:tc>
              <w:tc>
                <w:tcPr>
                  <w:tcW w:w="1298" w:type="pct"/>
                  <w:noWrap w:val="0"/>
                  <w:vAlign w:val="center"/>
                </w:tcPr>
                <w:p w14:paraId="49338A83">
                  <w:pPr>
                    <w:jc w:val="center"/>
                    <w:rPr>
                      <w:rFonts w:eastAsia="宋体"/>
                      <w:sz w:val="21"/>
                      <w:szCs w:val="21"/>
                      <w:u w:val="single"/>
                    </w:rPr>
                  </w:pPr>
                  <w:r>
                    <w:rPr>
                      <w:rFonts w:hint="eastAsia" w:eastAsia="宋体"/>
                      <w:sz w:val="21"/>
                      <w:szCs w:val="21"/>
                      <w:u w:val="single"/>
                    </w:rPr>
                    <w:t>硫回收焚烧炉尾气排放口</w:t>
                  </w:r>
                </w:p>
              </w:tc>
              <w:tc>
                <w:tcPr>
                  <w:tcW w:w="448" w:type="pct"/>
                  <w:noWrap w:val="0"/>
                  <w:vAlign w:val="center"/>
                </w:tcPr>
                <w:p w14:paraId="7CEA45E0">
                  <w:pPr>
                    <w:jc w:val="center"/>
                    <w:rPr>
                      <w:rFonts w:eastAsia="宋体"/>
                      <w:sz w:val="21"/>
                      <w:szCs w:val="21"/>
                      <w:u w:val="single"/>
                    </w:rPr>
                  </w:pPr>
                  <w:r>
                    <w:rPr>
                      <w:rFonts w:eastAsia="宋体"/>
                      <w:sz w:val="21"/>
                      <w:szCs w:val="21"/>
                      <w:u w:val="single"/>
                    </w:rPr>
                    <w:t>DA044</w:t>
                  </w:r>
                </w:p>
              </w:tc>
              <w:tc>
                <w:tcPr>
                  <w:tcW w:w="475" w:type="pct"/>
                  <w:noWrap w:val="0"/>
                  <w:vAlign w:val="center"/>
                </w:tcPr>
                <w:p w14:paraId="1918CDFD">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49B19D88">
                  <w:pPr>
                    <w:jc w:val="center"/>
                    <w:rPr>
                      <w:rFonts w:eastAsia="宋体"/>
                      <w:sz w:val="21"/>
                      <w:szCs w:val="21"/>
                      <w:u w:val="single"/>
                    </w:rPr>
                  </w:pPr>
                  <w:r>
                    <w:rPr>
                      <w:rFonts w:hint="eastAsia" w:eastAsia="宋体"/>
                      <w:sz w:val="21"/>
                      <w:szCs w:val="21"/>
                      <w:u w:val="single"/>
                    </w:rPr>
                    <w:t>二氧化硫、氮氧化物、颗粒物、硫化氢</w:t>
                  </w:r>
                </w:p>
              </w:tc>
              <w:tc>
                <w:tcPr>
                  <w:tcW w:w="1689" w:type="pct"/>
                  <w:noWrap w:val="0"/>
                  <w:vAlign w:val="center"/>
                </w:tcPr>
                <w:p w14:paraId="78CB0E8F">
                  <w:pPr>
                    <w:jc w:val="center"/>
                    <w:rPr>
                      <w:rFonts w:hint="eastAsia" w:eastAsia="宋体"/>
                      <w:sz w:val="21"/>
                      <w:szCs w:val="21"/>
                      <w:u w:val="single"/>
                    </w:rPr>
                  </w:pPr>
                  <w:r>
                    <w:rPr>
                      <w:rFonts w:hint="eastAsia" w:eastAsia="宋体"/>
                      <w:sz w:val="21"/>
                      <w:szCs w:val="21"/>
                      <w:u w:val="single"/>
                    </w:rPr>
                    <w:t>《石油炼制工业污染物排放标准》（GB 31570-2015，含2024年修改单）</w:t>
                  </w:r>
                </w:p>
              </w:tc>
            </w:tr>
            <w:tr w14:paraId="108E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1AE0FAEA">
                  <w:pPr>
                    <w:jc w:val="center"/>
                    <w:rPr>
                      <w:rFonts w:eastAsia="宋体"/>
                      <w:sz w:val="21"/>
                      <w:szCs w:val="21"/>
                      <w:u w:val="single"/>
                    </w:rPr>
                  </w:pPr>
                </w:p>
              </w:tc>
              <w:tc>
                <w:tcPr>
                  <w:tcW w:w="1298" w:type="pct"/>
                  <w:noWrap w:val="0"/>
                  <w:vAlign w:val="center"/>
                </w:tcPr>
                <w:p w14:paraId="786F4B6E">
                  <w:pPr>
                    <w:jc w:val="center"/>
                    <w:rPr>
                      <w:rFonts w:eastAsia="宋体"/>
                      <w:sz w:val="21"/>
                      <w:szCs w:val="21"/>
                      <w:u w:val="single"/>
                    </w:rPr>
                  </w:pPr>
                  <w:r>
                    <w:rPr>
                      <w:rFonts w:eastAsia="宋体"/>
                      <w:sz w:val="21"/>
                      <w:szCs w:val="21"/>
                      <w:u w:val="single"/>
                    </w:rPr>
                    <w:t>2#</w:t>
                  </w:r>
                  <w:r>
                    <w:rPr>
                      <w:rFonts w:hint="eastAsia" w:eastAsia="宋体"/>
                      <w:sz w:val="21"/>
                      <w:szCs w:val="21"/>
                      <w:u w:val="single"/>
                    </w:rPr>
                    <w:t>低温甲尾气排放口</w:t>
                  </w:r>
                </w:p>
              </w:tc>
              <w:tc>
                <w:tcPr>
                  <w:tcW w:w="448" w:type="pct"/>
                  <w:noWrap w:val="0"/>
                  <w:vAlign w:val="center"/>
                </w:tcPr>
                <w:p w14:paraId="0A6C7E3A">
                  <w:pPr>
                    <w:jc w:val="center"/>
                    <w:rPr>
                      <w:rFonts w:eastAsia="宋体"/>
                      <w:sz w:val="21"/>
                      <w:szCs w:val="21"/>
                      <w:u w:val="single"/>
                    </w:rPr>
                  </w:pPr>
                  <w:r>
                    <w:rPr>
                      <w:rFonts w:eastAsia="宋体"/>
                      <w:sz w:val="21"/>
                      <w:szCs w:val="21"/>
                      <w:u w:val="single"/>
                    </w:rPr>
                    <w:t>DA045</w:t>
                  </w:r>
                </w:p>
              </w:tc>
              <w:tc>
                <w:tcPr>
                  <w:tcW w:w="475" w:type="pct"/>
                  <w:noWrap w:val="0"/>
                  <w:vAlign w:val="center"/>
                </w:tcPr>
                <w:p w14:paraId="53C76A5E">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29DCC864">
                  <w:pPr>
                    <w:jc w:val="center"/>
                    <w:rPr>
                      <w:rFonts w:eastAsia="宋体"/>
                      <w:sz w:val="21"/>
                      <w:szCs w:val="21"/>
                      <w:u w:val="single"/>
                    </w:rPr>
                  </w:pPr>
                  <w:r>
                    <w:rPr>
                      <w:rFonts w:hint="eastAsia" w:eastAsia="宋体"/>
                      <w:sz w:val="21"/>
                      <w:szCs w:val="21"/>
                      <w:u w:val="single"/>
                    </w:rPr>
                    <w:t>甲醇、非甲烷总烃、硫化氢</w:t>
                  </w:r>
                </w:p>
              </w:tc>
              <w:tc>
                <w:tcPr>
                  <w:tcW w:w="1689" w:type="pct"/>
                  <w:noWrap w:val="0"/>
                  <w:vAlign w:val="center"/>
                </w:tcPr>
                <w:p w14:paraId="63416D68">
                  <w:pPr>
                    <w:jc w:val="center"/>
                    <w:rPr>
                      <w:rFonts w:hint="eastAsia" w:eastAsia="宋体"/>
                      <w:sz w:val="21"/>
                      <w:szCs w:val="21"/>
                      <w:u w:val="single"/>
                    </w:rPr>
                  </w:pPr>
                  <w:r>
                    <w:rPr>
                      <w:rFonts w:hint="eastAsia" w:eastAsia="宋体"/>
                      <w:sz w:val="21"/>
                      <w:szCs w:val="21"/>
                      <w:u w:val="single"/>
                    </w:rPr>
                    <w:t>《石油化学工业污染物排放标准》（GB31571-2015）及其修改单要求</w:t>
                  </w:r>
                  <w:r>
                    <w:rPr>
                      <w:rFonts w:hint="eastAsia"/>
                      <w:sz w:val="21"/>
                      <w:szCs w:val="21"/>
                      <w:u w:val="single"/>
                      <w:lang w:eastAsia="zh-CN"/>
                    </w:rPr>
                    <w:t>、</w:t>
                  </w:r>
                  <w:r>
                    <w:rPr>
                      <w:rFonts w:hint="eastAsia" w:eastAsia="宋体"/>
                      <w:sz w:val="21"/>
                      <w:szCs w:val="21"/>
                      <w:u w:val="single"/>
                    </w:rPr>
                    <w:t>《大气污染物综合排放标准》(GB16297-1996)</w:t>
                  </w:r>
                  <w:r>
                    <w:rPr>
                      <w:rFonts w:hint="eastAsia"/>
                      <w:sz w:val="21"/>
                      <w:szCs w:val="21"/>
                      <w:u w:val="single"/>
                      <w:lang w:eastAsia="zh-CN"/>
                    </w:rPr>
                    <w:t>、《</w:t>
                  </w:r>
                  <w:r>
                    <w:rPr>
                      <w:rFonts w:hint="eastAsia" w:eastAsia="宋体"/>
                      <w:sz w:val="21"/>
                      <w:szCs w:val="21"/>
                      <w:u w:val="single"/>
                    </w:rPr>
                    <w:t>恶臭污染物排放标准</w:t>
                  </w:r>
                  <w:r>
                    <w:rPr>
                      <w:rFonts w:hint="eastAsia"/>
                      <w:sz w:val="21"/>
                      <w:szCs w:val="21"/>
                      <w:u w:val="single"/>
                      <w:lang w:eastAsia="zh-CN"/>
                    </w:rPr>
                    <w:t>》（</w:t>
                  </w:r>
                  <w:r>
                    <w:rPr>
                      <w:rFonts w:hint="eastAsia" w:eastAsia="宋体"/>
                      <w:sz w:val="21"/>
                      <w:szCs w:val="21"/>
                      <w:u w:val="single"/>
                    </w:rPr>
                    <w:t>GB 14554-93</w:t>
                  </w:r>
                </w:p>
              </w:tc>
            </w:tr>
            <w:tr w14:paraId="6285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104FB21">
                  <w:pPr>
                    <w:jc w:val="center"/>
                    <w:rPr>
                      <w:rFonts w:eastAsia="宋体"/>
                      <w:sz w:val="21"/>
                      <w:szCs w:val="21"/>
                      <w:u w:val="single"/>
                    </w:rPr>
                  </w:pPr>
                </w:p>
              </w:tc>
              <w:tc>
                <w:tcPr>
                  <w:tcW w:w="1298" w:type="pct"/>
                  <w:noWrap w:val="0"/>
                  <w:vAlign w:val="center"/>
                </w:tcPr>
                <w:p w14:paraId="7C75A053">
                  <w:pPr>
                    <w:jc w:val="center"/>
                    <w:rPr>
                      <w:rFonts w:eastAsia="宋体"/>
                      <w:sz w:val="21"/>
                      <w:szCs w:val="21"/>
                      <w:u w:val="single"/>
                    </w:rPr>
                  </w:pPr>
                  <w:r>
                    <w:rPr>
                      <w:rFonts w:hint="eastAsia" w:eastAsia="宋体"/>
                      <w:sz w:val="21"/>
                      <w:szCs w:val="21"/>
                      <w:u w:val="single"/>
                    </w:rPr>
                    <w:t>华谊炉2</w:t>
                  </w:r>
                  <w:r>
                    <w:rPr>
                      <w:rFonts w:eastAsia="宋体"/>
                      <w:sz w:val="21"/>
                      <w:szCs w:val="21"/>
                      <w:u w:val="single"/>
                    </w:rPr>
                    <w:t>#</w:t>
                  </w:r>
                  <w:r>
                    <w:rPr>
                      <w:rFonts w:hint="eastAsia" w:eastAsia="宋体"/>
                      <w:sz w:val="21"/>
                      <w:szCs w:val="21"/>
                      <w:u w:val="single"/>
                    </w:rPr>
                    <w:t>粉煤贮罐排放口</w:t>
                  </w:r>
                </w:p>
              </w:tc>
              <w:tc>
                <w:tcPr>
                  <w:tcW w:w="448" w:type="pct"/>
                  <w:noWrap w:val="0"/>
                  <w:vAlign w:val="center"/>
                </w:tcPr>
                <w:p w14:paraId="0765C67A">
                  <w:pPr>
                    <w:jc w:val="center"/>
                    <w:rPr>
                      <w:rFonts w:eastAsia="宋体"/>
                      <w:sz w:val="21"/>
                      <w:szCs w:val="21"/>
                      <w:u w:val="single"/>
                    </w:rPr>
                  </w:pPr>
                  <w:r>
                    <w:rPr>
                      <w:rFonts w:eastAsia="宋体"/>
                      <w:sz w:val="21"/>
                      <w:szCs w:val="21"/>
                      <w:u w:val="single"/>
                    </w:rPr>
                    <w:t>DA046</w:t>
                  </w:r>
                </w:p>
              </w:tc>
              <w:tc>
                <w:tcPr>
                  <w:tcW w:w="475" w:type="pct"/>
                  <w:noWrap w:val="0"/>
                  <w:vAlign w:val="center"/>
                </w:tcPr>
                <w:p w14:paraId="3AC95783">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4ED10FDB">
                  <w:pPr>
                    <w:jc w:val="center"/>
                    <w:rPr>
                      <w:rFonts w:eastAsia="宋体"/>
                      <w:sz w:val="21"/>
                      <w:szCs w:val="21"/>
                      <w:u w:val="single"/>
                    </w:rPr>
                  </w:pPr>
                  <w:r>
                    <w:rPr>
                      <w:rFonts w:hint="eastAsia" w:eastAsia="宋体"/>
                      <w:sz w:val="21"/>
                      <w:szCs w:val="21"/>
                      <w:u w:val="single"/>
                    </w:rPr>
                    <w:t>颗粒物</w:t>
                  </w:r>
                </w:p>
              </w:tc>
              <w:tc>
                <w:tcPr>
                  <w:tcW w:w="1689" w:type="pct"/>
                  <w:vMerge w:val="restart"/>
                  <w:noWrap w:val="0"/>
                  <w:vAlign w:val="center"/>
                </w:tcPr>
                <w:p w14:paraId="4ED6FCB8">
                  <w:pPr>
                    <w:jc w:val="center"/>
                    <w:rPr>
                      <w:rFonts w:hint="eastAsia" w:eastAsia="宋体"/>
                      <w:sz w:val="21"/>
                      <w:szCs w:val="21"/>
                      <w:u w:val="single"/>
                    </w:rPr>
                  </w:pPr>
                  <w:r>
                    <w:rPr>
                      <w:rFonts w:hint="eastAsia" w:eastAsia="宋体"/>
                      <w:sz w:val="21"/>
                      <w:szCs w:val="21"/>
                      <w:u w:val="single"/>
                    </w:rPr>
                    <w:t>《大气污染物综合排放标准》(GB16297-1996)</w:t>
                  </w:r>
                </w:p>
              </w:tc>
            </w:tr>
            <w:tr w14:paraId="1C59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43CFDCA7">
                  <w:pPr>
                    <w:jc w:val="center"/>
                    <w:rPr>
                      <w:rFonts w:eastAsia="宋体"/>
                      <w:sz w:val="21"/>
                      <w:szCs w:val="21"/>
                      <w:u w:val="single"/>
                    </w:rPr>
                  </w:pPr>
                </w:p>
              </w:tc>
              <w:tc>
                <w:tcPr>
                  <w:tcW w:w="1298" w:type="pct"/>
                  <w:noWrap w:val="0"/>
                  <w:vAlign w:val="center"/>
                </w:tcPr>
                <w:p w14:paraId="52C7F81F">
                  <w:pPr>
                    <w:jc w:val="center"/>
                    <w:rPr>
                      <w:rFonts w:eastAsia="宋体"/>
                      <w:sz w:val="21"/>
                      <w:szCs w:val="21"/>
                      <w:u w:val="single"/>
                    </w:rPr>
                  </w:pPr>
                  <w:r>
                    <w:rPr>
                      <w:rFonts w:hint="eastAsia" w:eastAsia="宋体"/>
                      <w:sz w:val="21"/>
                      <w:szCs w:val="21"/>
                      <w:u w:val="single"/>
                    </w:rPr>
                    <w:t>华谊炉2</w:t>
                  </w:r>
                  <w:r>
                    <w:rPr>
                      <w:rFonts w:eastAsia="宋体"/>
                      <w:sz w:val="21"/>
                      <w:szCs w:val="21"/>
                      <w:u w:val="single"/>
                    </w:rPr>
                    <w:t>#</w:t>
                  </w:r>
                  <w:r>
                    <w:rPr>
                      <w:rFonts w:hint="eastAsia" w:eastAsia="宋体"/>
                      <w:sz w:val="21"/>
                      <w:szCs w:val="21"/>
                      <w:u w:val="single"/>
                    </w:rPr>
                    <w:t>粉煤贮罐排放口</w:t>
                  </w:r>
                </w:p>
              </w:tc>
              <w:tc>
                <w:tcPr>
                  <w:tcW w:w="448" w:type="pct"/>
                  <w:noWrap w:val="0"/>
                  <w:vAlign w:val="center"/>
                </w:tcPr>
                <w:p w14:paraId="630E5E24">
                  <w:pPr>
                    <w:jc w:val="center"/>
                    <w:rPr>
                      <w:rFonts w:eastAsia="宋体"/>
                      <w:sz w:val="21"/>
                      <w:szCs w:val="21"/>
                      <w:u w:val="single"/>
                    </w:rPr>
                  </w:pPr>
                  <w:r>
                    <w:rPr>
                      <w:rFonts w:eastAsia="宋体"/>
                      <w:sz w:val="21"/>
                      <w:szCs w:val="21"/>
                      <w:u w:val="single"/>
                    </w:rPr>
                    <w:t>DA047</w:t>
                  </w:r>
                </w:p>
              </w:tc>
              <w:tc>
                <w:tcPr>
                  <w:tcW w:w="475" w:type="pct"/>
                  <w:noWrap w:val="0"/>
                  <w:vAlign w:val="center"/>
                </w:tcPr>
                <w:p w14:paraId="0A4A9A4E">
                  <w:pPr>
                    <w:jc w:val="center"/>
                    <w:rPr>
                      <w:rFonts w:eastAsia="宋体"/>
                      <w:sz w:val="21"/>
                      <w:szCs w:val="21"/>
                      <w:u w:val="single"/>
                    </w:rPr>
                  </w:pPr>
                  <w:r>
                    <w:rPr>
                      <w:rFonts w:hint="eastAsia" w:eastAsia="宋体"/>
                      <w:sz w:val="21"/>
                      <w:szCs w:val="21"/>
                      <w:u w:val="single"/>
                    </w:rPr>
                    <w:t>1次/半年</w:t>
                  </w:r>
                </w:p>
              </w:tc>
              <w:tc>
                <w:tcPr>
                  <w:tcW w:w="796" w:type="pct"/>
                  <w:noWrap w:val="0"/>
                  <w:vAlign w:val="center"/>
                </w:tcPr>
                <w:p w14:paraId="058D083F">
                  <w:pPr>
                    <w:jc w:val="center"/>
                    <w:rPr>
                      <w:rFonts w:eastAsia="宋体"/>
                      <w:sz w:val="21"/>
                      <w:szCs w:val="21"/>
                      <w:u w:val="single"/>
                    </w:rPr>
                  </w:pPr>
                  <w:r>
                    <w:rPr>
                      <w:rFonts w:hint="eastAsia" w:eastAsia="宋体"/>
                      <w:sz w:val="21"/>
                      <w:szCs w:val="21"/>
                      <w:u w:val="single"/>
                    </w:rPr>
                    <w:t>颗粒物</w:t>
                  </w:r>
                </w:p>
              </w:tc>
              <w:tc>
                <w:tcPr>
                  <w:tcW w:w="1689" w:type="pct"/>
                  <w:vMerge w:val="continue"/>
                  <w:noWrap w:val="0"/>
                  <w:vAlign w:val="center"/>
                </w:tcPr>
                <w:p w14:paraId="3FAF0A5F">
                  <w:pPr>
                    <w:jc w:val="center"/>
                    <w:rPr>
                      <w:rFonts w:hint="eastAsia" w:eastAsia="宋体"/>
                      <w:sz w:val="21"/>
                      <w:szCs w:val="21"/>
                      <w:u w:val="single"/>
                    </w:rPr>
                  </w:pPr>
                </w:p>
              </w:tc>
            </w:tr>
            <w:tr w14:paraId="3D6B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AD26F91">
                  <w:pPr>
                    <w:jc w:val="center"/>
                    <w:rPr>
                      <w:rFonts w:eastAsia="宋体"/>
                      <w:sz w:val="21"/>
                      <w:szCs w:val="21"/>
                      <w:u w:val="single"/>
                    </w:rPr>
                  </w:pPr>
                </w:p>
              </w:tc>
              <w:tc>
                <w:tcPr>
                  <w:tcW w:w="1298" w:type="pct"/>
                  <w:noWrap w:val="0"/>
                  <w:vAlign w:val="center"/>
                </w:tcPr>
                <w:p w14:paraId="1BE35817">
                  <w:pPr>
                    <w:jc w:val="center"/>
                    <w:rPr>
                      <w:rFonts w:hint="default" w:eastAsia="宋体"/>
                      <w:sz w:val="21"/>
                      <w:szCs w:val="21"/>
                      <w:u w:val="single"/>
                      <w:lang w:val="en-US" w:eastAsia="zh-CN"/>
                    </w:rPr>
                  </w:pPr>
                  <w:r>
                    <w:rPr>
                      <w:rFonts w:hint="eastAsia"/>
                      <w:sz w:val="21"/>
                      <w:szCs w:val="21"/>
                      <w:u w:val="single"/>
                      <w:lang w:val="en-US" w:eastAsia="zh-CN"/>
                    </w:rPr>
                    <w:t>HOPENE装置添加剂配制排放口</w:t>
                  </w:r>
                </w:p>
              </w:tc>
              <w:tc>
                <w:tcPr>
                  <w:tcW w:w="448" w:type="pct"/>
                  <w:noWrap w:val="0"/>
                  <w:vAlign w:val="center"/>
                </w:tcPr>
                <w:p w14:paraId="296771E6">
                  <w:pPr>
                    <w:jc w:val="center"/>
                    <w:rPr>
                      <w:rFonts w:hint="default" w:eastAsia="宋体"/>
                      <w:sz w:val="21"/>
                      <w:szCs w:val="21"/>
                      <w:u w:val="single"/>
                      <w:lang w:val="en-US" w:eastAsia="zh-CN"/>
                    </w:rPr>
                  </w:pPr>
                  <w:r>
                    <w:rPr>
                      <w:rFonts w:hint="eastAsia"/>
                      <w:sz w:val="21"/>
                      <w:szCs w:val="21"/>
                      <w:u w:val="single"/>
                      <w:lang w:val="en-US" w:eastAsia="zh-CN"/>
                    </w:rPr>
                    <w:t>DA048</w:t>
                  </w:r>
                </w:p>
              </w:tc>
              <w:tc>
                <w:tcPr>
                  <w:tcW w:w="475" w:type="pct"/>
                  <w:noWrap w:val="0"/>
                  <w:vAlign w:val="center"/>
                </w:tcPr>
                <w:p w14:paraId="15BEE3F7">
                  <w:pPr>
                    <w:jc w:val="center"/>
                    <w:rPr>
                      <w:rFonts w:hint="eastAsia" w:eastAsia="宋体"/>
                      <w:sz w:val="21"/>
                      <w:szCs w:val="21"/>
                      <w:u w:val="single"/>
                      <w:lang w:eastAsia="zh-CN"/>
                    </w:rPr>
                  </w:pPr>
                  <w:r>
                    <w:rPr>
                      <w:rFonts w:hint="eastAsia" w:eastAsia="宋体"/>
                      <w:sz w:val="21"/>
                      <w:szCs w:val="21"/>
                      <w:u w:val="single"/>
                    </w:rPr>
                    <w:t>1次/</w:t>
                  </w:r>
                  <w:r>
                    <w:rPr>
                      <w:rFonts w:hint="eastAsia"/>
                      <w:sz w:val="21"/>
                      <w:szCs w:val="21"/>
                      <w:u w:val="single"/>
                      <w:lang w:val="en-US" w:eastAsia="zh-CN"/>
                    </w:rPr>
                    <w:t>月</w:t>
                  </w:r>
                </w:p>
              </w:tc>
              <w:tc>
                <w:tcPr>
                  <w:tcW w:w="796" w:type="pct"/>
                  <w:noWrap w:val="0"/>
                  <w:vAlign w:val="center"/>
                </w:tcPr>
                <w:p w14:paraId="3500678A">
                  <w:pPr>
                    <w:jc w:val="center"/>
                    <w:rPr>
                      <w:rFonts w:hint="eastAsia" w:eastAsia="宋体"/>
                      <w:sz w:val="21"/>
                      <w:szCs w:val="21"/>
                      <w:u w:val="single"/>
                      <w:lang w:val="en-US" w:eastAsia="zh-CN"/>
                    </w:rPr>
                  </w:pPr>
                  <w:r>
                    <w:rPr>
                      <w:rFonts w:hint="eastAsia"/>
                      <w:sz w:val="21"/>
                      <w:szCs w:val="21"/>
                      <w:u w:val="single"/>
                      <w:lang w:val="en-US" w:eastAsia="zh-CN"/>
                    </w:rPr>
                    <w:t>颗粒物</w:t>
                  </w:r>
                </w:p>
              </w:tc>
              <w:tc>
                <w:tcPr>
                  <w:tcW w:w="1689" w:type="pct"/>
                  <w:vMerge w:val="continue"/>
                  <w:noWrap w:val="0"/>
                  <w:vAlign w:val="center"/>
                </w:tcPr>
                <w:p w14:paraId="788F25B7">
                  <w:pPr>
                    <w:jc w:val="center"/>
                    <w:rPr>
                      <w:rFonts w:hint="eastAsia" w:eastAsia="宋体"/>
                      <w:sz w:val="21"/>
                      <w:szCs w:val="21"/>
                      <w:u w:val="single"/>
                    </w:rPr>
                  </w:pPr>
                </w:p>
              </w:tc>
            </w:tr>
            <w:tr w14:paraId="3860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5756E7A">
                  <w:pPr>
                    <w:jc w:val="center"/>
                    <w:rPr>
                      <w:rFonts w:eastAsia="宋体"/>
                      <w:sz w:val="21"/>
                      <w:szCs w:val="21"/>
                      <w:u w:val="single"/>
                    </w:rPr>
                  </w:pPr>
                </w:p>
              </w:tc>
              <w:tc>
                <w:tcPr>
                  <w:tcW w:w="1298" w:type="pct"/>
                  <w:shd w:val="clear" w:color="auto" w:fill="auto"/>
                  <w:noWrap w:val="0"/>
                  <w:vAlign w:val="center"/>
                </w:tcPr>
                <w:p w14:paraId="708BA295">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HOPENE装置料仓废气排放口</w:t>
                  </w:r>
                </w:p>
              </w:tc>
              <w:tc>
                <w:tcPr>
                  <w:tcW w:w="448" w:type="pct"/>
                  <w:shd w:val="clear" w:color="auto" w:fill="auto"/>
                  <w:noWrap w:val="0"/>
                  <w:vAlign w:val="center"/>
                </w:tcPr>
                <w:p w14:paraId="3A88265E">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DA049</w:t>
                  </w:r>
                </w:p>
              </w:tc>
              <w:tc>
                <w:tcPr>
                  <w:tcW w:w="475" w:type="pct"/>
                  <w:shd w:val="clear" w:color="auto" w:fill="auto"/>
                  <w:noWrap w:val="0"/>
                  <w:vAlign w:val="center"/>
                </w:tcPr>
                <w:p w14:paraId="34152CC8">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1次/</w:t>
                  </w:r>
                  <w:r>
                    <w:rPr>
                      <w:rFonts w:hint="eastAsia"/>
                      <w:sz w:val="21"/>
                      <w:szCs w:val="21"/>
                      <w:u w:val="single"/>
                      <w:lang w:val="en-US" w:eastAsia="zh-CN"/>
                    </w:rPr>
                    <w:t>月</w:t>
                  </w:r>
                </w:p>
              </w:tc>
              <w:tc>
                <w:tcPr>
                  <w:tcW w:w="796" w:type="pct"/>
                  <w:noWrap w:val="0"/>
                  <w:vAlign w:val="center"/>
                </w:tcPr>
                <w:p w14:paraId="72B950F0">
                  <w:pPr>
                    <w:jc w:val="center"/>
                    <w:rPr>
                      <w:rFonts w:hint="eastAsia" w:eastAsia="宋体"/>
                      <w:sz w:val="21"/>
                      <w:szCs w:val="21"/>
                      <w:u w:val="single"/>
                      <w:lang w:val="en-US" w:eastAsia="zh-CN"/>
                    </w:rPr>
                  </w:pPr>
                  <w:r>
                    <w:rPr>
                      <w:rFonts w:hint="eastAsia"/>
                      <w:sz w:val="21"/>
                      <w:szCs w:val="21"/>
                      <w:u w:val="single"/>
                      <w:lang w:val="en-US" w:eastAsia="zh-CN"/>
                    </w:rPr>
                    <w:t>颗粒物</w:t>
                  </w:r>
                </w:p>
              </w:tc>
              <w:tc>
                <w:tcPr>
                  <w:tcW w:w="1689" w:type="pct"/>
                  <w:vMerge w:val="continue"/>
                  <w:noWrap w:val="0"/>
                  <w:vAlign w:val="center"/>
                </w:tcPr>
                <w:p w14:paraId="32C0EEF7">
                  <w:pPr>
                    <w:jc w:val="center"/>
                    <w:rPr>
                      <w:rFonts w:hint="eastAsia" w:eastAsia="宋体"/>
                      <w:sz w:val="21"/>
                      <w:szCs w:val="21"/>
                      <w:u w:val="single"/>
                    </w:rPr>
                  </w:pPr>
                </w:p>
              </w:tc>
            </w:tr>
            <w:tr w14:paraId="186E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6CAB7D78">
                  <w:pPr>
                    <w:jc w:val="center"/>
                    <w:rPr>
                      <w:rFonts w:eastAsia="宋体"/>
                      <w:sz w:val="21"/>
                      <w:szCs w:val="21"/>
                      <w:u w:val="single"/>
                    </w:rPr>
                  </w:pPr>
                </w:p>
              </w:tc>
              <w:tc>
                <w:tcPr>
                  <w:tcW w:w="1298" w:type="pct"/>
                  <w:noWrap w:val="0"/>
                  <w:vAlign w:val="center"/>
                </w:tcPr>
                <w:p w14:paraId="6E3CDFA0">
                  <w:pPr>
                    <w:jc w:val="center"/>
                    <w:rPr>
                      <w:rFonts w:hint="default" w:eastAsia="宋体"/>
                      <w:sz w:val="21"/>
                      <w:szCs w:val="21"/>
                      <w:u w:val="single"/>
                      <w:lang w:val="en-US" w:eastAsia="zh-CN"/>
                    </w:rPr>
                  </w:pPr>
                  <w:r>
                    <w:rPr>
                      <w:rFonts w:hint="eastAsia"/>
                      <w:sz w:val="21"/>
                      <w:szCs w:val="21"/>
                      <w:u w:val="single"/>
                      <w:lang w:val="en-US" w:eastAsia="zh-CN"/>
                    </w:rPr>
                    <w:t>创新中心研发楼废气排放口</w:t>
                  </w:r>
                </w:p>
              </w:tc>
              <w:tc>
                <w:tcPr>
                  <w:tcW w:w="448" w:type="pct"/>
                  <w:noWrap w:val="0"/>
                  <w:vAlign w:val="center"/>
                </w:tcPr>
                <w:p w14:paraId="2CC7C734">
                  <w:pPr>
                    <w:jc w:val="center"/>
                    <w:rPr>
                      <w:rFonts w:hint="default" w:eastAsia="宋体"/>
                      <w:sz w:val="21"/>
                      <w:szCs w:val="21"/>
                      <w:u w:val="single"/>
                      <w:lang w:val="en-US" w:eastAsia="zh-CN"/>
                    </w:rPr>
                  </w:pPr>
                  <w:r>
                    <w:rPr>
                      <w:rFonts w:hint="eastAsia"/>
                      <w:sz w:val="21"/>
                      <w:szCs w:val="21"/>
                      <w:u w:val="single"/>
                      <w:lang w:val="en-US" w:eastAsia="zh-CN"/>
                    </w:rPr>
                    <w:t>DA050</w:t>
                  </w:r>
                </w:p>
              </w:tc>
              <w:tc>
                <w:tcPr>
                  <w:tcW w:w="475" w:type="pct"/>
                  <w:noWrap w:val="0"/>
                  <w:vAlign w:val="center"/>
                </w:tcPr>
                <w:p w14:paraId="0EE1BAD5">
                  <w:pPr>
                    <w:jc w:val="center"/>
                    <w:rPr>
                      <w:rFonts w:hint="eastAsia" w:eastAsia="宋体"/>
                      <w:sz w:val="21"/>
                      <w:szCs w:val="21"/>
                      <w:u w:val="single"/>
                    </w:rPr>
                  </w:pPr>
                  <w:r>
                    <w:rPr>
                      <w:rFonts w:hint="eastAsia" w:eastAsia="宋体"/>
                      <w:sz w:val="21"/>
                      <w:szCs w:val="21"/>
                      <w:u w:val="single"/>
                    </w:rPr>
                    <w:t>1次/半年</w:t>
                  </w:r>
                </w:p>
              </w:tc>
              <w:tc>
                <w:tcPr>
                  <w:tcW w:w="796" w:type="pct"/>
                  <w:noWrap w:val="0"/>
                  <w:vAlign w:val="center"/>
                </w:tcPr>
                <w:p w14:paraId="401A19D1">
                  <w:pPr>
                    <w:jc w:val="center"/>
                    <w:rPr>
                      <w:rFonts w:hint="default" w:eastAsia="宋体"/>
                      <w:sz w:val="21"/>
                      <w:szCs w:val="21"/>
                      <w:u w:val="single"/>
                      <w:lang w:val="en-US" w:eastAsia="zh-CN"/>
                    </w:rPr>
                  </w:pPr>
                  <w:r>
                    <w:rPr>
                      <w:rFonts w:hint="eastAsia"/>
                      <w:sz w:val="21"/>
                      <w:szCs w:val="21"/>
                      <w:u w:val="single"/>
                      <w:lang w:val="en-US" w:eastAsia="zh-CN"/>
                    </w:rPr>
                    <w:t>氯化氢、甲苯、甲醇、丙烯腈、颗粒物、苯乙烯、非甲烷总烃</w:t>
                  </w:r>
                </w:p>
              </w:tc>
              <w:tc>
                <w:tcPr>
                  <w:tcW w:w="1689" w:type="pct"/>
                  <w:noWrap w:val="0"/>
                  <w:vAlign w:val="center"/>
                </w:tcPr>
                <w:p w14:paraId="61124D14">
                  <w:pPr>
                    <w:jc w:val="center"/>
                    <w:rPr>
                      <w:rFonts w:hint="eastAsia" w:eastAsia="宋体"/>
                      <w:sz w:val="21"/>
                      <w:szCs w:val="21"/>
                      <w:u w:val="single"/>
                    </w:rPr>
                  </w:pPr>
                  <w:r>
                    <w:rPr>
                      <w:rFonts w:hint="eastAsia"/>
                      <w:sz w:val="21"/>
                      <w:szCs w:val="21"/>
                      <w:u w:val="single"/>
                      <w:lang w:eastAsia="zh-CN"/>
                    </w:rPr>
                    <w:t>《</w:t>
                  </w:r>
                  <w:r>
                    <w:rPr>
                      <w:rFonts w:hint="eastAsia" w:eastAsia="宋体"/>
                      <w:sz w:val="21"/>
                      <w:szCs w:val="21"/>
                      <w:u w:val="single"/>
                    </w:rPr>
                    <w:t>合成树脂工业污染物排放标准</w:t>
                  </w:r>
                  <w:r>
                    <w:rPr>
                      <w:rFonts w:hint="eastAsia"/>
                      <w:sz w:val="21"/>
                      <w:szCs w:val="21"/>
                      <w:u w:val="single"/>
                      <w:lang w:eastAsia="zh-CN"/>
                    </w:rPr>
                    <w:t>》（</w:t>
                  </w:r>
                  <w:r>
                    <w:rPr>
                      <w:rFonts w:hint="eastAsia" w:eastAsia="宋体"/>
                      <w:sz w:val="21"/>
                      <w:szCs w:val="21"/>
                      <w:u w:val="single"/>
                    </w:rPr>
                    <w:t>GB 31572-2015</w:t>
                  </w:r>
                  <w:r>
                    <w:rPr>
                      <w:rFonts w:hint="eastAsia"/>
                      <w:sz w:val="21"/>
                      <w:szCs w:val="21"/>
                      <w:u w:val="single"/>
                      <w:lang w:eastAsia="zh-CN"/>
                    </w:rPr>
                    <w:t>）</w:t>
                  </w:r>
                </w:p>
              </w:tc>
            </w:tr>
            <w:tr w14:paraId="4D73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04FC38E7">
                  <w:pPr>
                    <w:jc w:val="center"/>
                    <w:rPr>
                      <w:rFonts w:eastAsia="宋体"/>
                      <w:sz w:val="21"/>
                      <w:szCs w:val="21"/>
                      <w:u w:val="single"/>
                    </w:rPr>
                  </w:pPr>
                </w:p>
              </w:tc>
              <w:tc>
                <w:tcPr>
                  <w:tcW w:w="1746" w:type="pct"/>
                  <w:gridSpan w:val="2"/>
                  <w:vMerge w:val="restart"/>
                  <w:noWrap w:val="0"/>
                  <w:vAlign w:val="center"/>
                </w:tcPr>
                <w:p w14:paraId="2F035295">
                  <w:pPr>
                    <w:jc w:val="center"/>
                    <w:rPr>
                      <w:rFonts w:eastAsia="宋体"/>
                      <w:sz w:val="21"/>
                      <w:szCs w:val="21"/>
                      <w:u w:val="single"/>
                    </w:rPr>
                  </w:pPr>
                  <w:r>
                    <w:rPr>
                      <w:rFonts w:hint="eastAsia" w:eastAsia="宋体"/>
                      <w:sz w:val="21"/>
                      <w:szCs w:val="21"/>
                      <w:u w:val="single"/>
                    </w:rPr>
                    <w:t>厂界</w:t>
                  </w:r>
                </w:p>
              </w:tc>
              <w:tc>
                <w:tcPr>
                  <w:tcW w:w="475" w:type="pct"/>
                  <w:vMerge w:val="restart"/>
                  <w:noWrap w:val="0"/>
                  <w:vAlign w:val="center"/>
                </w:tcPr>
                <w:p w14:paraId="3EACD880">
                  <w:pPr>
                    <w:jc w:val="center"/>
                    <w:rPr>
                      <w:rFonts w:eastAsia="宋体"/>
                      <w:sz w:val="21"/>
                      <w:szCs w:val="21"/>
                      <w:u w:val="single"/>
                    </w:rPr>
                  </w:pPr>
                  <w:r>
                    <w:rPr>
                      <w:rFonts w:hint="eastAsia" w:eastAsia="宋体"/>
                      <w:sz w:val="21"/>
                      <w:szCs w:val="21"/>
                      <w:u w:val="single"/>
                    </w:rPr>
                    <w:t>1次/季</w:t>
                  </w:r>
                </w:p>
              </w:tc>
              <w:tc>
                <w:tcPr>
                  <w:tcW w:w="796" w:type="pct"/>
                  <w:noWrap w:val="0"/>
                  <w:vAlign w:val="center"/>
                </w:tcPr>
                <w:p w14:paraId="4B8F4FD8">
                  <w:pPr>
                    <w:jc w:val="center"/>
                    <w:rPr>
                      <w:rFonts w:eastAsia="宋体"/>
                      <w:sz w:val="21"/>
                      <w:szCs w:val="21"/>
                      <w:u w:val="single"/>
                    </w:rPr>
                  </w:pPr>
                  <w:r>
                    <w:rPr>
                      <w:rFonts w:hint="eastAsia" w:eastAsia="宋体"/>
                      <w:sz w:val="21"/>
                      <w:szCs w:val="21"/>
                      <w:u w:val="single"/>
                    </w:rPr>
                    <w:t>臭气浓度、氨、硫化氢</w:t>
                  </w:r>
                </w:p>
              </w:tc>
              <w:tc>
                <w:tcPr>
                  <w:tcW w:w="1689" w:type="pct"/>
                  <w:noWrap w:val="0"/>
                  <w:vAlign w:val="center"/>
                </w:tcPr>
                <w:p w14:paraId="338E7178">
                  <w:pPr>
                    <w:jc w:val="center"/>
                    <w:rPr>
                      <w:rFonts w:hint="eastAsia" w:eastAsia="宋体"/>
                      <w:sz w:val="21"/>
                      <w:szCs w:val="21"/>
                      <w:u w:val="single"/>
                    </w:rPr>
                  </w:pPr>
                  <w:r>
                    <w:rPr>
                      <w:rFonts w:hint="eastAsia" w:eastAsia="宋体"/>
                      <w:sz w:val="21"/>
                      <w:szCs w:val="21"/>
                      <w:u w:val="single"/>
                    </w:rPr>
                    <w:t>恶臭污染物排放标准 GB 14554-93</w:t>
                  </w:r>
                </w:p>
              </w:tc>
            </w:tr>
            <w:tr w14:paraId="00E4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606CEE9A">
                  <w:pPr>
                    <w:jc w:val="center"/>
                    <w:rPr>
                      <w:rFonts w:eastAsia="宋体"/>
                      <w:sz w:val="21"/>
                      <w:szCs w:val="21"/>
                      <w:u w:val="single"/>
                    </w:rPr>
                  </w:pPr>
                </w:p>
              </w:tc>
              <w:tc>
                <w:tcPr>
                  <w:tcW w:w="1746" w:type="pct"/>
                  <w:gridSpan w:val="2"/>
                  <w:vMerge w:val="continue"/>
                  <w:noWrap w:val="0"/>
                  <w:vAlign w:val="center"/>
                </w:tcPr>
                <w:p w14:paraId="20FE8E56">
                  <w:pPr>
                    <w:jc w:val="center"/>
                    <w:rPr>
                      <w:rFonts w:hint="eastAsia" w:eastAsia="宋体"/>
                      <w:sz w:val="21"/>
                      <w:szCs w:val="21"/>
                      <w:u w:val="single"/>
                    </w:rPr>
                  </w:pPr>
                </w:p>
              </w:tc>
              <w:tc>
                <w:tcPr>
                  <w:tcW w:w="475" w:type="pct"/>
                  <w:vMerge w:val="continue"/>
                  <w:noWrap w:val="0"/>
                  <w:vAlign w:val="center"/>
                </w:tcPr>
                <w:p w14:paraId="195B9202">
                  <w:pPr>
                    <w:jc w:val="center"/>
                    <w:rPr>
                      <w:rFonts w:hint="eastAsia" w:eastAsia="宋体"/>
                      <w:sz w:val="21"/>
                      <w:szCs w:val="21"/>
                      <w:u w:val="single"/>
                    </w:rPr>
                  </w:pPr>
                </w:p>
              </w:tc>
              <w:tc>
                <w:tcPr>
                  <w:tcW w:w="796" w:type="pct"/>
                  <w:shd w:val="clear" w:color="auto" w:fill="auto"/>
                  <w:noWrap w:val="0"/>
                  <w:vAlign w:val="center"/>
                </w:tcPr>
                <w:p w14:paraId="1BAE1992">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甲醇</w:t>
                  </w:r>
                </w:p>
              </w:tc>
              <w:tc>
                <w:tcPr>
                  <w:tcW w:w="1689" w:type="pct"/>
                  <w:vMerge w:val="restart"/>
                  <w:noWrap w:val="0"/>
                  <w:vAlign w:val="center"/>
                </w:tcPr>
                <w:p w14:paraId="7706943D">
                  <w:pPr>
                    <w:jc w:val="center"/>
                    <w:rPr>
                      <w:rFonts w:hint="eastAsia" w:eastAsia="宋体"/>
                      <w:sz w:val="21"/>
                      <w:szCs w:val="21"/>
                      <w:u w:val="single"/>
                    </w:rPr>
                  </w:pPr>
                  <w:r>
                    <w:rPr>
                      <w:rFonts w:hint="eastAsia" w:eastAsia="宋体"/>
                      <w:sz w:val="21"/>
                      <w:szCs w:val="21"/>
                      <w:u w:val="single"/>
                    </w:rPr>
                    <w:t>大气污染物综合排放标准</w:t>
                  </w:r>
                </w:p>
                <w:p w14:paraId="3E8AF8F4">
                  <w:pPr>
                    <w:jc w:val="center"/>
                    <w:rPr>
                      <w:rFonts w:hint="eastAsia" w:eastAsia="宋体"/>
                      <w:sz w:val="21"/>
                      <w:szCs w:val="21"/>
                      <w:u w:val="single"/>
                    </w:rPr>
                  </w:pPr>
                  <w:r>
                    <w:rPr>
                      <w:rFonts w:hint="eastAsia" w:eastAsia="宋体"/>
                      <w:sz w:val="21"/>
                      <w:szCs w:val="21"/>
                      <w:u w:val="single"/>
                    </w:rPr>
                    <w:t>GB16297-1996</w:t>
                  </w:r>
                </w:p>
              </w:tc>
            </w:tr>
            <w:tr w14:paraId="2FE3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64DCD2D">
                  <w:pPr>
                    <w:jc w:val="center"/>
                    <w:rPr>
                      <w:rFonts w:eastAsia="宋体"/>
                      <w:sz w:val="21"/>
                      <w:szCs w:val="21"/>
                      <w:u w:val="single"/>
                    </w:rPr>
                  </w:pPr>
                </w:p>
              </w:tc>
              <w:tc>
                <w:tcPr>
                  <w:tcW w:w="1746" w:type="pct"/>
                  <w:gridSpan w:val="2"/>
                  <w:vMerge w:val="continue"/>
                  <w:noWrap w:val="0"/>
                  <w:vAlign w:val="center"/>
                </w:tcPr>
                <w:p w14:paraId="1D82E48A">
                  <w:pPr>
                    <w:jc w:val="center"/>
                    <w:rPr>
                      <w:rFonts w:hint="eastAsia" w:eastAsia="宋体"/>
                      <w:sz w:val="21"/>
                      <w:szCs w:val="21"/>
                      <w:u w:val="single"/>
                    </w:rPr>
                  </w:pPr>
                </w:p>
              </w:tc>
              <w:tc>
                <w:tcPr>
                  <w:tcW w:w="475" w:type="pct"/>
                  <w:vMerge w:val="continue"/>
                  <w:noWrap w:val="0"/>
                  <w:vAlign w:val="center"/>
                </w:tcPr>
                <w:p w14:paraId="318F110E">
                  <w:pPr>
                    <w:jc w:val="center"/>
                    <w:rPr>
                      <w:rFonts w:hint="eastAsia" w:eastAsia="宋体"/>
                      <w:sz w:val="21"/>
                      <w:szCs w:val="21"/>
                      <w:u w:val="single"/>
                    </w:rPr>
                  </w:pPr>
                </w:p>
              </w:tc>
              <w:tc>
                <w:tcPr>
                  <w:tcW w:w="796" w:type="pct"/>
                  <w:shd w:val="clear" w:color="auto" w:fill="auto"/>
                  <w:noWrap w:val="0"/>
                  <w:vAlign w:val="center"/>
                </w:tcPr>
                <w:p w14:paraId="4F105EDB">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颗粒物</w:t>
                  </w:r>
                </w:p>
              </w:tc>
              <w:tc>
                <w:tcPr>
                  <w:tcW w:w="1689" w:type="pct"/>
                  <w:vMerge w:val="continue"/>
                  <w:noWrap w:val="0"/>
                  <w:vAlign w:val="center"/>
                </w:tcPr>
                <w:p w14:paraId="5D0F5F75">
                  <w:pPr>
                    <w:jc w:val="center"/>
                    <w:rPr>
                      <w:rFonts w:hint="eastAsia" w:eastAsia="宋体"/>
                      <w:sz w:val="21"/>
                      <w:szCs w:val="21"/>
                      <w:u w:val="single"/>
                    </w:rPr>
                  </w:pPr>
                </w:p>
              </w:tc>
            </w:tr>
            <w:tr w14:paraId="0740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7E1E56FF">
                  <w:pPr>
                    <w:jc w:val="center"/>
                    <w:rPr>
                      <w:rFonts w:eastAsia="宋体"/>
                      <w:sz w:val="21"/>
                      <w:szCs w:val="21"/>
                      <w:u w:val="single"/>
                    </w:rPr>
                  </w:pPr>
                </w:p>
              </w:tc>
              <w:tc>
                <w:tcPr>
                  <w:tcW w:w="1746" w:type="pct"/>
                  <w:gridSpan w:val="2"/>
                  <w:vMerge w:val="continue"/>
                  <w:noWrap w:val="0"/>
                  <w:vAlign w:val="center"/>
                </w:tcPr>
                <w:p w14:paraId="5399DE21">
                  <w:pPr>
                    <w:jc w:val="center"/>
                    <w:rPr>
                      <w:rFonts w:hint="eastAsia" w:eastAsia="宋体"/>
                      <w:sz w:val="21"/>
                      <w:szCs w:val="21"/>
                      <w:u w:val="single"/>
                    </w:rPr>
                  </w:pPr>
                </w:p>
              </w:tc>
              <w:tc>
                <w:tcPr>
                  <w:tcW w:w="475" w:type="pct"/>
                  <w:vMerge w:val="continue"/>
                  <w:noWrap w:val="0"/>
                  <w:vAlign w:val="center"/>
                </w:tcPr>
                <w:p w14:paraId="28A22EFA">
                  <w:pPr>
                    <w:jc w:val="center"/>
                    <w:rPr>
                      <w:rFonts w:hint="eastAsia" w:eastAsia="宋体"/>
                      <w:sz w:val="21"/>
                      <w:szCs w:val="21"/>
                      <w:u w:val="single"/>
                    </w:rPr>
                  </w:pPr>
                </w:p>
              </w:tc>
              <w:tc>
                <w:tcPr>
                  <w:tcW w:w="796" w:type="pct"/>
                  <w:shd w:val="clear" w:color="auto" w:fill="auto"/>
                  <w:noWrap w:val="0"/>
                  <w:vAlign w:val="center"/>
                </w:tcPr>
                <w:p w14:paraId="4D686CD5">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非甲烷总烃</w:t>
                  </w:r>
                </w:p>
              </w:tc>
              <w:tc>
                <w:tcPr>
                  <w:tcW w:w="1689" w:type="pct"/>
                  <w:vMerge w:val="continue"/>
                  <w:noWrap w:val="0"/>
                  <w:vAlign w:val="center"/>
                </w:tcPr>
                <w:p w14:paraId="3A5A5520">
                  <w:pPr>
                    <w:jc w:val="center"/>
                    <w:rPr>
                      <w:rFonts w:hint="eastAsia" w:eastAsia="宋体"/>
                      <w:sz w:val="21"/>
                      <w:szCs w:val="21"/>
                      <w:u w:val="single"/>
                    </w:rPr>
                  </w:pPr>
                </w:p>
              </w:tc>
            </w:tr>
            <w:tr w14:paraId="7214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restart"/>
                  <w:noWrap w:val="0"/>
                  <w:vAlign w:val="center"/>
                </w:tcPr>
                <w:p w14:paraId="22715518">
                  <w:pPr>
                    <w:jc w:val="center"/>
                    <w:rPr>
                      <w:rFonts w:eastAsia="宋体"/>
                      <w:sz w:val="21"/>
                      <w:szCs w:val="21"/>
                      <w:u w:val="single"/>
                    </w:rPr>
                  </w:pPr>
                  <w:r>
                    <w:rPr>
                      <w:rFonts w:hint="eastAsia" w:eastAsia="宋体"/>
                      <w:sz w:val="21"/>
                      <w:szCs w:val="21"/>
                      <w:u w:val="single"/>
                    </w:rPr>
                    <w:t>废水</w:t>
                  </w:r>
                </w:p>
              </w:tc>
              <w:tc>
                <w:tcPr>
                  <w:tcW w:w="1298" w:type="pct"/>
                  <w:vMerge w:val="restart"/>
                  <w:noWrap w:val="0"/>
                  <w:vAlign w:val="center"/>
                </w:tcPr>
                <w:p w14:paraId="04C61FB1">
                  <w:pPr>
                    <w:jc w:val="center"/>
                    <w:rPr>
                      <w:rFonts w:hint="eastAsia" w:eastAsia="宋体"/>
                      <w:sz w:val="21"/>
                      <w:szCs w:val="21"/>
                      <w:u w:val="single"/>
                    </w:rPr>
                  </w:pPr>
                  <w:r>
                    <w:rPr>
                      <w:rFonts w:ascii="宋体" w:hAnsi="宋体" w:eastAsia="宋体"/>
                      <w:sz w:val="21"/>
                      <w:szCs w:val="21"/>
                      <w:u w:val="single"/>
                    </w:rPr>
                    <w:t>气化灰水排口</w:t>
                  </w:r>
                </w:p>
              </w:tc>
              <w:tc>
                <w:tcPr>
                  <w:tcW w:w="448" w:type="pct"/>
                  <w:vMerge w:val="restart"/>
                  <w:noWrap w:val="0"/>
                  <w:vAlign w:val="center"/>
                </w:tcPr>
                <w:p w14:paraId="6F4B0668">
                  <w:pPr>
                    <w:jc w:val="center"/>
                    <w:rPr>
                      <w:rFonts w:hint="eastAsia" w:eastAsia="宋体"/>
                      <w:sz w:val="21"/>
                      <w:szCs w:val="21"/>
                      <w:u w:val="single"/>
                    </w:rPr>
                  </w:pPr>
                  <w:r>
                    <w:rPr>
                      <w:rFonts w:hint="eastAsia" w:eastAsia="宋体"/>
                      <w:sz w:val="21"/>
                      <w:szCs w:val="21"/>
                      <w:u w:val="single"/>
                    </w:rPr>
                    <w:t>D</w:t>
                  </w:r>
                  <w:r>
                    <w:rPr>
                      <w:rFonts w:eastAsia="宋体"/>
                      <w:sz w:val="21"/>
                      <w:szCs w:val="21"/>
                      <w:u w:val="single"/>
                    </w:rPr>
                    <w:t>W003</w:t>
                  </w:r>
                </w:p>
              </w:tc>
              <w:tc>
                <w:tcPr>
                  <w:tcW w:w="475" w:type="pct"/>
                  <w:noWrap w:val="0"/>
                  <w:vAlign w:val="center"/>
                </w:tcPr>
                <w:p w14:paraId="54A4D844">
                  <w:pPr>
                    <w:jc w:val="center"/>
                    <w:rPr>
                      <w:rFonts w:eastAsia="宋体"/>
                      <w:sz w:val="21"/>
                      <w:szCs w:val="21"/>
                      <w:u w:val="single"/>
                    </w:rPr>
                  </w:pPr>
                  <w:r>
                    <w:rPr>
                      <w:rFonts w:hint="eastAsia" w:eastAsia="宋体"/>
                      <w:sz w:val="21"/>
                      <w:szCs w:val="21"/>
                      <w:u w:val="single"/>
                    </w:rPr>
                    <w:t>1</w:t>
                  </w:r>
                  <w:r>
                    <w:rPr>
                      <w:rFonts w:hint="eastAsia" w:ascii="宋体" w:hAnsi="宋体" w:eastAsia="宋体"/>
                      <w:sz w:val="21"/>
                      <w:szCs w:val="21"/>
                      <w:u w:val="single"/>
                    </w:rPr>
                    <w:t>次</w:t>
                  </w:r>
                  <w:r>
                    <w:rPr>
                      <w:rFonts w:hint="eastAsia" w:eastAsia="宋体"/>
                      <w:sz w:val="21"/>
                      <w:szCs w:val="21"/>
                      <w:u w:val="single"/>
                    </w:rPr>
                    <w:t>/</w:t>
                  </w:r>
                  <w:r>
                    <w:rPr>
                      <w:rFonts w:hint="eastAsia" w:ascii="宋体" w:hAnsi="宋体" w:eastAsia="宋体"/>
                      <w:sz w:val="21"/>
                      <w:szCs w:val="21"/>
                      <w:u w:val="single"/>
                    </w:rPr>
                    <w:t>月</w:t>
                  </w:r>
                </w:p>
              </w:tc>
              <w:tc>
                <w:tcPr>
                  <w:tcW w:w="796" w:type="pct"/>
                  <w:noWrap w:val="0"/>
                  <w:vAlign w:val="center"/>
                </w:tcPr>
                <w:p w14:paraId="204A5942">
                  <w:pPr>
                    <w:jc w:val="center"/>
                    <w:rPr>
                      <w:rFonts w:eastAsia="宋体"/>
                      <w:sz w:val="21"/>
                      <w:szCs w:val="21"/>
                      <w:u w:val="single"/>
                    </w:rPr>
                  </w:pPr>
                  <w:r>
                    <w:rPr>
                      <w:rFonts w:hint="eastAsia" w:ascii="宋体" w:hAnsi="宋体" w:eastAsia="宋体"/>
                      <w:sz w:val="21"/>
                      <w:szCs w:val="21"/>
                      <w:u w:val="single"/>
                    </w:rPr>
                    <w:t>总铅、总汞、总砷</w:t>
                  </w:r>
                </w:p>
              </w:tc>
              <w:tc>
                <w:tcPr>
                  <w:tcW w:w="1689" w:type="pct"/>
                  <w:vMerge w:val="restart"/>
                  <w:noWrap w:val="0"/>
                  <w:vAlign w:val="center"/>
                </w:tcPr>
                <w:p w14:paraId="4BE92158">
                  <w:pPr>
                    <w:jc w:val="center"/>
                    <w:rPr>
                      <w:rFonts w:hint="eastAsia" w:ascii="宋体" w:hAnsi="宋体" w:eastAsia="宋体"/>
                      <w:sz w:val="21"/>
                      <w:szCs w:val="21"/>
                      <w:u w:val="single"/>
                    </w:rPr>
                  </w:pPr>
                  <w:r>
                    <w:rPr>
                      <w:rFonts w:hint="eastAsia" w:ascii="宋体" w:hAnsi="宋体" w:eastAsia="宋体"/>
                      <w:sz w:val="21"/>
                      <w:szCs w:val="21"/>
                      <w:u w:val="single"/>
                    </w:rPr>
                    <w:t>广西能化与广西天宜环境科技有限公司签订的废水纳管协议要求</w:t>
                  </w:r>
                </w:p>
              </w:tc>
            </w:tr>
            <w:tr w14:paraId="128A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8DCFC8E">
                  <w:pPr>
                    <w:jc w:val="center"/>
                    <w:rPr>
                      <w:rFonts w:eastAsia="宋体"/>
                      <w:sz w:val="21"/>
                      <w:szCs w:val="21"/>
                      <w:u w:val="single"/>
                    </w:rPr>
                  </w:pPr>
                </w:p>
              </w:tc>
              <w:tc>
                <w:tcPr>
                  <w:tcW w:w="1298" w:type="pct"/>
                  <w:vMerge w:val="continue"/>
                  <w:noWrap w:val="0"/>
                  <w:vAlign w:val="center"/>
                </w:tcPr>
                <w:p w14:paraId="127F93F2">
                  <w:pPr>
                    <w:jc w:val="center"/>
                    <w:rPr>
                      <w:rFonts w:eastAsia="宋体"/>
                      <w:sz w:val="21"/>
                      <w:szCs w:val="21"/>
                      <w:u w:val="single"/>
                    </w:rPr>
                  </w:pPr>
                </w:p>
              </w:tc>
              <w:tc>
                <w:tcPr>
                  <w:tcW w:w="448" w:type="pct"/>
                  <w:vMerge w:val="continue"/>
                  <w:noWrap w:val="0"/>
                  <w:vAlign w:val="center"/>
                </w:tcPr>
                <w:p w14:paraId="00AB9E8A">
                  <w:pPr>
                    <w:jc w:val="center"/>
                    <w:rPr>
                      <w:rFonts w:eastAsia="宋体"/>
                      <w:sz w:val="21"/>
                      <w:szCs w:val="21"/>
                      <w:u w:val="single"/>
                    </w:rPr>
                  </w:pPr>
                </w:p>
              </w:tc>
              <w:tc>
                <w:tcPr>
                  <w:tcW w:w="475" w:type="pct"/>
                  <w:noWrap w:val="0"/>
                  <w:vAlign w:val="center"/>
                </w:tcPr>
                <w:p w14:paraId="6187DBF1">
                  <w:pPr>
                    <w:jc w:val="center"/>
                    <w:rPr>
                      <w:rFonts w:eastAsia="宋体"/>
                      <w:sz w:val="21"/>
                      <w:szCs w:val="21"/>
                      <w:u w:val="single"/>
                    </w:rPr>
                  </w:pPr>
                  <w:r>
                    <w:rPr>
                      <w:rFonts w:hint="eastAsia" w:eastAsia="宋体"/>
                      <w:sz w:val="21"/>
                      <w:szCs w:val="21"/>
                      <w:u w:val="single"/>
                    </w:rPr>
                    <w:t>1</w:t>
                  </w:r>
                  <w:r>
                    <w:rPr>
                      <w:rFonts w:hint="eastAsia" w:ascii="宋体" w:hAnsi="宋体" w:eastAsia="宋体"/>
                      <w:sz w:val="21"/>
                      <w:szCs w:val="21"/>
                      <w:u w:val="single"/>
                    </w:rPr>
                    <w:t>次</w:t>
                  </w:r>
                  <w:r>
                    <w:rPr>
                      <w:rFonts w:hint="eastAsia" w:eastAsia="宋体"/>
                      <w:sz w:val="21"/>
                      <w:szCs w:val="21"/>
                      <w:u w:val="single"/>
                    </w:rPr>
                    <w:t>/</w:t>
                  </w:r>
                  <w:r>
                    <w:rPr>
                      <w:rFonts w:hint="eastAsia" w:ascii="宋体" w:hAnsi="宋体" w:eastAsia="宋体"/>
                      <w:sz w:val="21"/>
                      <w:szCs w:val="21"/>
                      <w:u w:val="single"/>
                    </w:rPr>
                    <w:t>半年</w:t>
                  </w:r>
                </w:p>
              </w:tc>
              <w:tc>
                <w:tcPr>
                  <w:tcW w:w="796" w:type="pct"/>
                  <w:noWrap w:val="0"/>
                  <w:vAlign w:val="center"/>
                </w:tcPr>
                <w:p w14:paraId="5E582C1F">
                  <w:pPr>
                    <w:jc w:val="center"/>
                    <w:rPr>
                      <w:rFonts w:eastAsia="宋体"/>
                      <w:sz w:val="21"/>
                      <w:szCs w:val="21"/>
                      <w:u w:val="single"/>
                    </w:rPr>
                  </w:pPr>
                  <w:r>
                    <w:rPr>
                      <w:rFonts w:ascii="宋体" w:hAnsi="宋体" w:eastAsia="宋体"/>
                      <w:sz w:val="21"/>
                      <w:szCs w:val="21"/>
                      <w:u w:val="single"/>
                    </w:rPr>
                    <w:t>烷基汞</w:t>
                  </w:r>
                </w:p>
              </w:tc>
              <w:tc>
                <w:tcPr>
                  <w:tcW w:w="1689" w:type="pct"/>
                  <w:vMerge w:val="continue"/>
                  <w:noWrap w:val="0"/>
                  <w:vAlign w:val="center"/>
                </w:tcPr>
                <w:p w14:paraId="7B190BA1">
                  <w:pPr>
                    <w:jc w:val="center"/>
                    <w:rPr>
                      <w:rFonts w:ascii="宋体" w:hAnsi="宋体" w:eastAsia="宋体"/>
                      <w:sz w:val="21"/>
                      <w:szCs w:val="21"/>
                      <w:u w:val="single"/>
                    </w:rPr>
                  </w:pPr>
                </w:p>
              </w:tc>
            </w:tr>
            <w:tr w14:paraId="21F3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37ABBC5B">
                  <w:pPr>
                    <w:jc w:val="center"/>
                    <w:rPr>
                      <w:rFonts w:eastAsia="宋体"/>
                      <w:sz w:val="21"/>
                      <w:szCs w:val="21"/>
                      <w:u w:val="single"/>
                    </w:rPr>
                  </w:pPr>
                </w:p>
              </w:tc>
              <w:tc>
                <w:tcPr>
                  <w:tcW w:w="1298" w:type="pct"/>
                  <w:vMerge w:val="restart"/>
                  <w:noWrap w:val="0"/>
                  <w:vAlign w:val="center"/>
                </w:tcPr>
                <w:p w14:paraId="051F491D">
                  <w:pPr>
                    <w:jc w:val="center"/>
                    <w:rPr>
                      <w:rFonts w:hint="default" w:eastAsia="宋体"/>
                      <w:sz w:val="21"/>
                      <w:szCs w:val="21"/>
                      <w:u w:val="single"/>
                      <w:lang w:val="en-US" w:eastAsia="zh-CN"/>
                    </w:rPr>
                  </w:pPr>
                  <w:r>
                    <w:rPr>
                      <w:rFonts w:hint="eastAsia"/>
                      <w:sz w:val="21"/>
                      <w:szCs w:val="21"/>
                      <w:u w:val="single"/>
                      <w:lang w:val="en-US" w:eastAsia="zh-CN"/>
                    </w:rPr>
                    <w:t>HOPENE装置废水排放口</w:t>
                  </w:r>
                </w:p>
              </w:tc>
              <w:tc>
                <w:tcPr>
                  <w:tcW w:w="448" w:type="pct"/>
                  <w:noWrap w:val="0"/>
                  <w:vAlign w:val="center"/>
                </w:tcPr>
                <w:p w14:paraId="4F18242E">
                  <w:pPr>
                    <w:jc w:val="center"/>
                    <w:rPr>
                      <w:rFonts w:hint="default" w:eastAsia="宋体"/>
                      <w:sz w:val="21"/>
                      <w:szCs w:val="21"/>
                      <w:u w:val="single"/>
                      <w:lang w:val="en-US" w:eastAsia="zh-CN"/>
                    </w:rPr>
                  </w:pPr>
                  <w:r>
                    <w:rPr>
                      <w:rFonts w:hint="eastAsia"/>
                      <w:sz w:val="21"/>
                      <w:szCs w:val="21"/>
                      <w:u w:val="single"/>
                      <w:lang w:val="en-US" w:eastAsia="zh-CN"/>
                    </w:rPr>
                    <w:t>DW051</w:t>
                  </w:r>
                </w:p>
              </w:tc>
              <w:tc>
                <w:tcPr>
                  <w:tcW w:w="475" w:type="pct"/>
                  <w:shd w:val="clear" w:color="auto" w:fill="auto"/>
                  <w:noWrap w:val="0"/>
                  <w:vAlign w:val="center"/>
                </w:tcPr>
                <w:p w14:paraId="1F5136D7">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1</w:t>
                  </w:r>
                  <w:r>
                    <w:rPr>
                      <w:rFonts w:hint="eastAsia" w:ascii="宋体" w:hAnsi="宋体" w:eastAsia="宋体"/>
                      <w:sz w:val="21"/>
                      <w:szCs w:val="21"/>
                      <w:u w:val="single"/>
                    </w:rPr>
                    <w:t>次</w:t>
                  </w:r>
                  <w:r>
                    <w:rPr>
                      <w:rFonts w:hint="eastAsia" w:eastAsia="宋体"/>
                      <w:sz w:val="21"/>
                      <w:szCs w:val="21"/>
                      <w:u w:val="single"/>
                    </w:rPr>
                    <w:t>/</w:t>
                  </w:r>
                  <w:r>
                    <w:rPr>
                      <w:rFonts w:hint="eastAsia" w:ascii="宋体" w:hAnsi="宋体" w:eastAsia="宋体"/>
                      <w:sz w:val="21"/>
                      <w:szCs w:val="21"/>
                      <w:u w:val="single"/>
                    </w:rPr>
                    <w:t>月</w:t>
                  </w:r>
                </w:p>
              </w:tc>
              <w:tc>
                <w:tcPr>
                  <w:tcW w:w="796" w:type="pct"/>
                  <w:noWrap w:val="0"/>
                  <w:vAlign w:val="center"/>
                </w:tcPr>
                <w:p w14:paraId="66523E5C">
                  <w:pPr>
                    <w:jc w:val="center"/>
                    <w:rPr>
                      <w:rFonts w:hint="default" w:ascii="宋体" w:hAnsi="宋体" w:eastAsia="宋体"/>
                      <w:sz w:val="21"/>
                      <w:szCs w:val="21"/>
                      <w:u w:val="single"/>
                      <w:lang w:val="en-US" w:eastAsia="zh-CN"/>
                    </w:rPr>
                  </w:pPr>
                  <w:r>
                    <w:rPr>
                      <w:rFonts w:hint="eastAsia" w:ascii="宋体" w:hAnsi="宋体"/>
                      <w:sz w:val="21"/>
                      <w:szCs w:val="21"/>
                      <w:u w:val="single"/>
                      <w:lang w:val="en-US" w:eastAsia="zh-CN"/>
                    </w:rPr>
                    <w:t>总汞、总镉、总铬、六价铬、总砷、总铅、总镍</w:t>
                  </w:r>
                </w:p>
              </w:tc>
              <w:tc>
                <w:tcPr>
                  <w:tcW w:w="1689" w:type="pct"/>
                  <w:vMerge w:val="continue"/>
                  <w:noWrap w:val="0"/>
                  <w:vAlign w:val="center"/>
                </w:tcPr>
                <w:p w14:paraId="4EE40C80">
                  <w:pPr>
                    <w:jc w:val="center"/>
                    <w:rPr>
                      <w:rFonts w:ascii="宋体" w:hAnsi="宋体" w:eastAsia="宋体"/>
                      <w:sz w:val="21"/>
                      <w:szCs w:val="21"/>
                      <w:u w:val="single"/>
                    </w:rPr>
                  </w:pPr>
                </w:p>
              </w:tc>
            </w:tr>
            <w:tr w14:paraId="4213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6743ACDF">
                  <w:pPr>
                    <w:jc w:val="center"/>
                    <w:rPr>
                      <w:rFonts w:eastAsia="宋体"/>
                      <w:sz w:val="21"/>
                      <w:szCs w:val="21"/>
                      <w:u w:val="single"/>
                    </w:rPr>
                  </w:pPr>
                </w:p>
              </w:tc>
              <w:tc>
                <w:tcPr>
                  <w:tcW w:w="1298" w:type="pct"/>
                  <w:vMerge w:val="continue"/>
                  <w:noWrap w:val="0"/>
                  <w:vAlign w:val="center"/>
                </w:tcPr>
                <w:p w14:paraId="6C98B38C">
                  <w:pPr>
                    <w:jc w:val="center"/>
                    <w:rPr>
                      <w:rFonts w:hint="eastAsia"/>
                      <w:sz w:val="21"/>
                      <w:szCs w:val="21"/>
                      <w:u w:val="single"/>
                      <w:lang w:val="en-US" w:eastAsia="zh-CN"/>
                    </w:rPr>
                  </w:pPr>
                </w:p>
              </w:tc>
              <w:tc>
                <w:tcPr>
                  <w:tcW w:w="448" w:type="pct"/>
                  <w:noWrap w:val="0"/>
                  <w:vAlign w:val="center"/>
                </w:tcPr>
                <w:p w14:paraId="59F59D0F">
                  <w:pPr>
                    <w:jc w:val="center"/>
                    <w:rPr>
                      <w:rFonts w:hint="eastAsia"/>
                      <w:sz w:val="21"/>
                      <w:szCs w:val="21"/>
                      <w:u w:val="single"/>
                      <w:lang w:val="en-US" w:eastAsia="zh-CN"/>
                    </w:rPr>
                  </w:pPr>
                </w:p>
              </w:tc>
              <w:tc>
                <w:tcPr>
                  <w:tcW w:w="475" w:type="pct"/>
                  <w:shd w:val="clear" w:color="auto" w:fill="auto"/>
                  <w:noWrap w:val="0"/>
                  <w:vAlign w:val="center"/>
                </w:tcPr>
                <w:p w14:paraId="08527DE4">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1</w:t>
                  </w:r>
                  <w:r>
                    <w:rPr>
                      <w:rFonts w:hint="eastAsia" w:ascii="宋体" w:hAnsi="宋体" w:eastAsia="宋体"/>
                      <w:sz w:val="21"/>
                      <w:szCs w:val="21"/>
                      <w:u w:val="single"/>
                    </w:rPr>
                    <w:t>次</w:t>
                  </w:r>
                  <w:r>
                    <w:rPr>
                      <w:rFonts w:hint="eastAsia" w:eastAsia="宋体"/>
                      <w:sz w:val="21"/>
                      <w:szCs w:val="21"/>
                      <w:u w:val="single"/>
                    </w:rPr>
                    <w:t>/</w:t>
                  </w:r>
                  <w:r>
                    <w:rPr>
                      <w:rFonts w:hint="eastAsia" w:ascii="宋体" w:hAnsi="宋体" w:eastAsia="宋体"/>
                      <w:sz w:val="21"/>
                      <w:szCs w:val="21"/>
                      <w:u w:val="single"/>
                    </w:rPr>
                    <w:t>半年</w:t>
                  </w:r>
                </w:p>
              </w:tc>
              <w:tc>
                <w:tcPr>
                  <w:tcW w:w="796" w:type="pct"/>
                  <w:noWrap w:val="0"/>
                  <w:vAlign w:val="center"/>
                </w:tcPr>
                <w:p w14:paraId="20F4A33E">
                  <w:pPr>
                    <w:jc w:val="center"/>
                    <w:rPr>
                      <w:rFonts w:ascii="宋体" w:hAnsi="宋体" w:eastAsia="宋体"/>
                      <w:sz w:val="21"/>
                      <w:szCs w:val="21"/>
                      <w:u w:val="single"/>
                    </w:rPr>
                  </w:pPr>
                  <w:r>
                    <w:rPr>
                      <w:rFonts w:hint="eastAsia" w:ascii="宋体" w:hAnsi="宋体" w:eastAsia="宋体"/>
                      <w:sz w:val="21"/>
                      <w:szCs w:val="21"/>
                      <w:u w:val="single"/>
                    </w:rPr>
                    <w:t>烷基汞</w:t>
                  </w:r>
                </w:p>
              </w:tc>
              <w:tc>
                <w:tcPr>
                  <w:tcW w:w="1689" w:type="pct"/>
                  <w:vMerge w:val="continue"/>
                  <w:noWrap w:val="0"/>
                  <w:vAlign w:val="center"/>
                </w:tcPr>
                <w:p w14:paraId="71A75CB6">
                  <w:pPr>
                    <w:jc w:val="center"/>
                    <w:rPr>
                      <w:rFonts w:ascii="宋体" w:hAnsi="宋体" w:eastAsia="宋体"/>
                      <w:sz w:val="21"/>
                      <w:szCs w:val="21"/>
                      <w:u w:val="single"/>
                    </w:rPr>
                  </w:pPr>
                </w:p>
              </w:tc>
            </w:tr>
            <w:tr w14:paraId="05F8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536032BC">
                  <w:pPr>
                    <w:jc w:val="center"/>
                    <w:rPr>
                      <w:rFonts w:eastAsia="宋体"/>
                      <w:sz w:val="21"/>
                      <w:szCs w:val="21"/>
                      <w:u w:val="single"/>
                    </w:rPr>
                  </w:pPr>
                </w:p>
              </w:tc>
              <w:tc>
                <w:tcPr>
                  <w:tcW w:w="1298" w:type="pct"/>
                  <w:noWrap w:val="0"/>
                  <w:vAlign w:val="center"/>
                </w:tcPr>
                <w:p w14:paraId="59727EDA">
                  <w:pPr>
                    <w:jc w:val="center"/>
                    <w:rPr>
                      <w:rFonts w:eastAsia="宋体"/>
                      <w:sz w:val="21"/>
                      <w:szCs w:val="21"/>
                      <w:u w:val="single"/>
                    </w:rPr>
                  </w:pPr>
                  <w:r>
                    <w:rPr>
                      <w:rFonts w:hint="eastAsia" w:eastAsia="宋体"/>
                      <w:sz w:val="21"/>
                      <w:szCs w:val="21"/>
                      <w:u w:val="single"/>
                    </w:rPr>
                    <w:t>雨水总排口</w:t>
                  </w:r>
                </w:p>
              </w:tc>
              <w:tc>
                <w:tcPr>
                  <w:tcW w:w="448" w:type="pct"/>
                  <w:noWrap w:val="0"/>
                  <w:vAlign w:val="center"/>
                </w:tcPr>
                <w:p w14:paraId="39154CB3">
                  <w:pPr>
                    <w:jc w:val="center"/>
                    <w:rPr>
                      <w:rFonts w:hint="eastAsia" w:eastAsia="宋体"/>
                      <w:sz w:val="21"/>
                      <w:szCs w:val="21"/>
                      <w:u w:val="single"/>
                    </w:rPr>
                  </w:pPr>
                  <w:r>
                    <w:rPr>
                      <w:rFonts w:hint="eastAsia" w:eastAsia="宋体"/>
                      <w:sz w:val="21"/>
                      <w:szCs w:val="21"/>
                      <w:u w:val="single"/>
                    </w:rPr>
                    <w:t>DW</w:t>
                  </w:r>
                  <w:r>
                    <w:rPr>
                      <w:rFonts w:eastAsia="宋体"/>
                      <w:sz w:val="21"/>
                      <w:szCs w:val="21"/>
                      <w:u w:val="single"/>
                    </w:rPr>
                    <w:t>0</w:t>
                  </w:r>
                  <w:r>
                    <w:rPr>
                      <w:rFonts w:hint="eastAsia" w:eastAsia="宋体"/>
                      <w:sz w:val="21"/>
                      <w:szCs w:val="21"/>
                      <w:u w:val="single"/>
                    </w:rPr>
                    <w:t>48</w:t>
                  </w:r>
                </w:p>
              </w:tc>
              <w:tc>
                <w:tcPr>
                  <w:tcW w:w="475" w:type="pct"/>
                  <w:noWrap w:val="0"/>
                  <w:vAlign w:val="center"/>
                </w:tcPr>
                <w:p w14:paraId="0528A8C9">
                  <w:pPr>
                    <w:jc w:val="center"/>
                    <w:rPr>
                      <w:rFonts w:eastAsia="宋体"/>
                      <w:sz w:val="21"/>
                      <w:szCs w:val="21"/>
                      <w:u w:val="single"/>
                    </w:rPr>
                  </w:pPr>
                  <w:r>
                    <w:rPr>
                      <w:rFonts w:hint="eastAsia" w:eastAsia="宋体"/>
                      <w:sz w:val="21"/>
                      <w:szCs w:val="21"/>
                      <w:u w:val="single"/>
                    </w:rPr>
                    <w:t>有流动水时按日监测，如一年无异常，每季度一次</w:t>
                  </w:r>
                </w:p>
              </w:tc>
              <w:tc>
                <w:tcPr>
                  <w:tcW w:w="796" w:type="pct"/>
                  <w:noWrap w:val="0"/>
                  <w:vAlign w:val="center"/>
                </w:tcPr>
                <w:p w14:paraId="41FB86EC">
                  <w:pPr>
                    <w:jc w:val="center"/>
                    <w:rPr>
                      <w:rFonts w:eastAsia="宋体"/>
                      <w:sz w:val="21"/>
                      <w:szCs w:val="21"/>
                      <w:u w:val="single"/>
                    </w:rPr>
                  </w:pPr>
                  <w:r>
                    <w:rPr>
                      <w:rFonts w:hint="eastAsia" w:eastAsia="宋体"/>
                      <w:sz w:val="21"/>
                      <w:szCs w:val="21"/>
                      <w:u w:val="single"/>
                    </w:rPr>
                    <w:t>COD、氨氮</w:t>
                  </w:r>
                </w:p>
              </w:tc>
              <w:tc>
                <w:tcPr>
                  <w:tcW w:w="1689" w:type="pct"/>
                  <w:noWrap w:val="0"/>
                  <w:vAlign w:val="center"/>
                </w:tcPr>
                <w:p w14:paraId="518D4896">
                  <w:pPr>
                    <w:jc w:val="center"/>
                    <w:rPr>
                      <w:rFonts w:hint="eastAsia" w:eastAsia="宋体"/>
                      <w:sz w:val="21"/>
                      <w:szCs w:val="21"/>
                      <w:u w:val="single"/>
                      <w:lang w:val="en-US" w:eastAsia="zh-CN"/>
                    </w:rPr>
                  </w:pPr>
                  <w:r>
                    <w:rPr>
                      <w:rFonts w:hint="eastAsia"/>
                      <w:sz w:val="21"/>
                      <w:szCs w:val="21"/>
                      <w:u w:val="single"/>
                      <w:lang w:val="en-US" w:eastAsia="zh-CN"/>
                    </w:rPr>
                    <w:t>/</w:t>
                  </w:r>
                </w:p>
              </w:tc>
            </w:tr>
            <w:tr w14:paraId="46B0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restart"/>
                  <w:noWrap w:val="0"/>
                  <w:vAlign w:val="center"/>
                </w:tcPr>
                <w:p w14:paraId="24A21E48">
                  <w:pPr>
                    <w:jc w:val="center"/>
                    <w:rPr>
                      <w:rFonts w:eastAsia="宋体"/>
                      <w:sz w:val="21"/>
                      <w:szCs w:val="21"/>
                      <w:u w:val="single"/>
                    </w:rPr>
                  </w:pPr>
                  <w:r>
                    <w:rPr>
                      <w:rFonts w:hint="eastAsia" w:eastAsia="宋体"/>
                      <w:sz w:val="21"/>
                      <w:szCs w:val="21"/>
                      <w:u w:val="single"/>
                    </w:rPr>
                    <w:t>固废</w:t>
                  </w:r>
                </w:p>
              </w:tc>
              <w:tc>
                <w:tcPr>
                  <w:tcW w:w="1298" w:type="pct"/>
                  <w:noWrap w:val="0"/>
                  <w:vAlign w:val="center"/>
                </w:tcPr>
                <w:p w14:paraId="764B9522">
                  <w:pPr>
                    <w:jc w:val="center"/>
                    <w:rPr>
                      <w:rFonts w:eastAsia="宋体"/>
                      <w:sz w:val="21"/>
                      <w:szCs w:val="21"/>
                      <w:u w:val="single"/>
                    </w:rPr>
                  </w:pPr>
                  <w:r>
                    <w:rPr>
                      <w:rFonts w:hint="eastAsia" w:eastAsia="宋体"/>
                      <w:sz w:val="21"/>
                      <w:szCs w:val="21"/>
                      <w:u w:val="single"/>
                    </w:rPr>
                    <w:t>危险废物</w:t>
                  </w:r>
                </w:p>
              </w:tc>
              <w:tc>
                <w:tcPr>
                  <w:tcW w:w="448" w:type="pct"/>
                  <w:noWrap w:val="0"/>
                  <w:vAlign w:val="center"/>
                </w:tcPr>
                <w:p w14:paraId="5A7AEF60">
                  <w:pPr>
                    <w:jc w:val="center"/>
                    <w:rPr>
                      <w:rFonts w:eastAsia="宋体"/>
                      <w:sz w:val="21"/>
                      <w:szCs w:val="21"/>
                      <w:u w:val="single"/>
                    </w:rPr>
                  </w:pPr>
                  <w:r>
                    <w:rPr>
                      <w:rFonts w:hint="eastAsia" w:eastAsia="宋体"/>
                      <w:sz w:val="21"/>
                      <w:szCs w:val="21"/>
                      <w:u w:val="single"/>
                    </w:rPr>
                    <w:t>/</w:t>
                  </w:r>
                </w:p>
              </w:tc>
              <w:tc>
                <w:tcPr>
                  <w:tcW w:w="475" w:type="pct"/>
                  <w:noWrap w:val="0"/>
                  <w:vAlign w:val="center"/>
                </w:tcPr>
                <w:p w14:paraId="17606EAA">
                  <w:pPr>
                    <w:jc w:val="center"/>
                    <w:rPr>
                      <w:rFonts w:eastAsia="宋体"/>
                      <w:sz w:val="21"/>
                      <w:szCs w:val="21"/>
                      <w:u w:val="single"/>
                    </w:rPr>
                  </w:pPr>
                  <w:r>
                    <w:rPr>
                      <w:rFonts w:hint="eastAsia" w:eastAsia="宋体"/>
                      <w:sz w:val="21"/>
                      <w:szCs w:val="21"/>
                      <w:u w:val="single"/>
                    </w:rPr>
                    <w:t>/</w:t>
                  </w:r>
                </w:p>
              </w:tc>
              <w:tc>
                <w:tcPr>
                  <w:tcW w:w="796" w:type="pct"/>
                  <w:noWrap w:val="0"/>
                  <w:vAlign w:val="center"/>
                </w:tcPr>
                <w:p w14:paraId="516DA3FD">
                  <w:pPr>
                    <w:jc w:val="center"/>
                    <w:rPr>
                      <w:rFonts w:eastAsia="宋体"/>
                      <w:sz w:val="21"/>
                      <w:szCs w:val="21"/>
                      <w:u w:val="single"/>
                    </w:rPr>
                  </w:pPr>
                  <w:r>
                    <w:rPr>
                      <w:rFonts w:hint="eastAsia" w:eastAsia="宋体"/>
                      <w:sz w:val="21"/>
                      <w:szCs w:val="21"/>
                      <w:u w:val="single"/>
                    </w:rPr>
                    <w:t>规范暂存，委托有资质单位处理，执行危险废物联单制度</w:t>
                  </w:r>
                </w:p>
              </w:tc>
              <w:tc>
                <w:tcPr>
                  <w:tcW w:w="1689" w:type="pct"/>
                  <w:noWrap w:val="0"/>
                  <w:vAlign w:val="center"/>
                </w:tcPr>
                <w:p w14:paraId="32A0A15B">
                  <w:pPr>
                    <w:jc w:val="center"/>
                    <w:rPr>
                      <w:rFonts w:hint="eastAsia" w:eastAsia="宋体"/>
                      <w:sz w:val="21"/>
                      <w:szCs w:val="21"/>
                      <w:u w:val="single"/>
                    </w:rPr>
                  </w:pPr>
                  <w:r>
                    <w:rPr>
                      <w:rFonts w:hint="eastAsia" w:eastAsia="宋体"/>
                      <w:sz w:val="21"/>
                      <w:szCs w:val="21"/>
                      <w:u w:val="single"/>
                    </w:rPr>
                    <w:t>《危险废物贮存污染控制标准》（GB18597-2023）</w:t>
                  </w:r>
                </w:p>
              </w:tc>
            </w:tr>
            <w:tr w14:paraId="5271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vMerge w:val="continue"/>
                  <w:noWrap w:val="0"/>
                  <w:vAlign w:val="center"/>
                </w:tcPr>
                <w:p w14:paraId="2148B137">
                  <w:pPr>
                    <w:jc w:val="center"/>
                    <w:rPr>
                      <w:rFonts w:eastAsia="宋体"/>
                      <w:sz w:val="21"/>
                      <w:szCs w:val="21"/>
                      <w:u w:val="single"/>
                    </w:rPr>
                  </w:pPr>
                </w:p>
              </w:tc>
              <w:tc>
                <w:tcPr>
                  <w:tcW w:w="1298" w:type="pct"/>
                  <w:noWrap w:val="0"/>
                  <w:vAlign w:val="center"/>
                </w:tcPr>
                <w:p w14:paraId="1B41416B">
                  <w:pPr>
                    <w:jc w:val="center"/>
                    <w:rPr>
                      <w:rFonts w:eastAsia="宋体"/>
                      <w:sz w:val="21"/>
                      <w:szCs w:val="21"/>
                      <w:u w:val="single"/>
                    </w:rPr>
                  </w:pPr>
                  <w:r>
                    <w:rPr>
                      <w:rFonts w:hint="eastAsia" w:eastAsia="宋体"/>
                      <w:sz w:val="21"/>
                      <w:szCs w:val="21"/>
                      <w:u w:val="single"/>
                    </w:rPr>
                    <w:t>一般工业固废</w:t>
                  </w:r>
                </w:p>
              </w:tc>
              <w:tc>
                <w:tcPr>
                  <w:tcW w:w="448" w:type="pct"/>
                  <w:noWrap w:val="0"/>
                  <w:vAlign w:val="center"/>
                </w:tcPr>
                <w:p w14:paraId="05CE5F14">
                  <w:pPr>
                    <w:jc w:val="center"/>
                    <w:rPr>
                      <w:rFonts w:eastAsia="宋体"/>
                      <w:sz w:val="21"/>
                      <w:szCs w:val="21"/>
                      <w:u w:val="single"/>
                    </w:rPr>
                  </w:pPr>
                  <w:r>
                    <w:rPr>
                      <w:rFonts w:hint="eastAsia" w:eastAsia="宋体"/>
                      <w:sz w:val="21"/>
                      <w:szCs w:val="21"/>
                      <w:u w:val="single"/>
                    </w:rPr>
                    <w:t>/</w:t>
                  </w:r>
                </w:p>
              </w:tc>
              <w:tc>
                <w:tcPr>
                  <w:tcW w:w="475" w:type="pct"/>
                  <w:noWrap w:val="0"/>
                  <w:vAlign w:val="center"/>
                </w:tcPr>
                <w:p w14:paraId="2EDB52F2">
                  <w:pPr>
                    <w:jc w:val="center"/>
                    <w:rPr>
                      <w:rFonts w:eastAsia="宋体"/>
                      <w:sz w:val="21"/>
                      <w:szCs w:val="21"/>
                      <w:u w:val="single"/>
                    </w:rPr>
                  </w:pPr>
                  <w:r>
                    <w:rPr>
                      <w:rFonts w:hint="eastAsia" w:eastAsia="宋体"/>
                      <w:sz w:val="21"/>
                      <w:szCs w:val="21"/>
                      <w:u w:val="single"/>
                    </w:rPr>
                    <w:t>/</w:t>
                  </w:r>
                </w:p>
              </w:tc>
              <w:tc>
                <w:tcPr>
                  <w:tcW w:w="796" w:type="pct"/>
                  <w:noWrap w:val="0"/>
                  <w:vAlign w:val="center"/>
                </w:tcPr>
                <w:p w14:paraId="203CEB36">
                  <w:pPr>
                    <w:jc w:val="center"/>
                    <w:rPr>
                      <w:rFonts w:eastAsia="宋体"/>
                      <w:sz w:val="21"/>
                      <w:szCs w:val="21"/>
                      <w:u w:val="single"/>
                    </w:rPr>
                  </w:pPr>
                  <w:r>
                    <w:rPr>
                      <w:rFonts w:hint="eastAsia" w:eastAsia="宋体"/>
                      <w:sz w:val="21"/>
                      <w:szCs w:val="21"/>
                      <w:u w:val="single"/>
                    </w:rPr>
                    <w:t>委托相关单位回收利用</w:t>
                  </w:r>
                </w:p>
              </w:tc>
              <w:tc>
                <w:tcPr>
                  <w:tcW w:w="1689" w:type="pct"/>
                  <w:noWrap w:val="0"/>
                  <w:vAlign w:val="center"/>
                </w:tcPr>
                <w:p w14:paraId="7F2B690C">
                  <w:pPr>
                    <w:jc w:val="center"/>
                    <w:rPr>
                      <w:rFonts w:hint="eastAsia" w:eastAsia="宋体"/>
                      <w:sz w:val="21"/>
                      <w:szCs w:val="21"/>
                      <w:u w:val="single"/>
                    </w:rPr>
                  </w:pPr>
                  <w:r>
                    <w:rPr>
                      <w:rFonts w:hint="eastAsia" w:eastAsia="宋体"/>
                      <w:sz w:val="21"/>
                      <w:szCs w:val="21"/>
                      <w:u w:val="single"/>
                    </w:rPr>
                    <w:t>《一般工业固体废物贮存和填埋污染控制标准》（GB18599-2020）</w:t>
                  </w:r>
                </w:p>
              </w:tc>
            </w:tr>
            <w:tr w14:paraId="7EFC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noWrap w:val="0"/>
                  <w:vAlign w:val="center"/>
                </w:tcPr>
                <w:p w14:paraId="371B9074">
                  <w:pPr>
                    <w:jc w:val="center"/>
                    <w:rPr>
                      <w:rFonts w:eastAsia="宋体"/>
                      <w:sz w:val="21"/>
                      <w:szCs w:val="21"/>
                      <w:u w:val="single"/>
                    </w:rPr>
                  </w:pPr>
                  <w:r>
                    <w:rPr>
                      <w:rFonts w:hint="eastAsia" w:eastAsia="宋体"/>
                      <w:sz w:val="21"/>
                      <w:szCs w:val="21"/>
                      <w:u w:val="single"/>
                    </w:rPr>
                    <w:t>地下水</w:t>
                  </w:r>
                </w:p>
              </w:tc>
              <w:tc>
                <w:tcPr>
                  <w:tcW w:w="1298" w:type="pct"/>
                  <w:noWrap w:val="0"/>
                  <w:vAlign w:val="center"/>
                </w:tcPr>
                <w:p w14:paraId="56AC61C8">
                  <w:pPr>
                    <w:jc w:val="center"/>
                    <w:rPr>
                      <w:rFonts w:eastAsia="宋体"/>
                      <w:sz w:val="21"/>
                      <w:szCs w:val="21"/>
                      <w:u w:val="single"/>
                    </w:rPr>
                  </w:pPr>
                  <w:r>
                    <w:rPr>
                      <w:rFonts w:hint="eastAsia" w:eastAsia="宋体"/>
                      <w:sz w:val="21"/>
                      <w:szCs w:val="21"/>
                      <w:u w:val="single"/>
                    </w:rPr>
                    <w:t>地下位监测点</w:t>
                  </w:r>
                </w:p>
              </w:tc>
              <w:tc>
                <w:tcPr>
                  <w:tcW w:w="448" w:type="pct"/>
                  <w:noWrap w:val="0"/>
                  <w:vAlign w:val="center"/>
                </w:tcPr>
                <w:p w14:paraId="51EAD495">
                  <w:pPr>
                    <w:jc w:val="center"/>
                    <w:rPr>
                      <w:rFonts w:eastAsia="宋体"/>
                      <w:sz w:val="21"/>
                      <w:szCs w:val="21"/>
                      <w:u w:val="single"/>
                    </w:rPr>
                  </w:pPr>
                  <w:r>
                    <w:rPr>
                      <w:rFonts w:hint="eastAsia" w:eastAsia="宋体"/>
                      <w:sz w:val="21"/>
                      <w:szCs w:val="21"/>
                      <w:u w:val="single"/>
                    </w:rPr>
                    <w:t>S</w:t>
                  </w:r>
                  <w:r>
                    <w:rPr>
                      <w:rFonts w:eastAsia="宋体"/>
                      <w:sz w:val="21"/>
                      <w:szCs w:val="21"/>
                      <w:u w:val="single"/>
                    </w:rPr>
                    <w:t>01</w:t>
                  </w:r>
                  <w:r>
                    <w:rPr>
                      <w:rFonts w:hint="eastAsia" w:eastAsia="宋体"/>
                      <w:sz w:val="21"/>
                      <w:szCs w:val="21"/>
                      <w:u w:val="single"/>
                    </w:rPr>
                    <w:t>、S</w:t>
                  </w:r>
                  <w:r>
                    <w:rPr>
                      <w:rFonts w:eastAsia="宋体"/>
                      <w:sz w:val="21"/>
                      <w:szCs w:val="21"/>
                      <w:u w:val="single"/>
                    </w:rPr>
                    <w:t>02</w:t>
                  </w:r>
                  <w:r>
                    <w:rPr>
                      <w:rFonts w:hint="eastAsia" w:eastAsia="宋体"/>
                      <w:sz w:val="21"/>
                      <w:szCs w:val="21"/>
                      <w:u w:val="single"/>
                    </w:rPr>
                    <w:t>、S</w:t>
                  </w:r>
                  <w:r>
                    <w:rPr>
                      <w:rFonts w:eastAsia="宋体"/>
                      <w:sz w:val="21"/>
                      <w:szCs w:val="21"/>
                      <w:u w:val="single"/>
                    </w:rPr>
                    <w:t>03</w:t>
                  </w:r>
                  <w:r>
                    <w:rPr>
                      <w:rFonts w:hint="eastAsia" w:eastAsia="宋体"/>
                      <w:sz w:val="21"/>
                      <w:szCs w:val="21"/>
                      <w:u w:val="single"/>
                    </w:rPr>
                    <w:t>、S</w:t>
                  </w:r>
                  <w:r>
                    <w:rPr>
                      <w:rFonts w:eastAsia="宋体"/>
                      <w:sz w:val="21"/>
                      <w:szCs w:val="21"/>
                      <w:u w:val="single"/>
                    </w:rPr>
                    <w:t>04</w:t>
                  </w:r>
                </w:p>
              </w:tc>
              <w:tc>
                <w:tcPr>
                  <w:tcW w:w="475" w:type="pct"/>
                  <w:noWrap w:val="0"/>
                  <w:vAlign w:val="center"/>
                </w:tcPr>
                <w:p w14:paraId="31BD5893">
                  <w:pPr>
                    <w:jc w:val="center"/>
                    <w:rPr>
                      <w:rFonts w:eastAsia="宋体"/>
                      <w:sz w:val="21"/>
                      <w:szCs w:val="21"/>
                      <w:u w:val="single"/>
                    </w:rPr>
                  </w:pPr>
                  <w:r>
                    <w:rPr>
                      <w:rFonts w:eastAsia="宋体"/>
                      <w:sz w:val="21"/>
                      <w:szCs w:val="21"/>
                      <w:u w:val="single"/>
                    </w:rPr>
                    <w:t>1</w:t>
                  </w:r>
                  <w:r>
                    <w:rPr>
                      <w:rFonts w:hint="eastAsia" w:eastAsia="宋体"/>
                      <w:sz w:val="21"/>
                      <w:szCs w:val="21"/>
                      <w:u w:val="single"/>
                    </w:rPr>
                    <w:t>次/季</w:t>
                  </w:r>
                </w:p>
              </w:tc>
              <w:tc>
                <w:tcPr>
                  <w:tcW w:w="796" w:type="pct"/>
                  <w:noWrap w:val="0"/>
                  <w:vAlign w:val="center"/>
                </w:tcPr>
                <w:p w14:paraId="715E553F">
                  <w:pPr>
                    <w:jc w:val="center"/>
                    <w:rPr>
                      <w:rFonts w:eastAsia="宋体"/>
                      <w:sz w:val="21"/>
                      <w:szCs w:val="21"/>
                      <w:u w:val="single"/>
                    </w:rPr>
                  </w:pPr>
                  <w:r>
                    <w:rPr>
                      <w:rFonts w:hint="eastAsia" w:eastAsia="宋体"/>
                      <w:sz w:val="21"/>
                      <w:szCs w:val="21"/>
                      <w:u w:val="single"/>
                    </w:rPr>
                    <w:t>p</w:t>
                  </w:r>
                  <w:r>
                    <w:rPr>
                      <w:rFonts w:eastAsia="宋体"/>
                      <w:sz w:val="21"/>
                      <w:szCs w:val="21"/>
                      <w:u w:val="single"/>
                    </w:rPr>
                    <w:t>H</w:t>
                  </w:r>
                  <w:r>
                    <w:rPr>
                      <w:rFonts w:hint="eastAsia" w:eastAsia="宋体"/>
                      <w:sz w:val="21"/>
                      <w:szCs w:val="21"/>
                      <w:u w:val="single"/>
                    </w:rPr>
                    <w:t>、浑浊度、总硬度、高锰酸盐指数、氨氮、亚硝酸盐、硝酸盐、氰化物、氟化物、氯化物、硫酸盐、挥发酚</w:t>
                  </w:r>
                </w:p>
              </w:tc>
              <w:tc>
                <w:tcPr>
                  <w:tcW w:w="1689" w:type="pct"/>
                  <w:noWrap w:val="0"/>
                  <w:vAlign w:val="center"/>
                </w:tcPr>
                <w:p w14:paraId="388ED774">
                  <w:pPr>
                    <w:jc w:val="center"/>
                    <w:rPr>
                      <w:rFonts w:hint="eastAsia" w:eastAsia="宋体"/>
                      <w:sz w:val="21"/>
                      <w:szCs w:val="21"/>
                      <w:u w:val="single"/>
                    </w:rPr>
                  </w:pPr>
                  <w:r>
                    <w:rPr>
                      <w:rFonts w:hint="eastAsia" w:eastAsia="宋体"/>
                      <w:sz w:val="21"/>
                      <w:szCs w:val="21"/>
                      <w:u w:val="single"/>
                    </w:rPr>
                    <w:t>《地下水质量标准》（GB/T14848-2017）Ⅲ类标准</w:t>
                  </w:r>
                </w:p>
              </w:tc>
            </w:tr>
            <w:tr w14:paraId="580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2" w:type="dxa"/>
                  <w:bottom w:w="0" w:type="dxa"/>
                  <w:right w:w="72" w:type="dxa"/>
                </w:tblCellMar>
              </w:tblPrEx>
              <w:trPr>
                <w:trHeight w:val="312" w:hRule="atLeast"/>
              </w:trPr>
              <w:tc>
                <w:tcPr>
                  <w:tcW w:w="292" w:type="pct"/>
                  <w:noWrap w:val="0"/>
                  <w:vAlign w:val="center"/>
                </w:tcPr>
                <w:p w14:paraId="515667FF">
                  <w:pPr>
                    <w:jc w:val="center"/>
                    <w:rPr>
                      <w:rFonts w:eastAsia="宋体"/>
                      <w:sz w:val="21"/>
                      <w:szCs w:val="21"/>
                      <w:u w:val="single"/>
                    </w:rPr>
                  </w:pPr>
                  <w:r>
                    <w:rPr>
                      <w:rFonts w:hint="eastAsia" w:eastAsia="宋体"/>
                      <w:sz w:val="21"/>
                      <w:szCs w:val="21"/>
                      <w:u w:val="single"/>
                    </w:rPr>
                    <w:t>噪声</w:t>
                  </w:r>
                </w:p>
              </w:tc>
              <w:tc>
                <w:tcPr>
                  <w:tcW w:w="1298" w:type="pct"/>
                  <w:noWrap w:val="0"/>
                  <w:vAlign w:val="center"/>
                </w:tcPr>
                <w:p w14:paraId="5AE9D9B2">
                  <w:pPr>
                    <w:jc w:val="center"/>
                    <w:rPr>
                      <w:rFonts w:eastAsia="宋体"/>
                      <w:sz w:val="21"/>
                      <w:szCs w:val="21"/>
                      <w:u w:val="single"/>
                    </w:rPr>
                  </w:pPr>
                  <w:r>
                    <w:rPr>
                      <w:rFonts w:hint="eastAsia" w:eastAsia="宋体"/>
                      <w:sz w:val="21"/>
                      <w:szCs w:val="21"/>
                      <w:u w:val="single"/>
                    </w:rPr>
                    <w:t>厂界四周</w:t>
                  </w:r>
                </w:p>
              </w:tc>
              <w:tc>
                <w:tcPr>
                  <w:tcW w:w="448" w:type="pct"/>
                  <w:noWrap w:val="0"/>
                  <w:vAlign w:val="center"/>
                </w:tcPr>
                <w:p w14:paraId="494ECF74">
                  <w:pPr>
                    <w:jc w:val="center"/>
                    <w:rPr>
                      <w:rFonts w:eastAsia="宋体"/>
                      <w:sz w:val="21"/>
                      <w:szCs w:val="21"/>
                      <w:u w:val="single"/>
                    </w:rPr>
                  </w:pPr>
                  <w:r>
                    <w:rPr>
                      <w:rFonts w:hint="eastAsia" w:eastAsia="宋体"/>
                      <w:sz w:val="21"/>
                      <w:szCs w:val="21"/>
                      <w:u w:val="single"/>
                    </w:rPr>
                    <w:t>/</w:t>
                  </w:r>
                </w:p>
              </w:tc>
              <w:tc>
                <w:tcPr>
                  <w:tcW w:w="475" w:type="pct"/>
                  <w:noWrap w:val="0"/>
                  <w:vAlign w:val="center"/>
                </w:tcPr>
                <w:p w14:paraId="67CB388B">
                  <w:pPr>
                    <w:jc w:val="center"/>
                    <w:rPr>
                      <w:rFonts w:eastAsia="宋体"/>
                      <w:sz w:val="21"/>
                      <w:szCs w:val="21"/>
                      <w:u w:val="single"/>
                    </w:rPr>
                  </w:pPr>
                  <w:r>
                    <w:rPr>
                      <w:rFonts w:eastAsia="宋体"/>
                      <w:sz w:val="21"/>
                      <w:szCs w:val="21"/>
                      <w:u w:val="single"/>
                    </w:rPr>
                    <w:t>1</w:t>
                  </w:r>
                  <w:r>
                    <w:rPr>
                      <w:rFonts w:hint="eastAsia" w:eastAsia="宋体"/>
                      <w:sz w:val="21"/>
                      <w:szCs w:val="21"/>
                      <w:u w:val="single"/>
                    </w:rPr>
                    <w:t>次/季度</w:t>
                  </w:r>
                </w:p>
              </w:tc>
              <w:tc>
                <w:tcPr>
                  <w:tcW w:w="796" w:type="pct"/>
                  <w:noWrap w:val="0"/>
                  <w:vAlign w:val="center"/>
                </w:tcPr>
                <w:p w14:paraId="5868A16A">
                  <w:pPr>
                    <w:jc w:val="center"/>
                    <w:rPr>
                      <w:rFonts w:eastAsia="宋体"/>
                      <w:sz w:val="21"/>
                      <w:szCs w:val="21"/>
                      <w:u w:val="single"/>
                    </w:rPr>
                  </w:pPr>
                  <w:r>
                    <w:rPr>
                      <w:rFonts w:eastAsia="宋体"/>
                      <w:sz w:val="21"/>
                      <w:szCs w:val="21"/>
                      <w:u w:val="single"/>
                    </w:rPr>
                    <w:t>Leq(A)</w:t>
                  </w:r>
                </w:p>
              </w:tc>
              <w:tc>
                <w:tcPr>
                  <w:tcW w:w="1689" w:type="pct"/>
                  <w:noWrap w:val="0"/>
                  <w:vAlign w:val="center"/>
                </w:tcPr>
                <w:p w14:paraId="1E7EE83D">
                  <w:pPr>
                    <w:jc w:val="center"/>
                    <w:rPr>
                      <w:rFonts w:hint="default" w:eastAsia="宋体"/>
                      <w:sz w:val="21"/>
                      <w:szCs w:val="21"/>
                      <w:u w:val="single"/>
                      <w:lang w:val="en-US" w:eastAsia="zh-CN"/>
                    </w:rPr>
                  </w:pPr>
                  <w:r>
                    <w:rPr>
                      <w:rFonts w:hint="eastAsia" w:eastAsia="宋体"/>
                      <w:sz w:val="21"/>
                      <w:szCs w:val="21"/>
                      <w:u w:val="single"/>
                    </w:rPr>
                    <w:t>《工业企业厂界环境噪声排放标准》（GB 12348-2008）</w:t>
                  </w:r>
                  <w:r>
                    <w:rPr>
                      <w:rFonts w:hint="eastAsia"/>
                      <w:sz w:val="21"/>
                      <w:szCs w:val="21"/>
                      <w:u w:val="single"/>
                      <w:lang w:val="en-US" w:eastAsia="zh-CN"/>
                    </w:rPr>
                    <w:t>3类标准</w:t>
                  </w:r>
                </w:p>
              </w:tc>
            </w:tr>
          </w:tbl>
          <w:p w14:paraId="3FF3F9DF">
            <w:pPr>
              <w:spacing w:line="500" w:lineRule="atLeast"/>
              <w:ind w:firstLine="482" w:firstLineChars="200"/>
              <w:jc w:val="left"/>
              <w:rPr>
                <w:rFonts w:hint="default" w:eastAsia="宋体"/>
                <w:b/>
                <w:bCs w:val="0"/>
                <w:sz w:val="24"/>
                <w:lang w:val="en-US" w:eastAsia="zh-CN"/>
              </w:rPr>
            </w:pPr>
            <w:r>
              <w:rPr>
                <w:rFonts w:hint="eastAsia"/>
                <w:b/>
                <w:bCs w:val="0"/>
                <w:sz w:val="24"/>
                <w:lang w:val="en-US" w:eastAsia="zh-CN"/>
              </w:rPr>
              <w:t>七、在建工程情况</w:t>
            </w:r>
          </w:p>
          <w:p w14:paraId="1100683B">
            <w:pPr>
              <w:spacing w:line="500" w:lineRule="atLeast"/>
              <w:ind w:firstLine="480" w:firstLineChars="200"/>
              <w:jc w:val="left"/>
              <w:rPr>
                <w:rFonts w:hint="eastAsia"/>
                <w:b w:val="0"/>
                <w:bCs/>
                <w:sz w:val="24"/>
              </w:rPr>
            </w:pPr>
            <w:r>
              <w:rPr>
                <w:rFonts w:hint="eastAsia"/>
                <w:b w:val="0"/>
                <w:bCs/>
                <w:sz w:val="24"/>
              </w:rPr>
              <w:t>广西华谊能化目前在建项目包括“广西华谊能源化工有限公司甲醇制烯烃及下游深加工一体化项目”（简称甲醇制烯烃项目）、“广西华谊能源化工有限公司HOPENE项目”（简称HOPENE项目）和“广西华谊能源化工有限公司气化细渣脱水干化扩产二期项目”（简称气化细渣脱水干化扩产二期项目）</w:t>
            </w:r>
            <w:r>
              <w:rPr>
                <w:rFonts w:hint="eastAsia"/>
                <w:b w:val="0"/>
                <w:bCs/>
                <w:sz w:val="24"/>
                <w:lang w:eastAsia="zh-CN"/>
              </w:rPr>
              <w:t>、22万吨/年草酸项目</w:t>
            </w:r>
            <w:r>
              <w:rPr>
                <w:rFonts w:hint="eastAsia"/>
                <w:b w:val="0"/>
                <w:bCs/>
                <w:sz w:val="24"/>
              </w:rPr>
              <w:t>，在建工程项目概况见表</w:t>
            </w:r>
            <w:r>
              <w:rPr>
                <w:rFonts w:hint="eastAsia"/>
                <w:b w:val="0"/>
                <w:bCs/>
                <w:sz w:val="24"/>
                <w:lang w:val="en-US" w:eastAsia="zh-CN"/>
              </w:rPr>
              <w:t>2-28</w:t>
            </w:r>
            <w:r>
              <w:rPr>
                <w:rFonts w:hint="eastAsia"/>
                <w:b w:val="0"/>
                <w:bCs/>
                <w:sz w:val="24"/>
              </w:rPr>
              <w:t>。</w:t>
            </w:r>
          </w:p>
          <w:p w14:paraId="55A2D142">
            <w:pPr>
              <w:pStyle w:val="51"/>
              <w:numPr>
                <w:ilvl w:val="2"/>
                <w:numId w:val="3"/>
              </w:numPr>
              <w:spacing w:line="500" w:lineRule="atLeast"/>
              <w:ind w:firstLineChars="0"/>
              <w:jc w:val="center"/>
              <w:rPr>
                <w:rFonts w:hint="eastAsia"/>
                <w:b w:val="0"/>
                <w:bCs/>
                <w:sz w:val="24"/>
              </w:rPr>
            </w:pPr>
            <w:r>
              <w:rPr>
                <w:rFonts w:hint="eastAsia"/>
                <w:b/>
                <w:sz w:val="24"/>
              </w:rPr>
              <w:t>在建项目情况一览表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05"/>
              <w:gridCol w:w="2541"/>
              <w:gridCol w:w="2808"/>
              <w:gridCol w:w="1205"/>
            </w:tblGrid>
            <w:tr w14:paraId="099F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noWrap w:val="0"/>
                  <w:tcMar>
                    <w:left w:w="28" w:type="dxa"/>
                    <w:right w:w="28" w:type="dxa"/>
                  </w:tcMar>
                  <w:vAlign w:val="center"/>
                </w:tcPr>
                <w:p w14:paraId="49C1DC43">
                  <w:pPr>
                    <w:jc w:val="center"/>
                    <w:rPr>
                      <w:rFonts w:eastAsia="宋体"/>
                      <w:sz w:val="21"/>
                      <w:szCs w:val="21"/>
                    </w:rPr>
                  </w:pPr>
                  <w:r>
                    <w:rPr>
                      <w:rFonts w:eastAsia="宋体"/>
                      <w:sz w:val="21"/>
                      <w:szCs w:val="21"/>
                    </w:rPr>
                    <w:t>序号</w:t>
                  </w:r>
                </w:p>
              </w:tc>
              <w:tc>
                <w:tcPr>
                  <w:tcW w:w="716" w:type="pct"/>
                  <w:noWrap w:val="0"/>
                  <w:tcMar>
                    <w:left w:w="28" w:type="dxa"/>
                    <w:right w:w="28" w:type="dxa"/>
                  </w:tcMar>
                  <w:vAlign w:val="center"/>
                </w:tcPr>
                <w:p w14:paraId="17D98EA8">
                  <w:pPr>
                    <w:jc w:val="center"/>
                    <w:rPr>
                      <w:rFonts w:eastAsia="宋体"/>
                      <w:sz w:val="21"/>
                      <w:szCs w:val="21"/>
                    </w:rPr>
                  </w:pPr>
                  <w:r>
                    <w:rPr>
                      <w:rFonts w:eastAsia="宋体"/>
                      <w:sz w:val="21"/>
                      <w:szCs w:val="21"/>
                    </w:rPr>
                    <w:t>装置名称</w:t>
                  </w:r>
                </w:p>
              </w:tc>
              <w:tc>
                <w:tcPr>
                  <w:tcW w:w="1510" w:type="pct"/>
                  <w:noWrap w:val="0"/>
                  <w:vAlign w:val="center"/>
                </w:tcPr>
                <w:p w14:paraId="615FF4DA">
                  <w:pPr>
                    <w:jc w:val="center"/>
                    <w:rPr>
                      <w:rFonts w:eastAsia="宋体"/>
                      <w:sz w:val="21"/>
                      <w:szCs w:val="21"/>
                    </w:rPr>
                  </w:pPr>
                  <w:r>
                    <w:rPr>
                      <w:rFonts w:eastAsia="宋体"/>
                      <w:sz w:val="21"/>
                      <w:szCs w:val="21"/>
                    </w:rPr>
                    <w:t>项目名称</w:t>
                  </w:r>
                </w:p>
              </w:tc>
              <w:tc>
                <w:tcPr>
                  <w:tcW w:w="1668" w:type="pct"/>
                  <w:noWrap w:val="0"/>
                  <w:vAlign w:val="center"/>
                </w:tcPr>
                <w:p w14:paraId="2E39C62A">
                  <w:pPr>
                    <w:jc w:val="center"/>
                    <w:rPr>
                      <w:rFonts w:eastAsia="宋体"/>
                      <w:sz w:val="21"/>
                      <w:szCs w:val="21"/>
                    </w:rPr>
                  </w:pPr>
                  <w:r>
                    <w:rPr>
                      <w:rFonts w:eastAsia="宋体"/>
                      <w:sz w:val="21"/>
                      <w:szCs w:val="21"/>
                    </w:rPr>
                    <w:t>批复生产规模</w:t>
                  </w:r>
                </w:p>
              </w:tc>
              <w:tc>
                <w:tcPr>
                  <w:tcW w:w="716" w:type="pct"/>
                  <w:noWrap w:val="0"/>
                  <w:vAlign w:val="center"/>
                </w:tcPr>
                <w:p w14:paraId="1EC6D648">
                  <w:pPr>
                    <w:jc w:val="center"/>
                    <w:rPr>
                      <w:rFonts w:eastAsia="宋体"/>
                      <w:sz w:val="21"/>
                      <w:szCs w:val="21"/>
                    </w:rPr>
                  </w:pPr>
                  <w:r>
                    <w:rPr>
                      <w:rFonts w:eastAsia="宋体"/>
                      <w:sz w:val="21"/>
                      <w:szCs w:val="21"/>
                    </w:rPr>
                    <w:t>环评批</w:t>
                  </w:r>
                </w:p>
                <w:p w14:paraId="45906D12">
                  <w:pPr>
                    <w:jc w:val="center"/>
                    <w:rPr>
                      <w:rFonts w:eastAsia="宋体"/>
                      <w:sz w:val="21"/>
                      <w:szCs w:val="21"/>
                    </w:rPr>
                  </w:pPr>
                  <w:r>
                    <w:rPr>
                      <w:rFonts w:eastAsia="宋体"/>
                      <w:sz w:val="21"/>
                      <w:szCs w:val="21"/>
                    </w:rPr>
                    <w:t>复时间</w:t>
                  </w:r>
                </w:p>
              </w:tc>
            </w:tr>
            <w:tr w14:paraId="4E6A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noWrap w:val="0"/>
                  <w:tcMar>
                    <w:left w:w="28" w:type="dxa"/>
                    <w:right w:w="28" w:type="dxa"/>
                  </w:tcMar>
                  <w:vAlign w:val="center"/>
                </w:tcPr>
                <w:p w14:paraId="7CAB32DE">
                  <w:pPr>
                    <w:jc w:val="center"/>
                    <w:rPr>
                      <w:rFonts w:eastAsia="宋体"/>
                      <w:sz w:val="21"/>
                      <w:szCs w:val="21"/>
                    </w:rPr>
                  </w:pPr>
                  <w:r>
                    <w:rPr>
                      <w:rFonts w:eastAsia="宋体"/>
                      <w:sz w:val="21"/>
                      <w:szCs w:val="21"/>
                    </w:rPr>
                    <w:t>1</w:t>
                  </w:r>
                </w:p>
              </w:tc>
              <w:tc>
                <w:tcPr>
                  <w:tcW w:w="716" w:type="pct"/>
                  <w:noWrap w:val="0"/>
                  <w:tcMar>
                    <w:left w:w="28" w:type="dxa"/>
                    <w:right w:w="28" w:type="dxa"/>
                  </w:tcMar>
                  <w:vAlign w:val="center"/>
                </w:tcPr>
                <w:p w14:paraId="06682E91">
                  <w:pPr>
                    <w:jc w:val="center"/>
                    <w:rPr>
                      <w:rFonts w:eastAsia="宋体"/>
                      <w:sz w:val="21"/>
                      <w:szCs w:val="21"/>
                    </w:rPr>
                  </w:pPr>
                  <w:r>
                    <w:rPr>
                      <w:rFonts w:hint="eastAsia" w:eastAsia="宋体"/>
                      <w:sz w:val="21"/>
                      <w:szCs w:val="21"/>
                    </w:rPr>
                    <w:t>甲醇制烯烃</w:t>
                  </w:r>
                </w:p>
              </w:tc>
              <w:tc>
                <w:tcPr>
                  <w:tcW w:w="1510" w:type="pct"/>
                  <w:noWrap w:val="0"/>
                  <w:vAlign w:val="center"/>
                </w:tcPr>
                <w:p w14:paraId="57EA3854">
                  <w:pPr>
                    <w:jc w:val="center"/>
                    <w:rPr>
                      <w:rFonts w:eastAsia="宋体"/>
                      <w:sz w:val="21"/>
                      <w:szCs w:val="21"/>
                    </w:rPr>
                  </w:pPr>
                  <w:r>
                    <w:rPr>
                      <w:rFonts w:hint="eastAsia" w:eastAsia="宋体"/>
                      <w:sz w:val="21"/>
                      <w:szCs w:val="21"/>
                    </w:rPr>
                    <w:t>广西华谊能源化工有限公司甲醇制烯烃及下游深加工一体化项目</w:t>
                  </w:r>
                </w:p>
              </w:tc>
              <w:tc>
                <w:tcPr>
                  <w:tcW w:w="1668" w:type="pct"/>
                  <w:noWrap w:val="0"/>
                  <w:vAlign w:val="center"/>
                </w:tcPr>
                <w:p w14:paraId="6D3D4190">
                  <w:pPr>
                    <w:jc w:val="left"/>
                    <w:rPr>
                      <w:rFonts w:eastAsia="宋体"/>
                      <w:sz w:val="21"/>
                      <w:szCs w:val="21"/>
                    </w:rPr>
                  </w:pPr>
                  <w:r>
                    <w:rPr>
                      <w:rFonts w:hint="eastAsia" w:eastAsia="宋体"/>
                      <w:sz w:val="21"/>
                      <w:szCs w:val="21"/>
                    </w:rPr>
                    <w:t>1</w:t>
                  </w:r>
                  <w:r>
                    <w:rPr>
                      <w:rFonts w:eastAsia="宋体"/>
                      <w:sz w:val="21"/>
                      <w:szCs w:val="21"/>
                    </w:rPr>
                    <w:t>00</w:t>
                  </w:r>
                  <w:r>
                    <w:rPr>
                      <w:rFonts w:hint="eastAsia" w:eastAsia="宋体"/>
                      <w:sz w:val="21"/>
                      <w:szCs w:val="21"/>
                    </w:rPr>
                    <w:t>万吨/年甲醇制烯烃装置、3</w:t>
                  </w:r>
                  <w:r>
                    <w:rPr>
                      <w:rFonts w:eastAsia="宋体"/>
                      <w:sz w:val="21"/>
                      <w:szCs w:val="21"/>
                    </w:rPr>
                    <w:t>0</w:t>
                  </w:r>
                  <w:r>
                    <w:rPr>
                      <w:rFonts w:hint="eastAsia" w:eastAsia="宋体"/>
                      <w:sz w:val="21"/>
                      <w:szCs w:val="21"/>
                    </w:rPr>
                    <w:t>万吨/年醋酸乙烯装置、2×</w:t>
                  </w:r>
                  <w:r>
                    <w:rPr>
                      <w:rFonts w:eastAsia="宋体"/>
                      <w:sz w:val="21"/>
                      <w:szCs w:val="21"/>
                    </w:rPr>
                    <w:t>20</w:t>
                  </w:r>
                  <w:r>
                    <w:rPr>
                      <w:rFonts w:hint="eastAsia" w:eastAsia="宋体"/>
                      <w:sz w:val="21"/>
                      <w:szCs w:val="21"/>
                    </w:rPr>
                    <w:t>万吨/年釜+管式尾法EVA装置</w:t>
                  </w:r>
                </w:p>
              </w:tc>
              <w:tc>
                <w:tcPr>
                  <w:tcW w:w="716" w:type="pct"/>
                  <w:noWrap w:val="0"/>
                  <w:vAlign w:val="center"/>
                </w:tcPr>
                <w:p w14:paraId="6505B560">
                  <w:pPr>
                    <w:jc w:val="center"/>
                    <w:rPr>
                      <w:rFonts w:eastAsia="宋体"/>
                      <w:sz w:val="21"/>
                      <w:szCs w:val="21"/>
                    </w:rPr>
                  </w:pPr>
                  <w:r>
                    <w:rPr>
                      <w:rFonts w:hint="eastAsia" w:eastAsia="宋体"/>
                      <w:sz w:val="21"/>
                      <w:szCs w:val="21"/>
                    </w:rPr>
                    <w:t>2</w:t>
                  </w:r>
                  <w:r>
                    <w:rPr>
                      <w:rFonts w:eastAsia="宋体"/>
                      <w:sz w:val="21"/>
                      <w:szCs w:val="21"/>
                    </w:rPr>
                    <w:t>023.3.20</w:t>
                  </w:r>
                </w:p>
              </w:tc>
            </w:tr>
            <w:tr w14:paraId="1233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noWrap w:val="0"/>
                  <w:tcMar>
                    <w:left w:w="28" w:type="dxa"/>
                    <w:right w:w="28" w:type="dxa"/>
                  </w:tcMar>
                  <w:vAlign w:val="center"/>
                </w:tcPr>
                <w:p w14:paraId="2D000658">
                  <w:pPr>
                    <w:jc w:val="center"/>
                    <w:rPr>
                      <w:rFonts w:hint="eastAsia" w:eastAsia="宋体"/>
                      <w:sz w:val="21"/>
                      <w:szCs w:val="21"/>
                    </w:rPr>
                  </w:pPr>
                  <w:r>
                    <w:rPr>
                      <w:rFonts w:hint="eastAsia" w:eastAsia="宋体"/>
                      <w:sz w:val="21"/>
                      <w:szCs w:val="21"/>
                    </w:rPr>
                    <w:t>2</w:t>
                  </w:r>
                </w:p>
              </w:tc>
              <w:tc>
                <w:tcPr>
                  <w:tcW w:w="716" w:type="pct"/>
                  <w:noWrap w:val="0"/>
                  <w:tcMar>
                    <w:left w:w="28" w:type="dxa"/>
                    <w:right w:w="28" w:type="dxa"/>
                  </w:tcMar>
                  <w:vAlign w:val="center"/>
                </w:tcPr>
                <w:p w14:paraId="478C1F90">
                  <w:pPr>
                    <w:jc w:val="center"/>
                    <w:rPr>
                      <w:rFonts w:hint="eastAsia" w:eastAsia="宋体"/>
                      <w:sz w:val="21"/>
                      <w:szCs w:val="21"/>
                    </w:rPr>
                  </w:pPr>
                  <w:r>
                    <w:rPr>
                      <w:rFonts w:hint="eastAsia" w:eastAsia="宋体"/>
                      <w:sz w:val="21"/>
                      <w:szCs w:val="21"/>
                    </w:rPr>
                    <w:t>HOPENE</w:t>
                  </w:r>
                </w:p>
              </w:tc>
              <w:tc>
                <w:tcPr>
                  <w:tcW w:w="1510" w:type="pct"/>
                  <w:noWrap w:val="0"/>
                  <w:vAlign w:val="center"/>
                </w:tcPr>
                <w:p w14:paraId="6C025BC5">
                  <w:pPr>
                    <w:jc w:val="center"/>
                    <w:rPr>
                      <w:rFonts w:hint="eastAsia" w:eastAsia="宋体"/>
                      <w:sz w:val="21"/>
                      <w:szCs w:val="21"/>
                    </w:rPr>
                  </w:pPr>
                  <w:r>
                    <w:rPr>
                      <w:rFonts w:hint="eastAsia" w:eastAsia="宋体"/>
                      <w:sz w:val="21"/>
                      <w:szCs w:val="21"/>
                    </w:rPr>
                    <w:t>广西华谊能源化工有限公司HOPENE项目</w:t>
                  </w:r>
                </w:p>
              </w:tc>
              <w:tc>
                <w:tcPr>
                  <w:tcW w:w="1668" w:type="pct"/>
                  <w:noWrap w:val="0"/>
                  <w:vAlign w:val="center"/>
                </w:tcPr>
                <w:p w14:paraId="3FE1C211">
                  <w:pPr>
                    <w:jc w:val="left"/>
                    <w:rPr>
                      <w:rFonts w:hint="eastAsia" w:eastAsia="宋体"/>
                      <w:sz w:val="21"/>
                      <w:szCs w:val="21"/>
                    </w:rPr>
                  </w:pPr>
                  <w:r>
                    <w:rPr>
                      <w:rFonts w:hint="eastAsia" w:eastAsia="宋体"/>
                      <w:sz w:val="21"/>
                      <w:szCs w:val="21"/>
                    </w:rPr>
                    <w:t>1套1000 吨/年聚烯烃中试装置，包括原料净精制单元、催化剂配置单元、反应单元、分离回收单元、挤出造粒单元、产品存储包装单元等</w:t>
                  </w:r>
                </w:p>
              </w:tc>
              <w:tc>
                <w:tcPr>
                  <w:tcW w:w="716" w:type="pct"/>
                  <w:noWrap w:val="0"/>
                  <w:vAlign w:val="center"/>
                </w:tcPr>
                <w:p w14:paraId="5CEA728C">
                  <w:pPr>
                    <w:jc w:val="center"/>
                    <w:rPr>
                      <w:rFonts w:hint="eastAsia" w:eastAsia="宋体"/>
                      <w:sz w:val="21"/>
                      <w:szCs w:val="21"/>
                    </w:rPr>
                  </w:pPr>
                  <w:r>
                    <w:rPr>
                      <w:rFonts w:hint="eastAsia" w:eastAsia="宋体"/>
                      <w:sz w:val="21"/>
                      <w:szCs w:val="21"/>
                    </w:rPr>
                    <w:t>2024.4.3</w:t>
                  </w:r>
                </w:p>
              </w:tc>
            </w:tr>
            <w:tr w14:paraId="7A59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noWrap w:val="0"/>
                  <w:tcMar>
                    <w:left w:w="28" w:type="dxa"/>
                    <w:right w:w="28" w:type="dxa"/>
                  </w:tcMar>
                  <w:vAlign w:val="center"/>
                </w:tcPr>
                <w:p w14:paraId="4A2E2C3C">
                  <w:pPr>
                    <w:jc w:val="center"/>
                    <w:rPr>
                      <w:rFonts w:hint="eastAsia" w:eastAsia="宋体"/>
                      <w:sz w:val="21"/>
                      <w:szCs w:val="21"/>
                    </w:rPr>
                  </w:pPr>
                  <w:r>
                    <w:rPr>
                      <w:rFonts w:hint="eastAsia" w:eastAsia="宋体"/>
                      <w:sz w:val="21"/>
                      <w:szCs w:val="21"/>
                    </w:rPr>
                    <w:t>3</w:t>
                  </w:r>
                </w:p>
              </w:tc>
              <w:tc>
                <w:tcPr>
                  <w:tcW w:w="716" w:type="pct"/>
                  <w:shd w:val="clear" w:color="auto" w:fill="auto"/>
                  <w:noWrap w:val="0"/>
                  <w:tcMar>
                    <w:left w:w="28" w:type="dxa"/>
                    <w:right w:w="28" w:type="dxa"/>
                  </w:tcMar>
                  <w:vAlign w:val="center"/>
                </w:tcPr>
                <w:p w14:paraId="7FD86D65">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气化细渣脱水干化扩产二期</w:t>
                  </w:r>
                </w:p>
              </w:tc>
              <w:tc>
                <w:tcPr>
                  <w:tcW w:w="1510" w:type="pct"/>
                  <w:shd w:val="clear" w:color="auto" w:fill="auto"/>
                  <w:noWrap w:val="0"/>
                  <w:vAlign w:val="center"/>
                </w:tcPr>
                <w:p w14:paraId="7728FB1A">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rPr>
                    <w:t>广西华谊能源化工有限公司气化细渣脱水干化扩产二期项目</w:t>
                  </w:r>
                </w:p>
              </w:tc>
              <w:tc>
                <w:tcPr>
                  <w:tcW w:w="1668" w:type="pct"/>
                  <w:shd w:val="clear" w:color="auto" w:fill="auto"/>
                  <w:noWrap w:val="0"/>
                  <w:vAlign w:val="center"/>
                </w:tcPr>
                <w:p w14:paraId="5F1FE138">
                  <w:pPr>
                    <w:jc w:val="left"/>
                    <w:rPr>
                      <w:rFonts w:hint="eastAsia" w:ascii="Times New Roman" w:hAnsi="Times New Roman" w:eastAsia="宋体" w:cs="Times New Roman"/>
                      <w:kern w:val="2"/>
                      <w:sz w:val="21"/>
                      <w:szCs w:val="21"/>
                      <w:lang w:val="en-US" w:eastAsia="zh-CN" w:bidi="ar-SA"/>
                    </w:rPr>
                  </w:pPr>
                  <w:r>
                    <w:rPr>
                      <w:rFonts w:hint="eastAsia" w:eastAsia="宋体"/>
                      <w:sz w:val="21"/>
                      <w:szCs w:val="21"/>
                    </w:rPr>
                    <w:t>在板框压滤机一期框架预留区内，在原四台4.05t/h的全自动隔膜压滤机基础上，增加2台压滤机，单台处理能力为5t/h（干基），配套新增2台压榨水泵、1台洗布水泵、2条一级输送皮带，1台滤液泵及相应的公辅工程</w:t>
                  </w:r>
                </w:p>
              </w:tc>
              <w:tc>
                <w:tcPr>
                  <w:tcW w:w="716" w:type="pct"/>
                  <w:shd w:val="clear" w:color="auto" w:fill="auto"/>
                  <w:noWrap w:val="0"/>
                  <w:vAlign w:val="center"/>
                </w:tcPr>
                <w:p w14:paraId="473CD706">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2025.05.16</w:t>
                  </w:r>
                </w:p>
              </w:tc>
            </w:tr>
            <w:tr w14:paraId="732E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8" w:type="pct"/>
                  <w:noWrap w:val="0"/>
                  <w:tcMar>
                    <w:left w:w="28" w:type="dxa"/>
                    <w:right w:w="28" w:type="dxa"/>
                  </w:tcMar>
                  <w:vAlign w:val="center"/>
                </w:tcPr>
                <w:p w14:paraId="6F0864F2">
                  <w:pPr>
                    <w:jc w:val="center"/>
                    <w:rPr>
                      <w:rFonts w:hint="eastAsia" w:eastAsia="宋体"/>
                      <w:sz w:val="21"/>
                      <w:szCs w:val="21"/>
                    </w:rPr>
                  </w:pPr>
                  <w:r>
                    <w:rPr>
                      <w:rFonts w:hint="eastAsia" w:eastAsia="宋体"/>
                      <w:sz w:val="21"/>
                      <w:szCs w:val="21"/>
                    </w:rPr>
                    <w:t>3</w:t>
                  </w:r>
                </w:p>
              </w:tc>
              <w:tc>
                <w:tcPr>
                  <w:tcW w:w="716" w:type="pct"/>
                  <w:noWrap w:val="0"/>
                  <w:tcMar>
                    <w:left w:w="28" w:type="dxa"/>
                    <w:right w:w="28" w:type="dxa"/>
                  </w:tcMar>
                  <w:vAlign w:val="center"/>
                </w:tcPr>
                <w:p w14:paraId="571825B0">
                  <w:pPr>
                    <w:jc w:val="center"/>
                    <w:rPr>
                      <w:rFonts w:hint="default" w:eastAsia="宋体"/>
                      <w:sz w:val="21"/>
                      <w:szCs w:val="21"/>
                      <w:lang w:val="en-US" w:eastAsia="zh-CN"/>
                    </w:rPr>
                  </w:pPr>
                  <w:r>
                    <w:rPr>
                      <w:rFonts w:hint="eastAsia" w:eastAsia="宋体"/>
                      <w:sz w:val="21"/>
                      <w:szCs w:val="21"/>
                      <w:lang w:val="en-US" w:eastAsia="zh-CN"/>
                    </w:rPr>
                    <w:t>草酸装置</w:t>
                  </w:r>
                </w:p>
              </w:tc>
              <w:tc>
                <w:tcPr>
                  <w:tcW w:w="1510" w:type="pct"/>
                  <w:noWrap w:val="0"/>
                  <w:vAlign w:val="center"/>
                </w:tcPr>
                <w:p w14:paraId="4322B414">
                  <w:pPr>
                    <w:jc w:val="center"/>
                    <w:rPr>
                      <w:rFonts w:hint="eastAsia" w:eastAsia="宋体"/>
                      <w:sz w:val="21"/>
                      <w:szCs w:val="21"/>
                    </w:rPr>
                  </w:pPr>
                  <w:r>
                    <w:rPr>
                      <w:rFonts w:hint="eastAsia" w:eastAsia="宋体"/>
                      <w:sz w:val="21"/>
                      <w:szCs w:val="21"/>
                    </w:rPr>
                    <w:t>22万吨/年草酸项目</w:t>
                  </w:r>
                </w:p>
              </w:tc>
              <w:tc>
                <w:tcPr>
                  <w:tcW w:w="1668" w:type="pct"/>
                  <w:noWrap w:val="0"/>
                  <w:vAlign w:val="center"/>
                </w:tcPr>
                <w:p w14:paraId="3B4D0558">
                  <w:pPr>
                    <w:jc w:val="left"/>
                    <w:rPr>
                      <w:rFonts w:hint="eastAsia" w:eastAsia="宋体"/>
                      <w:sz w:val="21"/>
                      <w:szCs w:val="21"/>
                    </w:rPr>
                  </w:pPr>
                  <w:r>
                    <w:rPr>
                      <w:rFonts w:hint="eastAsia" w:eastAsia="宋体"/>
                      <w:kern w:val="0"/>
                      <w:sz w:val="21"/>
                      <w:szCs w:val="21"/>
                    </w:rPr>
                    <w:t>新建</w:t>
                  </w:r>
                  <w:r>
                    <w:rPr>
                      <w:rFonts w:eastAsia="宋体"/>
                      <w:kern w:val="0"/>
                      <w:sz w:val="21"/>
                      <w:szCs w:val="21"/>
                    </w:rPr>
                    <w:t>2</w:t>
                  </w:r>
                  <w:r>
                    <w:rPr>
                      <w:rFonts w:hint="eastAsia" w:eastAsia="宋体"/>
                      <w:kern w:val="0"/>
                      <w:sz w:val="21"/>
                      <w:szCs w:val="21"/>
                    </w:rPr>
                    <w:t>2万吨</w:t>
                  </w:r>
                  <w:r>
                    <w:rPr>
                      <w:rFonts w:eastAsia="宋体"/>
                      <w:kern w:val="0"/>
                      <w:sz w:val="21"/>
                      <w:szCs w:val="21"/>
                    </w:rPr>
                    <w:t>/</w:t>
                  </w:r>
                  <w:r>
                    <w:rPr>
                      <w:rFonts w:hint="eastAsia" w:eastAsia="宋体"/>
                      <w:kern w:val="0"/>
                      <w:sz w:val="21"/>
                      <w:szCs w:val="21"/>
                    </w:rPr>
                    <w:t>年草酸生产装置（含</w:t>
                  </w:r>
                  <w:r>
                    <w:rPr>
                      <w:rFonts w:eastAsia="宋体"/>
                      <w:kern w:val="0"/>
                      <w:sz w:val="21"/>
                      <w:szCs w:val="21"/>
                    </w:rPr>
                    <w:t>2</w:t>
                  </w:r>
                  <w:r>
                    <w:rPr>
                      <w:rFonts w:hint="eastAsia" w:eastAsia="宋体"/>
                      <w:kern w:val="0"/>
                      <w:sz w:val="21"/>
                      <w:szCs w:val="21"/>
                    </w:rPr>
                    <w:t>个结晶水计）和变电所，其余公用工程及辅助设施依托现有厂区设施</w:t>
                  </w:r>
                </w:p>
              </w:tc>
              <w:tc>
                <w:tcPr>
                  <w:tcW w:w="716" w:type="pct"/>
                  <w:noWrap w:val="0"/>
                  <w:vAlign w:val="center"/>
                </w:tcPr>
                <w:p w14:paraId="3DE7DD2A">
                  <w:pPr>
                    <w:jc w:val="center"/>
                    <w:rPr>
                      <w:rFonts w:hint="default" w:eastAsia="宋体"/>
                      <w:sz w:val="21"/>
                      <w:szCs w:val="21"/>
                      <w:lang w:val="en-US" w:eastAsia="zh-CN"/>
                    </w:rPr>
                  </w:pPr>
                  <w:r>
                    <w:rPr>
                      <w:rFonts w:hint="eastAsia" w:eastAsia="宋体"/>
                      <w:sz w:val="21"/>
                      <w:szCs w:val="21"/>
                      <w:lang w:val="en-US" w:eastAsia="zh-CN"/>
                    </w:rPr>
                    <w:t>2025.07.08</w:t>
                  </w:r>
                </w:p>
              </w:tc>
            </w:tr>
          </w:tbl>
          <w:p w14:paraId="287EA1AE">
            <w:pPr>
              <w:spacing w:line="500" w:lineRule="atLeast"/>
              <w:ind w:firstLine="482" w:firstLineChars="200"/>
              <w:jc w:val="left"/>
              <w:rPr>
                <w:rFonts w:hint="eastAsia" w:eastAsia="宋体"/>
                <w:b/>
                <w:bCs w:val="0"/>
                <w:sz w:val="24"/>
                <w:lang w:val="en-US" w:eastAsia="zh-CN"/>
              </w:rPr>
            </w:pPr>
            <w:r>
              <w:rPr>
                <w:rFonts w:hint="eastAsia"/>
                <w:b/>
                <w:bCs w:val="0"/>
                <w:sz w:val="24"/>
                <w:lang w:val="en-US" w:eastAsia="zh-CN"/>
              </w:rPr>
              <w:t>八、全厂“三废”排放情况汇总</w:t>
            </w:r>
          </w:p>
          <w:p w14:paraId="1201DAB3">
            <w:pPr>
              <w:spacing w:line="500" w:lineRule="atLeast"/>
              <w:ind w:firstLine="480" w:firstLineChars="200"/>
              <w:jc w:val="left"/>
              <w:rPr>
                <w:rFonts w:hint="eastAsia"/>
                <w:b w:val="0"/>
                <w:bCs/>
                <w:sz w:val="24"/>
                <w:lang w:val="en-US" w:eastAsia="zh-CN"/>
              </w:rPr>
            </w:pPr>
            <w:r>
              <w:rPr>
                <w:rFonts w:hint="eastAsia"/>
                <w:b w:val="0"/>
                <w:bCs/>
                <w:sz w:val="24"/>
              </w:rPr>
              <w:t>根据《22万吨/年草酸项目环境影响报告书》，</w:t>
            </w:r>
            <w:r>
              <w:rPr>
                <w:rFonts w:hint="eastAsia"/>
                <w:b w:val="0"/>
                <w:bCs/>
                <w:sz w:val="24"/>
                <w:lang w:val="en-US" w:eastAsia="zh-CN"/>
              </w:rPr>
              <w:t>现有工程及在建工程实施后，全厂“三废”排放量情况详见下表。</w:t>
            </w:r>
          </w:p>
          <w:p w14:paraId="12BE2724">
            <w:pPr>
              <w:pStyle w:val="51"/>
              <w:numPr>
                <w:ilvl w:val="2"/>
                <w:numId w:val="3"/>
              </w:numPr>
              <w:spacing w:line="500" w:lineRule="atLeast"/>
              <w:ind w:firstLineChars="0"/>
              <w:jc w:val="center"/>
              <w:rPr>
                <w:b/>
                <w:sz w:val="24"/>
              </w:rPr>
            </w:pPr>
            <w:r>
              <w:rPr>
                <w:rFonts w:hint="eastAsia"/>
                <w:b/>
                <w:sz w:val="24"/>
                <w:lang w:val="en-US" w:eastAsia="zh-CN"/>
              </w:rPr>
              <w:t>全厂</w:t>
            </w:r>
            <w:r>
              <w:rPr>
                <w:rFonts w:hint="eastAsia"/>
                <w:b/>
                <w:sz w:val="24"/>
              </w:rPr>
              <w:t>三废汇总表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47"/>
              <w:gridCol w:w="2791"/>
              <w:gridCol w:w="3158"/>
            </w:tblGrid>
            <w:tr w14:paraId="46EA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noWrap w:val="0"/>
                  <w:vAlign w:val="center"/>
                </w:tcPr>
                <w:p w14:paraId="77EE6BFD">
                  <w:pPr>
                    <w:jc w:val="center"/>
                    <w:rPr>
                      <w:rFonts w:hint="eastAsia"/>
                      <w:sz w:val="21"/>
                      <w:szCs w:val="21"/>
                      <w:u w:val="none"/>
                      <w:lang w:val="en-US" w:eastAsia="zh-CN"/>
                    </w:rPr>
                  </w:pPr>
                  <w:r>
                    <w:rPr>
                      <w:rFonts w:hint="eastAsia"/>
                      <w:sz w:val="21"/>
                      <w:szCs w:val="21"/>
                      <w:u w:val="none"/>
                      <w:lang w:val="en-US" w:eastAsia="zh-CN"/>
                    </w:rPr>
                    <w:t>类别</w:t>
                  </w:r>
                </w:p>
              </w:tc>
              <w:tc>
                <w:tcPr>
                  <w:tcW w:w="741" w:type="pct"/>
                  <w:noWrap w:val="0"/>
                  <w:vAlign w:val="center"/>
                </w:tcPr>
                <w:p w14:paraId="20909512">
                  <w:pPr>
                    <w:jc w:val="center"/>
                    <w:rPr>
                      <w:rFonts w:hint="eastAsia"/>
                      <w:sz w:val="21"/>
                      <w:szCs w:val="21"/>
                      <w:u w:val="none"/>
                      <w:lang w:val="en-US" w:eastAsia="zh-CN"/>
                    </w:rPr>
                  </w:pPr>
                  <w:r>
                    <w:rPr>
                      <w:rFonts w:hint="eastAsia"/>
                      <w:sz w:val="21"/>
                      <w:szCs w:val="21"/>
                      <w:u w:val="none"/>
                      <w:lang w:val="en-US" w:eastAsia="zh-CN"/>
                    </w:rPr>
                    <w:t>序号</w:t>
                  </w:r>
                </w:p>
              </w:tc>
              <w:tc>
                <w:tcPr>
                  <w:tcW w:w="1658" w:type="pct"/>
                  <w:noWrap w:val="0"/>
                  <w:vAlign w:val="center"/>
                </w:tcPr>
                <w:p w14:paraId="77CEB11A">
                  <w:pPr>
                    <w:jc w:val="center"/>
                    <w:rPr>
                      <w:rFonts w:hint="eastAsia"/>
                      <w:sz w:val="21"/>
                      <w:szCs w:val="21"/>
                      <w:u w:val="none"/>
                      <w:lang w:val="en-US" w:eastAsia="zh-CN"/>
                    </w:rPr>
                  </w:pPr>
                  <w:r>
                    <w:rPr>
                      <w:rFonts w:hint="eastAsia"/>
                      <w:sz w:val="21"/>
                      <w:szCs w:val="21"/>
                      <w:u w:val="none"/>
                      <w:lang w:val="en-US" w:eastAsia="zh-CN"/>
                    </w:rPr>
                    <w:t>污染物种类</w:t>
                  </w:r>
                </w:p>
              </w:tc>
              <w:tc>
                <w:tcPr>
                  <w:tcW w:w="1876" w:type="pct"/>
                  <w:noWrap w:val="0"/>
                  <w:vAlign w:val="center"/>
                </w:tcPr>
                <w:p w14:paraId="510145DA">
                  <w:pPr>
                    <w:jc w:val="center"/>
                    <w:rPr>
                      <w:rFonts w:hint="eastAsia"/>
                      <w:sz w:val="21"/>
                      <w:szCs w:val="21"/>
                      <w:u w:val="none"/>
                      <w:lang w:val="en-US" w:eastAsia="zh-CN"/>
                    </w:rPr>
                  </w:pPr>
                  <w:r>
                    <w:rPr>
                      <w:rFonts w:hint="eastAsia"/>
                      <w:sz w:val="21"/>
                      <w:szCs w:val="21"/>
                      <w:u w:val="none"/>
                      <w:lang w:val="en-US" w:eastAsia="zh-CN"/>
                    </w:rPr>
                    <w:t>排放量</w:t>
                  </w:r>
                </w:p>
              </w:tc>
            </w:tr>
            <w:tr w14:paraId="4FA1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noWrap w:val="0"/>
                  <w:vAlign w:val="center"/>
                </w:tcPr>
                <w:p w14:paraId="72A583E5">
                  <w:pPr>
                    <w:jc w:val="center"/>
                    <w:rPr>
                      <w:rFonts w:eastAsia="宋体"/>
                      <w:sz w:val="21"/>
                      <w:szCs w:val="21"/>
                      <w:u w:val="none"/>
                    </w:rPr>
                  </w:pPr>
                  <w:r>
                    <w:rPr>
                      <w:rFonts w:hint="eastAsia" w:eastAsia="宋体"/>
                      <w:sz w:val="21"/>
                      <w:szCs w:val="21"/>
                      <w:u w:val="none"/>
                    </w:rPr>
                    <w:t>废气</w:t>
                  </w:r>
                </w:p>
              </w:tc>
              <w:tc>
                <w:tcPr>
                  <w:tcW w:w="741" w:type="pct"/>
                  <w:noWrap w:val="0"/>
                  <w:vAlign w:val="center"/>
                </w:tcPr>
                <w:p w14:paraId="3FEEECDE">
                  <w:pPr>
                    <w:jc w:val="center"/>
                    <w:rPr>
                      <w:rFonts w:eastAsia="宋体"/>
                      <w:sz w:val="21"/>
                      <w:szCs w:val="21"/>
                      <w:u w:val="none"/>
                    </w:rPr>
                  </w:pPr>
                  <w:r>
                    <w:rPr>
                      <w:rFonts w:hint="eastAsia" w:eastAsia="宋体"/>
                      <w:sz w:val="21"/>
                      <w:szCs w:val="21"/>
                      <w:u w:val="none"/>
                    </w:rPr>
                    <w:t>1</w:t>
                  </w:r>
                </w:p>
              </w:tc>
              <w:tc>
                <w:tcPr>
                  <w:tcW w:w="1658" w:type="pct"/>
                  <w:noWrap w:val="0"/>
                  <w:vAlign w:val="center"/>
                </w:tcPr>
                <w:p w14:paraId="006A944A">
                  <w:pPr>
                    <w:jc w:val="center"/>
                    <w:rPr>
                      <w:rFonts w:eastAsia="宋体"/>
                      <w:sz w:val="21"/>
                      <w:szCs w:val="21"/>
                      <w:u w:val="none"/>
                    </w:rPr>
                  </w:pPr>
                  <w:r>
                    <w:rPr>
                      <w:rFonts w:hint="eastAsia" w:eastAsia="宋体"/>
                      <w:sz w:val="21"/>
                      <w:szCs w:val="21"/>
                      <w:u w:val="none"/>
                    </w:rPr>
                    <w:t>颗粒物</w:t>
                  </w:r>
                </w:p>
              </w:tc>
              <w:tc>
                <w:tcPr>
                  <w:tcW w:w="1876" w:type="pct"/>
                  <w:shd w:val="clear" w:color="auto" w:fill="auto"/>
                  <w:noWrap w:val="0"/>
                  <w:vAlign w:val="center"/>
                </w:tcPr>
                <w:p w14:paraId="48D7729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185.325</w:t>
                  </w:r>
                </w:p>
              </w:tc>
            </w:tr>
            <w:tr w14:paraId="24C4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1705E720">
                  <w:pPr>
                    <w:jc w:val="center"/>
                    <w:rPr>
                      <w:rFonts w:eastAsia="宋体"/>
                      <w:sz w:val="21"/>
                      <w:szCs w:val="21"/>
                      <w:u w:val="none"/>
                    </w:rPr>
                  </w:pPr>
                </w:p>
              </w:tc>
              <w:tc>
                <w:tcPr>
                  <w:tcW w:w="741" w:type="pct"/>
                  <w:noWrap w:val="0"/>
                  <w:vAlign w:val="center"/>
                </w:tcPr>
                <w:p w14:paraId="374BBCBA">
                  <w:pPr>
                    <w:jc w:val="center"/>
                    <w:rPr>
                      <w:rFonts w:eastAsia="宋体"/>
                      <w:sz w:val="21"/>
                      <w:szCs w:val="21"/>
                      <w:u w:val="none"/>
                    </w:rPr>
                  </w:pPr>
                  <w:r>
                    <w:rPr>
                      <w:rFonts w:hint="eastAsia" w:eastAsia="宋体"/>
                      <w:sz w:val="21"/>
                      <w:szCs w:val="21"/>
                      <w:u w:val="none"/>
                    </w:rPr>
                    <w:t>2</w:t>
                  </w:r>
                </w:p>
              </w:tc>
              <w:tc>
                <w:tcPr>
                  <w:tcW w:w="1658" w:type="pct"/>
                  <w:noWrap w:val="0"/>
                  <w:vAlign w:val="center"/>
                </w:tcPr>
                <w:p w14:paraId="1C6D2677">
                  <w:pPr>
                    <w:jc w:val="center"/>
                    <w:rPr>
                      <w:rFonts w:eastAsia="宋体"/>
                      <w:sz w:val="21"/>
                      <w:szCs w:val="21"/>
                      <w:u w:val="none"/>
                    </w:rPr>
                  </w:pPr>
                  <w:r>
                    <w:rPr>
                      <w:rFonts w:hint="eastAsia" w:eastAsia="宋体"/>
                      <w:sz w:val="21"/>
                      <w:szCs w:val="21"/>
                      <w:u w:val="none"/>
                    </w:rPr>
                    <w:t>二氧化硫</w:t>
                  </w:r>
                </w:p>
              </w:tc>
              <w:tc>
                <w:tcPr>
                  <w:tcW w:w="1876" w:type="pct"/>
                  <w:shd w:val="clear" w:color="auto" w:fill="auto"/>
                  <w:noWrap w:val="0"/>
                  <w:vAlign w:val="center"/>
                </w:tcPr>
                <w:p w14:paraId="3AE5301B">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267.876</w:t>
                  </w:r>
                </w:p>
              </w:tc>
            </w:tr>
            <w:tr w14:paraId="412D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6FD9FCBB">
                  <w:pPr>
                    <w:jc w:val="center"/>
                    <w:rPr>
                      <w:rFonts w:eastAsia="宋体"/>
                      <w:sz w:val="21"/>
                      <w:szCs w:val="21"/>
                      <w:u w:val="none"/>
                    </w:rPr>
                  </w:pPr>
                </w:p>
              </w:tc>
              <w:tc>
                <w:tcPr>
                  <w:tcW w:w="741" w:type="pct"/>
                  <w:noWrap w:val="0"/>
                  <w:vAlign w:val="center"/>
                </w:tcPr>
                <w:p w14:paraId="1BD674F2">
                  <w:pPr>
                    <w:jc w:val="center"/>
                    <w:rPr>
                      <w:rFonts w:eastAsia="宋体"/>
                      <w:sz w:val="21"/>
                      <w:szCs w:val="21"/>
                      <w:u w:val="none"/>
                    </w:rPr>
                  </w:pPr>
                  <w:r>
                    <w:rPr>
                      <w:rFonts w:hint="eastAsia" w:eastAsia="宋体"/>
                      <w:sz w:val="21"/>
                      <w:szCs w:val="21"/>
                      <w:u w:val="none"/>
                    </w:rPr>
                    <w:t>3</w:t>
                  </w:r>
                </w:p>
              </w:tc>
              <w:tc>
                <w:tcPr>
                  <w:tcW w:w="1658" w:type="pct"/>
                  <w:noWrap w:val="0"/>
                  <w:vAlign w:val="center"/>
                </w:tcPr>
                <w:p w14:paraId="5412A27A">
                  <w:pPr>
                    <w:jc w:val="center"/>
                    <w:rPr>
                      <w:rFonts w:eastAsia="宋体"/>
                      <w:sz w:val="21"/>
                      <w:szCs w:val="21"/>
                      <w:u w:val="none"/>
                    </w:rPr>
                  </w:pPr>
                  <w:r>
                    <w:rPr>
                      <w:rFonts w:hint="eastAsia" w:eastAsia="宋体"/>
                      <w:sz w:val="21"/>
                      <w:szCs w:val="21"/>
                      <w:u w:val="none"/>
                    </w:rPr>
                    <w:t>氮氧化物</w:t>
                  </w:r>
                </w:p>
              </w:tc>
              <w:tc>
                <w:tcPr>
                  <w:tcW w:w="1876" w:type="pct"/>
                  <w:shd w:val="clear" w:color="auto" w:fill="auto"/>
                  <w:noWrap w:val="0"/>
                  <w:vAlign w:val="center"/>
                </w:tcPr>
                <w:p w14:paraId="747CA06C">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836.935</w:t>
                  </w:r>
                </w:p>
              </w:tc>
            </w:tr>
            <w:tr w14:paraId="2846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7DB58C8E">
                  <w:pPr>
                    <w:jc w:val="center"/>
                    <w:rPr>
                      <w:rFonts w:eastAsia="宋体"/>
                      <w:sz w:val="21"/>
                      <w:szCs w:val="21"/>
                      <w:u w:val="none"/>
                    </w:rPr>
                  </w:pPr>
                </w:p>
              </w:tc>
              <w:tc>
                <w:tcPr>
                  <w:tcW w:w="741" w:type="pct"/>
                  <w:noWrap w:val="0"/>
                  <w:vAlign w:val="center"/>
                </w:tcPr>
                <w:p w14:paraId="16240006">
                  <w:pPr>
                    <w:jc w:val="center"/>
                    <w:rPr>
                      <w:rFonts w:hint="eastAsia" w:eastAsia="宋体"/>
                      <w:sz w:val="21"/>
                      <w:szCs w:val="21"/>
                      <w:u w:val="none"/>
                    </w:rPr>
                  </w:pPr>
                  <w:r>
                    <w:rPr>
                      <w:rFonts w:hint="eastAsia" w:eastAsia="宋体"/>
                      <w:sz w:val="21"/>
                      <w:szCs w:val="21"/>
                      <w:u w:val="none"/>
                    </w:rPr>
                    <w:t>3</w:t>
                  </w:r>
                </w:p>
              </w:tc>
              <w:tc>
                <w:tcPr>
                  <w:tcW w:w="1658" w:type="pct"/>
                  <w:noWrap w:val="0"/>
                  <w:vAlign w:val="center"/>
                </w:tcPr>
                <w:p w14:paraId="2F56B983">
                  <w:pPr>
                    <w:jc w:val="center"/>
                    <w:rPr>
                      <w:rFonts w:hint="eastAsia" w:eastAsia="宋体"/>
                      <w:sz w:val="21"/>
                      <w:szCs w:val="21"/>
                      <w:u w:val="none"/>
                    </w:rPr>
                  </w:pPr>
                  <w:r>
                    <w:rPr>
                      <w:rFonts w:hint="eastAsia" w:eastAsia="宋体"/>
                      <w:sz w:val="21"/>
                      <w:szCs w:val="21"/>
                      <w:u w:val="none"/>
                    </w:rPr>
                    <w:t>甲醇</w:t>
                  </w:r>
                </w:p>
              </w:tc>
              <w:tc>
                <w:tcPr>
                  <w:tcW w:w="1876" w:type="pct"/>
                  <w:shd w:val="clear" w:color="auto" w:fill="auto"/>
                  <w:noWrap w:val="0"/>
                  <w:vAlign w:val="center"/>
                </w:tcPr>
                <w:p w14:paraId="2976F6DF">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76.944</w:t>
                  </w:r>
                </w:p>
              </w:tc>
            </w:tr>
            <w:tr w14:paraId="014F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4F23BA4F">
                  <w:pPr>
                    <w:jc w:val="center"/>
                    <w:rPr>
                      <w:rFonts w:eastAsia="宋体"/>
                      <w:sz w:val="21"/>
                      <w:szCs w:val="21"/>
                      <w:u w:val="none"/>
                    </w:rPr>
                  </w:pPr>
                </w:p>
              </w:tc>
              <w:tc>
                <w:tcPr>
                  <w:tcW w:w="741" w:type="pct"/>
                  <w:noWrap w:val="0"/>
                  <w:vAlign w:val="center"/>
                </w:tcPr>
                <w:p w14:paraId="56395F91">
                  <w:pPr>
                    <w:jc w:val="center"/>
                    <w:rPr>
                      <w:rFonts w:eastAsia="宋体"/>
                      <w:sz w:val="21"/>
                      <w:szCs w:val="21"/>
                      <w:u w:val="none"/>
                    </w:rPr>
                  </w:pPr>
                  <w:r>
                    <w:rPr>
                      <w:rFonts w:hint="eastAsia" w:eastAsia="宋体"/>
                      <w:sz w:val="21"/>
                      <w:szCs w:val="21"/>
                      <w:u w:val="none"/>
                    </w:rPr>
                    <w:t>4</w:t>
                  </w:r>
                </w:p>
              </w:tc>
              <w:tc>
                <w:tcPr>
                  <w:tcW w:w="1658" w:type="pct"/>
                  <w:noWrap w:val="0"/>
                  <w:vAlign w:val="center"/>
                </w:tcPr>
                <w:p w14:paraId="59314068">
                  <w:pPr>
                    <w:jc w:val="center"/>
                    <w:rPr>
                      <w:rFonts w:eastAsia="宋体"/>
                      <w:sz w:val="21"/>
                      <w:szCs w:val="21"/>
                      <w:u w:val="none"/>
                    </w:rPr>
                  </w:pPr>
                  <w:r>
                    <w:rPr>
                      <w:rFonts w:hint="eastAsia" w:eastAsia="宋体"/>
                      <w:sz w:val="21"/>
                      <w:szCs w:val="21"/>
                      <w:u w:val="none"/>
                    </w:rPr>
                    <w:t>挥发性有机物</w:t>
                  </w:r>
                </w:p>
              </w:tc>
              <w:tc>
                <w:tcPr>
                  <w:tcW w:w="1876" w:type="pct"/>
                  <w:shd w:val="clear" w:color="auto" w:fill="auto"/>
                  <w:noWrap w:val="0"/>
                  <w:vAlign w:val="center"/>
                </w:tcPr>
                <w:p w14:paraId="556A2653">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556.737</w:t>
                  </w:r>
                </w:p>
              </w:tc>
            </w:tr>
            <w:tr w14:paraId="75B7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noWrap w:val="0"/>
                  <w:vAlign w:val="center"/>
                </w:tcPr>
                <w:p w14:paraId="6D7ACBD0">
                  <w:pPr>
                    <w:jc w:val="center"/>
                    <w:rPr>
                      <w:rFonts w:eastAsia="宋体"/>
                      <w:sz w:val="21"/>
                      <w:szCs w:val="21"/>
                      <w:u w:val="none"/>
                    </w:rPr>
                  </w:pPr>
                  <w:r>
                    <w:rPr>
                      <w:rFonts w:hint="eastAsia" w:eastAsia="宋体"/>
                      <w:sz w:val="21"/>
                      <w:szCs w:val="21"/>
                      <w:u w:val="none"/>
                    </w:rPr>
                    <w:t>废水</w:t>
                  </w:r>
                </w:p>
              </w:tc>
              <w:tc>
                <w:tcPr>
                  <w:tcW w:w="741" w:type="pct"/>
                  <w:noWrap w:val="0"/>
                  <w:vAlign w:val="center"/>
                </w:tcPr>
                <w:p w14:paraId="4D90A4AF">
                  <w:pPr>
                    <w:jc w:val="center"/>
                    <w:rPr>
                      <w:rFonts w:hint="eastAsia" w:eastAsia="宋体"/>
                      <w:sz w:val="21"/>
                      <w:szCs w:val="21"/>
                      <w:u w:val="none"/>
                      <w:lang w:val="en-US" w:eastAsia="zh-CN"/>
                    </w:rPr>
                  </w:pPr>
                  <w:r>
                    <w:rPr>
                      <w:rFonts w:hint="eastAsia"/>
                      <w:sz w:val="21"/>
                      <w:szCs w:val="21"/>
                      <w:u w:val="none"/>
                      <w:lang w:val="en-US" w:eastAsia="zh-CN"/>
                    </w:rPr>
                    <w:t>5</w:t>
                  </w:r>
                </w:p>
              </w:tc>
              <w:tc>
                <w:tcPr>
                  <w:tcW w:w="1658" w:type="pct"/>
                  <w:noWrap w:val="0"/>
                  <w:vAlign w:val="center"/>
                </w:tcPr>
                <w:p w14:paraId="64D01B3F">
                  <w:pPr>
                    <w:jc w:val="center"/>
                    <w:rPr>
                      <w:rFonts w:eastAsia="宋体"/>
                      <w:sz w:val="21"/>
                      <w:szCs w:val="21"/>
                      <w:u w:val="none"/>
                    </w:rPr>
                  </w:pPr>
                  <w:r>
                    <w:rPr>
                      <w:rFonts w:hint="eastAsia" w:eastAsia="宋体"/>
                      <w:sz w:val="21"/>
                      <w:szCs w:val="21"/>
                      <w:u w:val="none"/>
                    </w:rPr>
                    <w:t>CODcr</w:t>
                  </w:r>
                </w:p>
              </w:tc>
              <w:tc>
                <w:tcPr>
                  <w:tcW w:w="1876" w:type="pct"/>
                  <w:shd w:val="clear" w:color="auto" w:fill="auto"/>
                  <w:noWrap w:val="0"/>
                  <w:vAlign w:val="center"/>
                </w:tcPr>
                <w:p w14:paraId="330AB1B4">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lang w:val="en-US" w:eastAsia="zh-CN" w:bidi="ar-SA"/>
                    </w:rPr>
                  </w:pPr>
                  <w:r>
                    <w:rPr>
                      <w:rFonts w:ascii="Times New Roman" w:hAnsi="Times New Roman"/>
                      <w:color w:val="000000"/>
                    </w:rPr>
                    <w:t>4626.848</w:t>
                  </w:r>
                </w:p>
              </w:tc>
            </w:tr>
            <w:tr w14:paraId="2D3A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72A2C305">
                  <w:pPr>
                    <w:jc w:val="center"/>
                    <w:rPr>
                      <w:rFonts w:eastAsia="宋体"/>
                      <w:sz w:val="21"/>
                      <w:szCs w:val="21"/>
                      <w:u w:val="none"/>
                    </w:rPr>
                  </w:pPr>
                </w:p>
              </w:tc>
              <w:tc>
                <w:tcPr>
                  <w:tcW w:w="741" w:type="pct"/>
                  <w:noWrap w:val="0"/>
                  <w:vAlign w:val="center"/>
                </w:tcPr>
                <w:p w14:paraId="66EC1E8E">
                  <w:pPr>
                    <w:jc w:val="center"/>
                    <w:rPr>
                      <w:rFonts w:hint="eastAsia" w:eastAsia="宋体"/>
                      <w:sz w:val="21"/>
                      <w:szCs w:val="21"/>
                      <w:u w:val="none"/>
                      <w:lang w:val="en-US" w:eastAsia="zh-CN"/>
                    </w:rPr>
                  </w:pPr>
                  <w:r>
                    <w:rPr>
                      <w:rFonts w:hint="eastAsia"/>
                      <w:sz w:val="21"/>
                      <w:szCs w:val="21"/>
                      <w:u w:val="none"/>
                      <w:lang w:val="en-US" w:eastAsia="zh-CN"/>
                    </w:rPr>
                    <w:t>6</w:t>
                  </w:r>
                </w:p>
              </w:tc>
              <w:tc>
                <w:tcPr>
                  <w:tcW w:w="1658" w:type="pct"/>
                  <w:noWrap w:val="0"/>
                  <w:vAlign w:val="center"/>
                </w:tcPr>
                <w:p w14:paraId="4DCD91B5">
                  <w:pPr>
                    <w:jc w:val="center"/>
                    <w:rPr>
                      <w:rFonts w:eastAsia="宋体"/>
                      <w:sz w:val="21"/>
                      <w:szCs w:val="21"/>
                      <w:u w:val="none"/>
                    </w:rPr>
                  </w:pPr>
                  <w:r>
                    <w:rPr>
                      <w:rFonts w:hint="eastAsia" w:eastAsia="宋体"/>
                      <w:sz w:val="21"/>
                      <w:szCs w:val="21"/>
                      <w:u w:val="none"/>
                    </w:rPr>
                    <w:t>氨氮</w:t>
                  </w:r>
                </w:p>
              </w:tc>
              <w:tc>
                <w:tcPr>
                  <w:tcW w:w="1876" w:type="pct"/>
                  <w:shd w:val="clear" w:color="auto" w:fill="auto"/>
                  <w:noWrap w:val="0"/>
                  <w:vAlign w:val="center"/>
                </w:tcPr>
                <w:p w14:paraId="4FF4BBD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lang w:val="en-US" w:eastAsia="zh-CN" w:bidi="ar-SA"/>
                    </w:rPr>
                  </w:pPr>
                  <w:r>
                    <w:rPr>
                      <w:rFonts w:ascii="Times New Roman" w:hAnsi="Times New Roman"/>
                      <w:color w:val="000000"/>
                    </w:rPr>
                    <w:t>5.14</w:t>
                  </w:r>
                </w:p>
              </w:tc>
            </w:tr>
            <w:tr w14:paraId="442F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restart"/>
                  <w:noWrap w:val="0"/>
                  <w:vAlign w:val="center"/>
                </w:tcPr>
                <w:p w14:paraId="4A6DE922">
                  <w:pPr>
                    <w:jc w:val="center"/>
                    <w:rPr>
                      <w:rFonts w:eastAsia="宋体"/>
                      <w:sz w:val="21"/>
                      <w:szCs w:val="21"/>
                      <w:u w:val="none"/>
                    </w:rPr>
                  </w:pPr>
                  <w:r>
                    <w:rPr>
                      <w:rFonts w:hint="eastAsia" w:eastAsia="宋体"/>
                      <w:sz w:val="21"/>
                      <w:szCs w:val="21"/>
                      <w:u w:val="none"/>
                    </w:rPr>
                    <w:t>固废</w:t>
                  </w:r>
                </w:p>
              </w:tc>
              <w:tc>
                <w:tcPr>
                  <w:tcW w:w="741" w:type="pct"/>
                  <w:noWrap w:val="0"/>
                  <w:vAlign w:val="center"/>
                </w:tcPr>
                <w:p w14:paraId="3DDACBDC">
                  <w:pPr>
                    <w:jc w:val="center"/>
                    <w:rPr>
                      <w:rFonts w:hint="eastAsia" w:eastAsia="宋体"/>
                      <w:sz w:val="21"/>
                      <w:szCs w:val="21"/>
                      <w:u w:val="none"/>
                      <w:lang w:val="en-US" w:eastAsia="zh-CN"/>
                    </w:rPr>
                  </w:pPr>
                  <w:r>
                    <w:rPr>
                      <w:rFonts w:hint="eastAsia"/>
                      <w:sz w:val="21"/>
                      <w:szCs w:val="21"/>
                      <w:u w:val="none"/>
                      <w:lang w:val="en-US" w:eastAsia="zh-CN"/>
                    </w:rPr>
                    <w:t>7</w:t>
                  </w:r>
                </w:p>
              </w:tc>
              <w:tc>
                <w:tcPr>
                  <w:tcW w:w="1658" w:type="pct"/>
                  <w:noWrap w:val="0"/>
                  <w:vAlign w:val="center"/>
                </w:tcPr>
                <w:p w14:paraId="58FCA211">
                  <w:pPr>
                    <w:jc w:val="center"/>
                    <w:rPr>
                      <w:rFonts w:eastAsia="宋体"/>
                      <w:sz w:val="21"/>
                      <w:szCs w:val="21"/>
                      <w:u w:val="none"/>
                    </w:rPr>
                  </w:pPr>
                  <w:r>
                    <w:rPr>
                      <w:rFonts w:hint="eastAsia" w:eastAsia="宋体"/>
                      <w:sz w:val="21"/>
                      <w:szCs w:val="21"/>
                      <w:u w:val="none"/>
                    </w:rPr>
                    <w:t>一般工业固废</w:t>
                  </w:r>
                </w:p>
              </w:tc>
              <w:tc>
                <w:tcPr>
                  <w:tcW w:w="1876" w:type="pct"/>
                  <w:shd w:val="clear" w:color="auto" w:fill="auto"/>
                  <w:noWrap w:val="0"/>
                  <w:vAlign w:val="center"/>
                </w:tcPr>
                <w:p w14:paraId="752D0393">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lang w:val="en-US" w:eastAsia="zh-CN" w:bidi="ar-SA"/>
                    </w:rPr>
                  </w:pPr>
                  <w:r>
                    <w:rPr>
                      <w:rFonts w:ascii="Times New Roman" w:hAnsi="Times New Roman"/>
                      <w:color w:val="000000"/>
                    </w:rPr>
                    <w:t>579867.263</w:t>
                  </w:r>
                </w:p>
              </w:tc>
            </w:tr>
            <w:tr w14:paraId="404B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723A40D6">
                  <w:pPr>
                    <w:jc w:val="center"/>
                    <w:rPr>
                      <w:rFonts w:eastAsia="宋体"/>
                      <w:sz w:val="21"/>
                      <w:szCs w:val="21"/>
                      <w:u w:val="none"/>
                    </w:rPr>
                  </w:pPr>
                </w:p>
              </w:tc>
              <w:tc>
                <w:tcPr>
                  <w:tcW w:w="741" w:type="pct"/>
                  <w:noWrap w:val="0"/>
                  <w:vAlign w:val="center"/>
                </w:tcPr>
                <w:p w14:paraId="3B19D69C">
                  <w:pPr>
                    <w:jc w:val="center"/>
                    <w:rPr>
                      <w:rFonts w:hint="eastAsia" w:eastAsia="宋体"/>
                      <w:sz w:val="21"/>
                      <w:szCs w:val="21"/>
                      <w:u w:val="none"/>
                      <w:lang w:val="en-US" w:eastAsia="zh-CN"/>
                    </w:rPr>
                  </w:pPr>
                  <w:r>
                    <w:rPr>
                      <w:rFonts w:hint="eastAsia"/>
                      <w:sz w:val="21"/>
                      <w:szCs w:val="21"/>
                      <w:u w:val="none"/>
                      <w:lang w:val="en-US" w:eastAsia="zh-CN"/>
                    </w:rPr>
                    <w:t>8</w:t>
                  </w:r>
                </w:p>
              </w:tc>
              <w:tc>
                <w:tcPr>
                  <w:tcW w:w="1658" w:type="pct"/>
                  <w:noWrap w:val="0"/>
                  <w:vAlign w:val="center"/>
                </w:tcPr>
                <w:p w14:paraId="5C37054A">
                  <w:pPr>
                    <w:jc w:val="center"/>
                    <w:rPr>
                      <w:rFonts w:eastAsia="宋体"/>
                      <w:sz w:val="21"/>
                      <w:szCs w:val="21"/>
                      <w:u w:val="none"/>
                    </w:rPr>
                  </w:pPr>
                  <w:r>
                    <w:rPr>
                      <w:rFonts w:hint="eastAsia" w:eastAsia="宋体"/>
                      <w:sz w:val="21"/>
                      <w:szCs w:val="21"/>
                      <w:u w:val="none"/>
                    </w:rPr>
                    <w:t>危险废物</w:t>
                  </w:r>
                </w:p>
              </w:tc>
              <w:tc>
                <w:tcPr>
                  <w:tcW w:w="1876" w:type="pct"/>
                  <w:shd w:val="clear" w:color="auto" w:fill="auto"/>
                  <w:noWrap w:val="0"/>
                  <w:vAlign w:val="center"/>
                </w:tcPr>
                <w:p w14:paraId="6B091905">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17899.727</w:t>
                  </w:r>
                </w:p>
              </w:tc>
            </w:tr>
            <w:tr w14:paraId="1F64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3" w:type="pct"/>
                  <w:vMerge w:val="continue"/>
                  <w:noWrap w:val="0"/>
                  <w:vAlign w:val="center"/>
                </w:tcPr>
                <w:p w14:paraId="1267C481">
                  <w:pPr>
                    <w:jc w:val="center"/>
                    <w:rPr>
                      <w:rFonts w:eastAsia="宋体"/>
                      <w:sz w:val="21"/>
                      <w:szCs w:val="21"/>
                      <w:u w:val="none"/>
                    </w:rPr>
                  </w:pPr>
                </w:p>
              </w:tc>
              <w:tc>
                <w:tcPr>
                  <w:tcW w:w="741" w:type="pct"/>
                  <w:noWrap w:val="0"/>
                  <w:vAlign w:val="center"/>
                </w:tcPr>
                <w:p w14:paraId="0F6820D7">
                  <w:pPr>
                    <w:jc w:val="center"/>
                    <w:rPr>
                      <w:rFonts w:hint="eastAsia" w:eastAsia="宋体"/>
                      <w:sz w:val="21"/>
                      <w:szCs w:val="21"/>
                      <w:u w:val="none"/>
                      <w:lang w:val="en-US" w:eastAsia="zh-CN"/>
                    </w:rPr>
                  </w:pPr>
                  <w:r>
                    <w:rPr>
                      <w:rFonts w:hint="eastAsia"/>
                      <w:sz w:val="21"/>
                      <w:szCs w:val="21"/>
                      <w:u w:val="none"/>
                      <w:lang w:val="en-US" w:eastAsia="zh-CN"/>
                    </w:rPr>
                    <w:t>9</w:t>
                  </w:r>
                </w:p>
              </w:tc>
              <w:tc>
                <w:tcPr>
                  <w:tcW w:w="1658" w:type="pct"/>
                  <w:noWrap w:val="0"/>
                  <w:vAlign w:val="center"/>
                </w:tcPr>
                <w:p w14:paraId="3BA76855">
                  <w:pPr>
                    <w:jc w:val="center"/>
                    <w:rPr>
                      <w:rFonts w:eastAsia="宋体"/>
                      <w:sz w:val="21"/>
                      <w:szCs w:val="21"/>
                      <w:u w:val="none"/>
                    </w:rPr>
                  </w:pPr>
                  <w:r>
                    <w:rPr>
                      <w:rFonts w:hint="eastAsia" w:eastAsia="宋体"/>
                      <w:sz w:val="21"/>
                      <w:szCs w:val="21"/>
                      <w:u w:val="none"/>
                    </w:rPr>
                    <w:t>生活垃圾</w:t>
                  </w:r>
                </w:p>
              </w:tc>
              <w:tc>
                <w:tcPr>
                  <w:tcW w:w="1876" w:type="pct"/>
                  <w:shd w:val="clear" w:color="auto" w:fill="auto"/>
                  <w:noWrap w:val="0"/>
                  <w:vAlign w:val="center"/>
                </w:tcPr>
                <w:p w14:paraId="53302CC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lang w:val="en-US" w:eastAsia="zh-CN" w:bidi="ar-SA"/>
                    </w:rPr>
                  </w:pPr>
                  <w:r>
                    <w:rPr>
                      <w:rFonts w:ascii="Times New Roman" w:hAnsi="Times New Roman"/>
                      <w:color w:val="000000"/>
                    </w:rPr>
                    <w:t>202.13</w:t>
                  </w:r>
                </w:p>
              </w:tc>
            </w:tr>
          </w:tbl>
          <w:p w14:paraId="7024BA72">
            <w:pPr>
              <w:spacing w:line="500" w:lineRule="atLeast"/>
              <w:ind w:firstLine="482" w:firstLineChars="200"/>
              <w:rPr>
                <w:rFonts w:hint="eastAsia"/>
                <w:bCs/>
                <w:sz w:val="24"/>
              </w:rPr>
            </w:pPr>
            <w:r>
              <w:rPr>
                <w:rFonts w:hint="eastAsia"/>
                <w:b/>
                <w:bCs w:val="0"/>
                <w:sz w:val="24"/>
                <w:lang w:val="en-US" w:eastAsia="zh-CN"/>
              </w:rPr>
              <w:t>九、</w:t>
            </w:r>
            <w:r>
              <w:rPr>
                <w:rFonts w:hint="eastAsia"/>
                <w:b/>
                <w:bCs w:val="0"/>
                <w:sz w:val="24"/>
              </w:rPr>
              <w:t>现有项目存在的环境问题及“以新带老”措施</w:t>
            </w:r>
          </w:p>
          <w:p w14:paraId="63C5BFD4">
            <w:pPr>
              <w:spacing w:line="500" w:lineRule="atLeast"/>
              <w:ind w:firstLine="482" w:firstLineChars="200"/>
              <w:rPr>
                <w:rFonts w:hint="eastAsia"/>
                <w:b/>
                <w:bCs w:val="0"/>
                <w:sz w:val="24"/>
                <w:lang w:val="en-US" w:eastAsia="zh-CN"/>
              </w:rPr>
            </w:pPr>
            <w:r>
              <w:rPr>
                <w:rFonts w:hint="eastAsia"/>
                <w:b/>
                <w:bCs w:val="0"/>
                <w:sz w:val="24"/>
                <w:lang w:val="en-US" w:eastAsia="zh-CN"/>
              </w:rPr>
              <w:t>1、存在的主要问题</w:t>
            </w:r>
          </w:p>
          <w:p w14:paraId="2D755CC8">
            <w:pPr>
              <w:spacing w:line="500" w:lineRule="atLeast"/>
              <w:ind w:firstLine="480" w:firstLineChars="200"/>
              <w:rPr>
                <w:rFonts w:hint="default"/>
                <w:bCs/>
                <w:sz w:val="24"/>
                <w:lang w:val="en-US" w:eastAsia="zh-CN"/>
              </w:rPr>
            </w:pPr>
            <w:r>
              <w:rPr>
                <w:rFonts w:hint="eastAsia"/>
                <w:bCs/>
                <w:sz w:val="24"/>
                <w:lang w:val="en-US" w:eastAsia="zh-CN"/>
              </w:rPr>
              <w:t>无</w:t>
            </w:r>
          </w:p>
          <w:p w14:paraId="2D8F3327">
            <w:pPr>
              <w:spacing w:line="500" w:lineRule="atLeast"/>
              <w:ind w:firstLine="482" w:firstLineChars="200"/>
              <w:rPr>
                <w:b/>
                <w:bCs/>
                <w:sz w:val="24"/>
              </w:rPr>
            </w:pPr>
            <w:r>
              <w:rPr>
                <w:rFonts w:hint="eastAsia"/>
                <w:b/>
                <w:bCs/>
                <w:sz w:val="24"/>
                <w:lang w:val="en-US" w:eastAsia="zh-CN"/>
              </w:rPr>
              <w:t>2</w:t>
            </w:r>
            <w:r>
              <w:rPr>
                <w:rFonts w:hint="eastAsia"/>
                <w:b/>
                <w:bCs/>
                <w:sz w:val="24"/>
              </w:rPr>
              <w:t>、“以新代老”措施</w:t>
            </w:r>
          </w:p>
          <w:p w14:paraId="7A224FBB">
            <w:pPr>
              <w:spacing w:line="500" w:lineRule="atLeast"/>
              <w:ind w:firstLine="480" w:firstLineChars="200"/>
              <w:jc w:val="left"/>
              <w:rPr>
                <w:rFonts w:hint="eastAsia"/>
                <w:bCs/>
                <w:sz w:val="24"/>
                <w:lang w:val="en-US" w:eastAsia="zh-CN"/>
              </w:rPr>
            </w:pPr>
            <w:r>
              <w:rPr>
                <w:rFonts w:hint="eastAsia"/>
                <w:bCs/>
                <w:sz w:val="24"/>
                <w:lang w:val="en-US" w:eastAsia="zh-CN"/>
              </w:rPr>
              <w:t>无</w:t>
            </w:r>
          </w:p>
          <w:p w14:paraId="0309D2FF">
            <w:pPr>
              <w:spacing w:line="500" w:lineRule="atLeast"/>
              <w:ind w:firstLine="482" w:firstLineChars="200"/>
              <w:rPr>
                <w:rFonts w:hint="default"/>
                <w:bCs/>
                <w:sz w:val="24"/>
                <w:u w:val="single"/>
                <w:lang w:val="en-US" w:eastAsia="zh-CN"/>
              </w:rPr>
            </w:pPr>
            <w:r>
              <w:rPr>
                <w:rFonts w:hint="eastAsia"/>
                <w:b/>
                <w:bCs w:val="0"/>
                <w:sz w:val="24"/>
                <w:u w:val="single"/>
                <w:lang w:val="en-US" w:eastAsia="zh-CN"/>
              </w:rPr>
              <w:t>十、“三本账”</w:t>
            </w:r>
          </w:p>
          <w:p w14:paraId="511A95DB">
            <w:pPr>
              <w:spacing w:line="500" w:lineRule="atLeast"/>
              <w:ind w:firstLine="480" w:firstLineChars="200"/>
              <w:jc w:val="left"/>
              <w:rPr>
                <w:rFonts w:hint="eastAsia"/>
                <w:bCs/>
                <w:sz w:val="24"/>
                <w:u w:val="single"/>
                <w:lang w:val="en-US" w:eastAsia="zh-CN"/>
              </w:rPr>
            </w:pPr>
            <w:r>
              <w:rPr>
                <w:rFonts w:hint="eastAsia"/>
                <w:bCs/>
                <w:sz w:val="24"/>
                <w:u w:val="single"/>
                <w:lang w:val="en-US" w:eastAsia="zh-CN"/>
              </w:rPr>
              <w:t>本项目建设完成后，广西华谊能化“三本账”见表。</w:t>
            </w:r>
          </w:p>
          <w:p w14:paraId="7565A618">
            <w:pPr>
              <w:pStyle w:val="51"/>
              <w:numPr>
                <w:ilvl w:val="2"/>
                <w:numId w:val="3"/>
              </w:numPr>
              <w:spacing w:line="500" w:lineRule="atLeast"/>
              <w:ind w:firstLineChars="0"/>
              <w:jc w:val="center"/>
              <w:rPr>
                <w:rFonts w:hint="eastAsia"/>
                <w:bCs/>
                <w:sz w:val="24"/>
                <w:u w:val="single"/>
                <w:lang w:val="en-US" w:eastAsia="zh-CN"/>
              </w:rPr>
            </w:pPr>
            <w:r>
              <w:rPr>
                <w:rFonts w:hint="eastAsia"/>
                <w:b/>
                <w:sz w:val="24"/>
                <w:u w:val="single"/>
                <w:lang w:val="en-US" w:eastAsia="zh-CN"/>
              </w:rPr>
              <w:t>“三本账”  单位：t/a</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614"/>
              <w:gridCol w:w="1464"/>
              <w:gridCol w:w="1064"/>
              <w:gridCol w:w="1059"/>
              <w:gridCol w:w="1266"/>
              <w:gridCol w:w="1141"/>
              <w:gridCol w:w="1139"/>
            </w:tblGrid>
            <w:tr w14:paraId="09B9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noWrap w:val="0"/>
                  <w:vAlign w:val="center"/>
                </w:tcPr>
                <w:p w14:paraId="45D68499">
                  <w:pPr>
                    <w:jc w:val="center"/>
                    <w:rPr>
                      <w:rFonts w:eastAsia="宋体"/>
                      <w:sz w:val="21"/>
                      <w:szCs w:val="21"/>
                      <w:u w:val="single"/>
                    </w:rPr>
                  </w:pPr>
                  <w:bookmarkStart w:id="15" w:name="_Hlk180573540"/>
                  <w:r>
                    <w:rPr>
                      <w:rFonts w:hint="eastAsia" w:eastAsia="宋体"/>
                      <w:sz w:val="21"/>
                      <w:szCs w:val="21"/>
                      <w:u w:val="single"/>
                    </w:rPr>
                    <w:t>类别</w:t>
                  </w:r>
                </w:p>
              </w:tc>
              <w:tc>
                <w:tcPr>
                  <w:tcW w:w="364" w:type="pct"/>
                  <w:noWrap w:val="0"/>
                  <w:vAlign w:val="center"/>
                </w:tcPr>
                <w:p w14:paraId="4441FA98">
                  <w:pPr>
                    <w:jc w:val="center"/>
                    <w:rPr>
                      <w:rFonts w:eastAsia="宋体"/>
                      <w:sz w:val="21"/>
                      <w:szCs w:val="21"/>
                      <w:u w:val="single"/>
                    </w:rPr>
                  </w:pPr>
                  <w:r>
                    <w:rPr>
                      <w:rFonts w:hint="eastAsia" w:eastAsia="宋体"/>
                      <w:sz w:val="21"/>
                      <w:szCs w:val="21"/>
                      <w:u w:val="single"/>
                    </w:rPr>
                    <w:t>序号</w:t>
                  </w:r>
                </w:p>
              </w:tc>
              <w:tc>
                <w:tcPr>
                  <w:tcW w:w="870" w:type="pct"/>
                  <w:noWrap w:val="0"/>
                  <w:vAlign w:val="center"/>
                </w:tcPr>
                <w:p w14:paraId="70294FD8">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污染物种类</w:t>
                  </w:r>
                </w:p>
              </w:tc>
              <w:tc>
                <w:tcPr>
                  <w:tcW w:w="632" w:type="pct"/>
                  <w:noWrap w:val="0"/>
                  <w:vAlign w:val="center"/>
                </w:tcPr>
                <w:p w14:paraId="28E2811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现有工程</w:t>
                  </w:r>
                </w:p>
                <w:p w14:paraId="7F249F8B">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r>
                    <w:rPr>
                      <w:rFonts w:hint="eastAsia" w:ascii="Times New Roman" w:hAnsi="Times New Roman"/>
                      <w:szCs w:val="24"/>
                      <w:u w:val="single"/>
                    </w:rPr>
                    <w:t>排放量</w:t>
                  </w:r>
                </w:p>
              </w:tc>
              <w:tc>
                <w:tcPr>
                  <w:tcW w:w="629" w:type="pct"/>
                  <w:noWrap w:val="0"/>
                  <w:vAlign w:val="center"/>
                </w:tcPr>
                <w:p w14:paraId="5529228C">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本项目排放量</w:t>
                  </w:r>
                </w:p>
              </w:tc>
              <w:tc>
                <w:tcPr>
                  <w:tcW w:w="752" w:type="pct"/>
                  <w:noWrap w:val="0"/>
                  <w:vAlign w:val="center"/>
                </w:tcPr>
                <w:p w14:paraId="2341D364">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r>
                    <w:rPr>
                      <w:rFonts w:hint="eastAsia" w:ascii="Times New Roman" w:hAnsi="Times New Roman"/>
                      <w:szCs w:val="24"/>
                      <w:u w:val="single"/>
                    </w:rPr>
                    <w:t>“以新代老”削减量</w:t>
                  </w:r>
                </w:p>
              </w:tc>
              <w:tc>
                <w:tcPr>
                  <w:tcW w:w="678" w:type="pct"/>
                  <w:noWrap w:val="0"/>
                  <w:vAlign w:val="center"/>
                </w:tcPr>
                <w:p w14:paraId="7C557A9D">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r>
                    <w:rPr>
                      <w:rFonts w:hint="eastAsia" w:ascii="Times New Roman" w:hAnsi="Times New Roman"/>
                      <w:szCs w:val="24"/>
                      <w:u w:val="single"/>
                    </w:rPr>
                    <w:t>项目建成后排放量</w:t>
                  </w:r>
                </w:p>
              </w:tc>
              <w:tc>
                <w:tcPr>
                  <w:tcW w:w="676" w:type="pct"/>
                  <w:noWrap w:val="0"/>
                  <w:vAlign w:val="center"/>
                </w:tcPr>
                <w:p w14:paraId="19894E5D">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r>
                    <w:rPr>
                      <w:rFonts w:hint="eastAsia" w:ascii="Times New Roman" w:hAnsi="Times New Roman"/>
                      <w:szCs w:val="24"/>
                      <w:u w:val="single"/>
                    </w:rPr>
                    <w:t>污染物变化情况</w:t>
                  </w:r>
                </w:p>
              </w:tc>
            </w:tr>
            <w:tr w14:paraId="1079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noWrap w:val="0"/>
                  <w:vAlign w:val="center"/>
                </w:tcPr>
                <w:p w14:paraId="5E1FD92F">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废气</w:t>
                  </w:r>
                </w:p>
              </w:tc>
              <w:tc>
                <w:tcPr>
                  <w:tcW w:w="364" w:type="pct"/>
                  <w:noWrap w:val="0"/>
                  <w:vAlign w:val="center"/>
                </w:tcPr>
                <w:p w14:paraId="03EAF2B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1</w:t>
                  </w:r>
                </w:p>
              </w:tc>
              <w:tc>
                <w:tcPr>
                  <w:tcW w:w="870" w:type="pct"/>
                  <w:shd w:val="clear" w:color="auto" w:fill="auto"/>
                  <w:noWrap w:val="0"/>
                  <w:vAlign w:val="center"/>
                </w:tcPr>
                <w:p w14:paraId="1F509644">
                  <w:pPr>
                    <w:jc w:val="center"/>
                    <w:rPr>
                      <w:rFonts w:ascii="Times New Roman" w:hAnsi="Times New Roman" w:eastAsia="宋体" w:cs="Times New Roman"/>
                      <w:kern w:val="2"/>
                      <w:sz w:val="21"/>
                      <w:szCs w:val="21"/>
                      <w:u w:val="single"/>
                      <w:lang w:val="en-US" w:eastAsia="zh-CN" w:bidi="ar-SA"/>
                    </w:rPr>
                  </w:pPr>
                  <w:r>
                    <w:rPr>
                      <w:rFonts w:hint="eastAsia" w:eastAsia="宋体"/>
                      <w:sz w:val="21"/>
                      <w:szCs w:val="21"/>
                      <w:u w:val="single"/>
                    </w:rPr>
                    <w:t>颗粒物</w:t>
                  </w:r>
                </w:p>
              </w:tc>
              <w:tc>
                <w:tcPr>
                  <w:tcW w:w="632" w:type="pct"/>
                  <w:shd w:val="clear" w:color="auto" w:fill="auto"/>
                  <w:noWrap w:val="0"/>
                  <w:vAlign w:val="center"/>
                </w:tcPr>
                <w:p w14:paraId="63F54CBB">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185.325</w:t>
                  </w:r>
                </w:p>
              </w:tc>
              <w:tc>
                <w:tcPr>
                  <w:tcW w:w="629" w:type="pct"/>
                  <w:noWrap w:val="0"/>
                  <w:vAlign w:val="center"/>
                </w:tcPr>
                <w:p w14:paraId="1F71BDA0">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5191BFD4">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6951F584">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185.325</w:t>
                  </w:r>
                </w:p>
              </w:tc>
              <w:tc>
                <w:tcPr>
                  <w:tcW w:w="676" w:type="pct"/>
                  <w:shd w:val="clear" w:color="auto" w:fill="auto"/>
                  <w:noWrap w:val="0"/>
                  <w:vAlign w:val="center"/>
                </w:tcPr>
                <w:p w14:paraId="1C223377">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tr w14:paraId="7AEE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22F029CA">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noWrap w:val="0"/>
                  <w:vAlign w:val="center"/>
                </w:tcPr>
                <w:p w14:paraId="503A24A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2</w:t>
                  </w:r>
                </w:p>
              </w:tc>
              <w:tc>
                <w:tcPr>
                  <w:tcW w:w="870" w:type="pct"/>
                  <w:shd w:val="clear" w:color="auto" w:fill="auto"/>
                  <w:noWrap w:val="0"/>
                  <w:vAlign w:val="center"/>
                </w:tcPr>
                <w:p w14:paraId="7B6880CF">
                  <w:pPr>
                    <w:jc w:val="center"/>
                    <w:rPr>
                      <w:rFonts w:ascii="Times New Roman" w:hAnsi="Times New Roman" w:eastAsia="宋体" w:cs="Times New Roman"/>
                      <w:kern w:val="2"/>
                      <w:sz w:val="21"/>
                      <w:szCs w:val="21"/>
                      <w:u w:val="single"/>
                      <w:lang w:val="en-US" w:eastAsia="zh-CN" w:bidi="ar-SA"/>
                    </w:rPr>
                  </w:pPr>
                  <w:r>
                    <w:rPr>
                      <w:rFonts w:hint="eastAsia" w:eastAsia="宋体"/>
                      <w:sz w:val="21"/>
                      <w:szCs w:val="21"/>
                      <w:u w:val="single"/>
                    </w:rPr>
                    <w:t>二氧化硫</w:t>
                  </w:r>
                </w:p>
              </w:tc>
              <w:tc>
                <w:tcPr>
                  <w:tcW w:w="632" w:type="pct"/>
                  <w:shd w:val="clear" w:color="auto" w:fill="auto"/>
                  <w:noWrap w:val="0"/>
                  <w:vAlign w:val="center"/>
                </w:tcPr>
                <w:p w14:paraId="35A9043E">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267.876</w:t>
                  </w:r>
                </w:p>
              </w:tc>
              <w:tc>
                <w:tcPr>
                  <w:tcW w:w="629" w:type="pct"/>
                  <w:noWrap w:val="0"/>
                  <w:vAlign w:val="center"/>
                </w:tcPr>
                <w:p w14:paraId="41DD9EDE">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5E9C9830">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40B8CDC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267.876</w:t>
                  </w:r>
                </w:p>
              </w:tc>
              <w:tc>
                <w:tcPr>
                  <w:tcW w:w="676" w:type="pct"/>
                  <w:shd w:val="clear" w:color="auto" w:fill="auto"/>
                  <w:noWrap w:val="0"/>
                  <w:vAlign w:val="center"/>
                </w:tcPr>
                <w:p w14:paraId="492FB82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tr w14:paraId="2188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6F566083">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noWrap w:val="0"/>
                  <w:vAlign w:val="center"/>
                </w:tcPr>
                <w:p w14:paraId="76034906">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3</w:t>
                  </w:r>
                </w:p>
              </w:tc>
              <w:tc>
                <w:tcPr>
                  <w:tcW w:w="870" w:type="pct"/>
                  <w:shd w:val="clear" w:color="auto" w:fill="auto"/>
                  <w:noWrap w:val="0"/>
                  <w:vAlign w:val="center"/>
                </w:tcPr>
                <w:p w14:paraId="68CD72DE">
                  <w:pPr>
                    <w:jc w:val="center"/>
                    <w:rPr>
                      <w:rFonts w:ascii="Times New Roman" w:hAnsi="Times New Roman" w:eastAsia="宋体" w:cs="Times New Roman"/>
                      <w:kern w:val="2"/>
                      <w:sz w:val="21"/>
                      <w:szCs w:val="21"/>
                      <w:u w:val="single"/>
                      <w:lang w:val="en-US" w:eastAsia="zh-CN" w:bidi="ar-SA"/>
                    </w:rPr>
                  </w:pPr>
                  <w:r>
                    <w:rPr>
                      <w:rFonts w:hint="eastAsia" w:eastAsia="宋体"/>
                      <w:sz w:val="21"/>
                      <w:szCs w:val="21"/>
                      <w:u w:val="single"/>
                    </w:rPr>
                    <w:t>氮氧化物</w:t>
                  </w:r>
                </w:p>
              </w:tc>
              <w:tc>
                <w:tcPr>
                  <w:tcW w:w="632" w:type="pct"/>
                  <w:shd w:val="clear" w:color="auto" w:fill="auto"/>
                  <w:noWrap w:val="0"/>
                  <w:vAlign w:val="center"/>
                </w:tcPr>
                <w:p w14:paraId="6065CB8D">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836.935</w:t>
                  </w:r>
                </w:p>
              </w:tc>
              <w:tc>
                <w:tcPr>
                  <w:tcW w:w="629" w:type="pct"/>
                  <w:noWrap w:val="0"/>
                  <w:vAlign w:val="center"/>
                </w:tcPr>
                <w:p w14:paraId="20F451D0">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1B5FE66D">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6018CFD3">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836.935</w:t>
                  </w:r>
                </w:p>
              </w:tc>
              <w:tc>
                <w:tcPr>
                  <w:tcW w:w="676" w:type="pct"/>
                  <w:shd w:val="clear" w:color="auto" w:fill="auto"/>
                  <w:noWrap w:val="0"/>
                  <w:vAlign w:val="center"/>
                </w:tcPr>
                <w:p w14:paraId="4753CB0F">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tr w14:paraId="01B6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09EEE3C2">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shd w:val="clear" w:color="auto" w:fill="auto"/>
                  <w:noWrap w:val="0"/>
                  <w:vAlign w:val="center"/>
                </w:tcPr>
                <w:p w14:paraId="6220EE9B">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4</w:t>
                  </w:r>
                </w:p>
              </w:tc>
              <w:tc>
                <w:tcPr>
                  <w:tcW w:w="870" w:type="pct"/>
                  <w:shd w:val="clear" w:color="auto" w:fill="auto"/>
                  <w:noWrap w:val="0"/>
                  <w:vAlign w:val="center"/>
                </w:tcPr>
                <w:p w14:paraId="16F0C58D">
                  <w:pPr>
                    <w:jc w:val="center"/>
                    <w:rPr>
                      <w:rFonts w:hint="eastAsia" w:ascii="Times New Roman" w:hAnsi="Times New Roman" w:eastAsia="宋体" w:cs="Times New Roman"/>
                      <w:kern w:val="2"/>
                      <w:sz w:val="21"/>
                      <w:szCs w:val="21"/>
                      <w:u w:val="single"/>
                      <w:lang w:val="en-US" w:eastAsia="zh-CN" w:bidi="ar-SA"/>
                    </w:rPr>
                  </w:pPr>
                  <w:r>
                    <w:rPr>
                      <w:rFonts w:hint="eastAsia" w:eastAsia="宋体"/>
                      <w:sz w:val="21"/>
                      <w:szCs w:val="21"/>
                      <w:u w:val="single"/>
                    </w:rPr>
                    <w:t>甲醇</w:t>
                  </w:r>
                </w:p>
              </w:tc>
              <w:tc>
                <w:tcPr>
                  <w:tcW w:w="632" w:type="pct"/>
                  <w:shd w:val="clear" w:color="auto" w:fill="auto"/>
                  <w:noWrap w:val="0"/>
                  <w:vAlign w:val="center"/>
                </w:tcPr>
                <w:p w14:paraId="7FC74798">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76.944</w:t>
                  </w:r>
                </w:p>
              </w:tc>
              <w:tc>
                <w:tcPr>
                  <w:tcW w:w="629" w:type="pct"/>
                  <w:noWrap w:val="0"/>
                  <w:vAlign w:val="center"/>
                </w:tcPr>
                <w:p w14:paraId="4431BED7">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02148BF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6B63638E">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76.944</w:t>
                  </w:r>
                </w:p>
              </w:tc>
              <w:tc>
                <w:tcPr>
                  <w:tcW w:w="676" w:type="pct"/>
                  <w:shd w:val="clear" w:color="auto" w:fill="auto"/>
                  <w:noWrap w:val="0"/>
                  <w:vAlign w:val="center"/>
                </w:tcPr>
                <w:p w14:paraId="14EBB557">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tr w14:paraId="15AB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78A3AAD3">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shd w:val="clear" w:color="auto" w:fill="auto"/>
                  <w:noWrap w:val="0"/>
                  <w:vAlign w:val="center"/>
                </w:tcPr>
                <w:p w14:paraId="0BCA9A98">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5</w:t>
                  </w:r>
                </w:p>
              </w:tc>
              <w:tc>
                <w:tcPr>
                  <w:tcW w:w="870" w:type="pct"/>
                  <w:shd w:val="clear" w:color="auto" w:fill="auto"/>
                  <w:noWrap w:val="0"/>
                  <w:vAlign w:val="center"/>
                </w:tcPr>
                <w:p w14:paraId="500EC8DD">
                  <w:pPr>
                    <w:jc w:val="center"/>
                    <w:rPr>
                      <w:rFonts w:ascii="Times New Roman" w:hAnsi="Times New Roman" w:eastAsia="宋体" w:cs="Times New Roman"/>
                      <w:kern w:val="2"/>
                      <w:sz w:val="21"/>
                      <w:szCs w:val="21"/>
                      <w:u w:val="single"/>
                      <w:lang w:val="en-US" w:eastAsia="zh-CN" w:bidi="ar-SA"/>
                    </w:rPr>
                  </w:pPr>
                  <w:r>
                    <w:rPr>
                      <w:rFonts w:hint="eastAsia" w:eastAsia="宋体"/>
                      <w:sz w:val="21"/>
                      <w:szCs w:val="21"/>
                      <w:u w:val="single"/>
                    </w:rPr>
                    <w:t>挥发性有机物</w:t>
                  </w:r>
                </w:p>
              </w:tc>
              <w:tc>
                <w:tcPr>
                  <w:tcW w:w="632" w:type="pct"/>
                  <w:shd w:val="clear" w:color="auto" w:fill="auto"/>
                  <w:noWrap w:val="0"/>
                  <w:vAlign w:val="center"/>
                </w:tcPr>
                <w:p w14:paraId="06F234F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556.737</w:t>
                  </w:r>
                </w:p>
              </w:tc>
              <w:tc>
                <w:tcPr>
                  <w:tcW w:w="629" w:type="pct"/>
                  <w:noWrap w:val="0"/>
                  <w:vAlign w:val="center"/>
                </w:tcPr>
                <w:p w14:paraId="249FBA6E">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default" w:ascii="Times New Roman" w:hAnsi="Times New Roman" w:eastAsia="宋体"/>
                      <w:szCs w:val="24"/>
                      <w:u w:val="single"/>
                      <w:lang w:val="en-US" w:eastAsia="zh-CN"/>
                    </w:rPr>
                  </w:pPr>
                  <w:r>
                    <w:rPr>
                      <w:rFonts w:hint="eastAsia" w:ascii="Times New Roman" w:hAnsi="Times New Roman"/>
                      <w:szCs w:val="24"/>
                      <w:u w:val="single"/>
                      <w:lang w:val="en-US" w:eastAsia="zh-CN"/>
                    </w:rPr>
                    <w:t>0.092</w:t>
                  </w:r>
                </w:p>
              </w:tc>
              <w:tc>
                <w:tcPr>
                  <w:tcW w:w="752" w:type="pct"/>
                  <w:noWrap w:val="0"/>
                  <w:vAlign w:val="center"/>
                </w:tcPr>
                <w:p w14:paraId="0C240112">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33BE84D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2"/>
                      <w:sz w:val="21"/>
                      <w:szCs w:val="21"/>
                      <w:u w:val="single"/>
                      <w:lang w:val="en-US" w:eastAsia="zh-CN" w:bidi="ar-SA"/>
                    </w:rPr>
                  </w:pPr>
                  <w:r>
                    <w:rPr>
                      <w:rFonts w:ascii="Times New Roman" w:hAnsi="Times New Roman"/>
                      <w:color w:val="000000"/>
                      <w:u w:val="single"/>
                    </w:rPr>
                    <w:t>556.</w:t>
                  </w:r>
                  <w:r>
                    <w:rPr>
                      <w:rFonts w:hint="eastAsia" w:ascii="Times New Roman" w:hAnsi="Times New Roman"/>
                      <w:color w:val="000000"/>
                      <w:u w:val="single"/>
                      <w:lang w:val="en-US" w:eastAsia="zh-CN"/>
                    </w:rPr>
                    <w:t>829</w:t>
                  </w:r>
                </w:p>
              </w:tc>
              <w:tc>
                <w:tcPr>
                  <w:tcW w:w="676" w:type="pct"/>
                  <w:shd w:val="clear" w:color="auto" w:fill="auto"/>
                  <w:noWrap w:val="0"/>
                  <w:vAlign w:val="center"/>
                </w:tcPr>
                <w:p w14:paraId="4EF641D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+0.092</w:t>
                  </w:r>
                </w:p>
              </w:tc>
            </w:tr>
            <w:tr w14:paraId="3FEC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noWrap w:val="0"/>
                  <w:vAlign w:val="center"/>
                </w:tcPr>
                <w:p w14:paraId="187541CC">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废水</w:t>
                  </w:r>
                </w:p>
              </w:tc>
              <w:tc>
                <w:tcPr>
                  <w:tcW w:w="364" w:type="pct"/>
                  <w:shd w:val="clear" w:color="auto" w:fill="auto"/>
                  <w:noWrap w:val="0"/>
                  <w:vAlign w:val="center"/>
                </w:tcPr>
                <w:p w14:paraId="2A0DB49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6</w:t>
                  </w:r>
                </w:p>
              </w:tc>
              <w:tc>
                <w:tcPr>
                  <w:tcW w:w="870" w:type="pct"/>
                  <w:shd w:val="clear" w:color="auto" w:fill="auto"/>
                  <w:noWrap w:val="0"/>
                  <w:vAlign w:val="center"/>
                </w:tcPr>
                <w:p w14:paraId="5252EED5">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CODcr</w:t>
                  </w:r>
                </w:p>
              </w:tc>
              <w:tc>
                <w:tcPr>
                  <w:tcW w:w="632" w:type="pct"/>
                  <w:shd w:val="clear" w:color="auto" w:fill="auto"/>
                  <w:noWrap w:val="0"/>
                  <w:vAlign w:val="center"/>
                </w:tcPr>
                <w:p w14:paraId="24B6CC09">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4626.848</w:t>
                  </w:r>
                </w:p>
              </w:tc>
              <w:tc>
                <w:tcPr>
                  <w:tcW w:w="629" w:type="pct"/>
                  <w:shd w:val="clear" w:color="auto" w:fill="auto"/>
                  <w:noWrap w:val="0"/>
                  <w:vAlign w:val="center"/>
                </w:tcPr>
                <w:p w14:paraId="71FEC825">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c>
                <w:tcPr>
                  <w:tcW w:w="752" w:type="pct"/>
                  <w:shd w:val="clear" w:color="auto" w:fill="auto"/>
                  <w:noWrap w:val="0"/>
                  <w:vAlign w:val="center"/>
                </w:tcPr>
                <w:p w14:paraId="64DBE29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c>
                <w:tcPr>
                  <w:tcW w:w="678" w:type="pct"/>
                  <w:shd w:val="clear" w:color="auto" w:fill="auto"/>
                  <w:noWrap w:val="0"/>
                  <w:vAlign w:val="center"/>
                </w:tcPr>
                <w:p w14:paraId="2CCC6DC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4626.848</w:t>
                  </w:r>
                </w:p>
              </w:tc>
              <w:tc>
                <w:tcPr>
                  <w:tcW w:w="676" w:type="pct"/>
                  <w:shd w:val="clear" w:color="auto" w:fill="auto"/>
                  <w:noWrap w:val="0"/>
                  <w:vAlign w:val="center"/>
                </w:tcPr>
                <w:p w14:paraId="6F6ADDA8">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r>
            <w:tr w14:paraId="12F6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7210AACE">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p>
              </w:tc>
              <w:tc>
                <w:tcPr>
                  <w:tcW w:w="364" w:type="pct"/>
                  <w:shd w:val="clear" w:color="auto" w:fill="auto"/>
                  <w:noWrap w:val="0"/>
                  <w:vAlign w:val="center"/>
                </w:tcPr>
                <w:p w14:paraId="7FFE5A4E">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8</w:t>
                  </w:r>
                </w:p>
              </w:tc>
              <w:tc>
                <w:tcPr>
                  <w:tcW w:w="870" w:type="pct"/>
                  <w:shd w:val="clear" w:color="auto" w:fill="auto"/>
                  <w:noWrap w:val="0"/>
                  <w:vAlign w:val="center"/>
                </w:tcPr>
                <w:p w14:paraId="4757C2AE">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氨氮</w:t>
                  </w:r>
                </w:p>
              </w:tc>
              <w:tc>
                <w:tcPr>
                  <w:tcW w:w="632" w:type="pct"/>
                  <w:shd w:val="clear" w:color="auto" w:fill="auto"/>
                  <w:noWrap w:val="0"/>
                  <w:vAlign w:val="center"/>
                </w:tcPr>
                <w:p w14:paraId="51F3FAB6">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5.14</w:t>
                  </w:r>
                </w:p>
              </w:tc>
              <w:tc>
                <w:tcPr>
                  <w:tcW w:w="629" w:type="pct"/>
                  <w:shd w:val="clear" w:color="auto" w:fill="auto"/>
                  <w:noWrap w:val="0"/>
                  <w:vAlign w:val="center"/>
                </w:tcPr>
                <w:p w14:paraId="40404C5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c>
                <w:tcPr>
                  <w:tcW w:w="752" w:type="pct"/>
                  <w:shd w:val="clear" w:color="auto" w:fill="auto"/>
                  <w:noWrap w:val="0"/>
                  <w:vAlign w:val="center"/>
                </w:tcPr>
                <w:p w14:paraId="6C8EF14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c>
                <w:tcPr>
                  <w:tcW w:w="678" w:type="pct"/>
                  <w:shd w:val="clear" w:color="auto" w:fill="auto"/>
                  <w:noWrap w:val="0"/>
                  <w:vAlign w:val="center"/>
                </w:tcPr>
                <w:p w14:paraId="0037B67C">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5.14</w:t>
                  </w:r>
                </w:p>
              </w:tc>
              <w:tc>
                <w:tcPr>
                  <w:tcW w:w="676" w:type="pct"/>
                  <w:shd w:val="clear" w:color="auto" w:fill="auto"/>
                  <w:noWrap w:val="0"/>
                  <w:vAlign w:val="center"/>
                </w:tcPr>
                <w:p w14:paraId="6C583F43">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cs="Times New Roman"/>
                      <w:kern w:val="0"/>
                      <w:sz w:val="21"/>
                      <w:szCs w:val="24"/>
                      <w:u w:val="single"/>
                      <w:lang w:val="en-US" w:eastAsia="zh-CN" w:bidi="ar-SA"/>
                    </w:rPr>
                    <w:t>/</w:t>
                  </w:r>
                </w:p>
              </w:tc>
            </w:tr>
            <w:tr w14:paraId="2401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restart"/>
                  <w:noWrap w:val="0"/>
                  <w:vAlign w:val="center"/>
                </w:tcPr>
                <w:p w14:paraId="01301260">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szCs w:val="24"/>
                      <w:u w:val="single"/>
                    </w:rPr>
                  </w:pPr>
                  <w:r>
                    <w:rPr>
                      <w:rFonts w:hint="eastAsia" w:ascii="Times New Roman" w:hAnsi="Times New Roman"/>
                      <w:szCs w:val="24"/>
                      <w:u w:val="single"/>
                    </w:rPr>
                    <w:t>固废</w:t>
                  </w:r>
                </w:p>
              </w:tc>
              <w:tc>
                <w:tcPr>
                  <w:tcW w:w="364" w:type="pct"/>
                  <w:shd w:val="clear" w:color="auto" w:fill="auto"/>
                  <w:noWrap w:val="0"/>
                  <w:vAlign w:val="center"/>
                </w:tcPr>
                <w:p w14:paraId="6BFE5099">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9</w:t>
                  </w:r>
                </w:p>
              </w:tc>
              <w:tc>
                <w:tcPr>
                  <w:tcW w:w="870" w:type="pct"/>
                  <w:noWrap w:val="0"/>
                  <w:vAlign w:val="center"/>
                </w:tcPr>
                <w:p w14:paraId="4388FB2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一般工业固废</w:t>
                  </w:r>
                </w:p>
              </w:tc>
              <w:tc>
                <w:tcPr>
                  <w:tcW w:w="632" w:type="pct"/>
                  <w:shd w:val="clear" w:color="auto" w:fill="auto"/>
                  <w:noWrap w:val="0"/>
                  <w:vAlign w:val="center"/>
                </w:tcPr>
                <w:p w14:paraId="4EDF9742">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u w:val="single"/>
                      <w:lang w:val="en-US" w:eastAsia="zh-CN" w:bidi="ar-SA"/>
                    </w:rPr>
                  </w:pPr>
                  <w:r>
                    <w:rPr>
                      <w:rFonts w:ascii="Times New Roman" w:hAnsi="Times New Roman"/>
                      <w:color w:val="000000"/>
                      <w:u w:val="single"/>
                    </w:rPr>
                    <w:t>579867.263</w:t>
                  </w:r>
                </w:p>
              </w:tc>
              <w:tc>
                <w:tcPr>
                  <w:tcW w:w="629" w:type="pct"/>
                  <w:noWrap w:val="0"/>
                  <w:vAlign w:val="center"/>
                </w:tcPr>
                <w:p w14:paraId="318EF07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79A96CE3">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0ADE5C4C">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u w:val="single"/>
                      <w:lang w:val="en-US" w:eastAsia="zh-CN" w:bidi="ar-SA"/>
                    </w:rPr>
                  </w:pPr>
                  <w:r>
                    <w:rPr>
                      <w:rFonts w:ascii="Times New Roman" w:hAnsi="Times New Roman"/>
                      <w:color w:val="000000"/>
                      <w:u w:val="single"/>
                    </w:rPr>
                    <w:t>579867.263</w:t>
                  </w:r>
                </w:p>
              </w:tc>
              <w:tc>
                <w:tcPr>
                  <w:tcW w:w="676" w:type="pct"/>
                  <w:shd w:val="clear" w:color="auto" w:fill="auto"/>
                  <w:noWrap w:val="0"/>
                  <w:vAlign w:val="center"/>
                </w:tcPr>
                <w:p w14:paraId="335FF9F2">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tr w14:paraId="4DD5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360DA21C">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shd w:val="clear" w:color="auto" w:fill="auto"/>
                  <w:noWrap w:val="0"/>
                  <w:vAlign w:val="center"/>
                </w:tcPr>
                <w:p w14:paraId="20A4CDE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rPr>
                    <w:t>10</w:t>
                  </w:r>
                </w:p>
              </w:tc>
              <w:tc>
                <w:tcPr>
                  <w:tcW w:w="870" w:type="pct"/>
                  <w:noWrap w:val="0"/>
                  <w:vAlign w:val="center"/>
                </w:tcPr>
                <w:p w14:paraId="62E41A55">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危险废物</w:t>
                  </w:r>
                </w:p>
              </w:tc>
              <w:tc>
                <w:tcPr>
                  <w:tcW w:w="632" w:type="pct"/>
                  <w:shd w:val="clear" w:color="auto" w:fill="auto"/>
                  <w:noWrap w:val="0"/>
                  <w:vAlign w:val="center"/>
                </w:tcPr>
                <w:p w14:paraId="78F2F47B">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u w:val="single"/>
                      <w:lang w:val="en-US" w:eastAsia="zh-CN" w:bidi="ar-SA"/>
                    </w:rPr>
                  </w:pPr>
                  <w:r>
                    <w:rPr>
                      <w:rFonts w:ascii="Times New Roman" w:hAnsi="Times New Roman"/>
                      <w:color w:val="000000"/>
                      <w:u w:val="single"/>
                    </w:rPr>
                    <w:t>17899.727</w:t>
                  </w:r>
                </w:p>
              </w:tc>
              <w:tc>
                <w:tcPr>
                  <w:tcW w:w="629" w:type="pct"/>
                  <w:noWrap w:val="0"/>
                  <w:vAlign w:val="center"/>
                </w:tcPr>
                <w:p w14:paraId="5957CDCC">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default" w:ascii="Times New Roman" w:hAnsi="Times New Roman" w:eastAsia="宋体"/>
                      <w:szCs w:val="24"/>
                      <w:u w:val="single"/>
                      <w:lang w:val="en-US" w:eastAsia="zh-CN"/>
                    </w:rPr>
                  </w:pPr>
                  <w:r>
                    <w:rPr>
                      <w:rFonts w:hint="eastAsia" w:ascii="Times New Roman" w:hAnsi="Times New Roman"/>
                      <w:szCs w:val="24"/>
                      <w:u w:val="single"/>
                      <w:lang w:val="en-US" w:eastAsia="zh-CN"/>
                    </w:rPr>
                    <w:t>776</w:t>
                  </w:r>
                </w:p>
              </w:tc>
              <w:tc>
                <w:tcPr>
                  <w:tcW w:w="752" w:type="pct"/>
                  <w:noWrap w:val="0"/>
                  <w:vAlign w:val="center"/>
                </w:tcPr>
                <w:p w14:paraId="25545168">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5BF3AC56">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olor w:val="000000"/>
                      <w:u w:val="single"/>
                      <w:lang w:val="en-US" w:eastAsia="zh-CN"/>
                    </w:rPr>
                    <w:t>18675.727</w:t>
                  </w:r>
                </w:p>
              </w:tc>
              <w:tc>
                <w:tcPr>
                  <w:tcW w:w="676" w:type="pct"/>
                  <w:shd w:val="clear" w:color="auto" w:fill="auto"/>
                  <w:noWrap w:val="0"/>
                  <w:vAlign w:val="center"/>
                </w:tcPr>
                <w:p w14:paraId="0C66489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+776</w:t>
                  </w:r>
                </w:p>
              </w:tc>
            </w:tr>
            <w:tr w14:paraId="58A6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Merge w:val="continue"/>
                  <w:noWrap w:val="0"/>
                  <w:vAlign w:val="center"/>
                </w:tcPr>
                <w:p w14:paraId="1BA33D08">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p>
              </w:tc>
              <w:tc>
                <w:tcPr>
                  <w:tcW w:w="364" w:type="pct"/>
                  <w:noWrap w:val="0"/>
                  <w:vAlign w:val="center"/>
                </w:tcPr>
                <w:p w14:paraId="7AF9B39A">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default" w:ascii="Times New Roman" w:hAnsi="Times New Roman" w:eastAsia="宋体"/>
                      <w:szCs w:val="24"/>
                      <w:u w:val="single"/>
                      <w:lang w:val="en-US" w:eastAsia="zh-CN"/>
                    </w:rPr>
                  </w:pPr>
                  <w:r>
                    <w:rPr>
                      <w:rFonts w:hint="eastAsia" w:ascii="Times New Roman" w:hAnsi="Times New Roman"/>
                      <w:szCs w:val="24"/>
                      <w:u w:val="single"/>
                      <w:lang w:val="en-US" w:eastAsia="zh-CN"/>
                    </w:rPr>
                    <w:t>11</w:t>
                  </w:r>
                </w:p>
              </w:tc>
              <w:tc>
                <w:tcPr>
                  <w:tcW w:w="870" w:type="pct"/>
                  <w:noWrap w:val="0"/>
                  <w:vAlign w:val="center"/>
                </w:tcPr>
                <w:p w14:paraId="76B7F0F1">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szCs w:val="24"/>
                      <w:u w:val="single"/>
                    </w:rPr>
                  </w:pPr>
                  <w:r>
                    <w:rPr>
                      <w:rFonts w:hint="eastAsia" w:ascii="Times New Roman" w:hAnsi="Times New Roman"/>
                      <w:szCs w:val="24"/>
                      <w:u w:val="single"/>
                    </w:rPr>
                    <w:t>生活垃圾</w:t>
                  </w:r>
                </w:p>
              </w:tc>
              <w:tc>
                <w:tcPr>
                  <w:tcW w:w="632" w:type="pct"/>
                  <w:shd w:val="clear" w:color="auto" w:fill="auto"/>
                  <w:noWrap w:val="0"/>
                  <w:vAlign w:val="center"/>
                </w:tcPr>
                <w:p w14:paraId="1D03CBB8">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u w:val="single"/>
                      <w:lang w:val="en-US" w:eastAsia="zh-CN" w:bidi="ar-SA"/>
                    </w:rPr>
                  </w:pPr>
                  <w:r>
                    <w:rPr>
                      <w:rFonts w:ascii="Times New Roman" w:hAnsi="Times New Roman"/>
                      <w:color w:val="000000"/>
                      <w:u w:val="single"/>
                    </w:rPr>
                    <w:t>202.13</w:t>
                  </w:r>
                </w:p>
              </w:tc>
              <w:tc>
                <w:tcPr>
                  <w:tcW w:w="629" w:type="pct"/>
                  <w:noWrap w:val="0"/>
                  <w:vAlign w:val="center"/>
                </w:tcPr>
                <w:p w14:paraId="0CB6E8E5">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752" w:type="pct"/>
                  <w:noWrap w:val="0"/>
                  <w:vAlign w:val="center"/>
                </w:tcPr>
                <w:p w14:paraId="7482E89F">
                  <w:pPr>
                    <w:pStyle w:val="67"/>
                    <w:widowControl w:val="0"/>
                    <w:pBdr>
                      <w:left w:val="none" w:color="auto" w:sz="0" w:space="0"/>
                      <w:bottom w:val="none" w:color="auto" w:sz="0" w:space="0"/>
                      <w:right w:val="none" w:color="auto" w:sz="0" w:space="0"/>
                    </w:pBdr>
                    <w:spacing w:before="0" w:beforeAutospacing="0" w:after="0" w:afterAutospacing="0" w:line="0" w:lineRule="atLeast"/>
                    <w:rPr>
                      <w:rFonts w:hint="eastAsia" w:ascii="Times New Roman" w:hAnsi="Times New Roman" w:eastAsia="宋体"/>
                      <w:szCs w:val="24"/>
                      <w:u w:val="single"/>
                      <w:lang w:val="en-US" w:eastAsia="zh-CN"/>
                    </w:rPr>
                  </w:pPr>
                  <w:r>
                    <w:rPr>
                      <w:rFonts w:hint="eastAsia" w:ascii="Times New Roman" w:hAnsi="Times New Roman"/>
                      <w:szCs w:val="24"/>
                      <w:u w:val="single"/>
                      <w:lang w:val="en-US" w:eastAsia="zh-CN"/>
                    </w:rPr>
                    <w:t>/</w:t>
                  </w:r>
                </w:p>
              </w:tc>
              <w:tc>
                <w:tcPr>
                  <w:tcW w:w="678" w:type="pct"/>
                  <w:shd w:val="clear" w:color="auto" w:fill="auto"/>
                  <w:noWrap w:val="0"/>
                  <w:vAlign w:val="center"/>
                </w:tcPr>
                <w:p w14:paraId="1CD7CAB3">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ascii="Times New Roman" w:hAnsi="Times New Roman" w:eastAsia="宋体" w:cs="Times New Roman"/>
                      <w:kern w:val="2"/>
                      <w:sz w:val="21"/>
                      <w:szCs w:val="21"/>
                      <w:u w:val="single"/>
                      <w:lang w:val="en-US" w:eastAsia="zh-CN" w:bidi="ar-SA"/>
                    </w:rPr>
                  </w:pPr>
                  <w:r>
                    <w:rPr>
                      <w:rFonts w:ascii="Times New Roman" w:hAnsi="Times New Roman"/>
                      <w:color w:val="000000"/>
                      <w:u w:val="single"/>
                    </w:rPr>
                    <w:t>202.13</w:t>
                  </w:r>
                </w:p>
              </w:tc>
              <w:tc>
                <w:tcPr>
                  <w:tcW w:w="676" w:type="pct"/>
                  <w:shd w:val="clear" w:color="auto" w:fill="auto"/>
                  <w:noWrap w:val="0"/>
                  <w:vAlign w:val="center"/>
                </w:tcPr>
                <w:p w14:paraId="5077C3C0">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0"/>
                      <w:sz w:val="21"/>
                      <w:szCs w:val="24"/>
                      <w:u w:val="single"/>
                      <w:lang w:val="en-US" w:eastAsia="zh-CN" w:bidi="ar-SA"/>
                    </w:rPr>
                  </w:pPr>
                  <w:r>
                    <w:rPr>
                      <w:rFonts w:hint="eastAsia" w:ascii="Times New Roman" w:hAnsi="Times New Roman"/>
                      <w:szCs w:val="24"/>
                      <w:u w:val="single"/>
                      <w:lang w:val="en-US" w:eastAsia="zh-CN"/>
                    </w:rPr>
                    <w:t>/</w:t>
                  </w:r>
                </w:p>
              </w:tc>
            </w:tr>
            <w:bookmarkEnd w:id="15"/>
          </w:tbl>
          <w:p w14:paraId="5162AE67">
            <w:pPr>
              <w:spacing w:line="500" w:lineRule="atLeast"/>
              <w:jc w:val="left"/>
              <w:rPr>
                <w:rFonts w:hint="eastAsia"/>
                <w:bCs/>
                <w:sz w:val="24"/>
                <w:lang w:val="en-US" w:eastAsia="zh-CN"/>
              </w:rPr>
            </w:pPr>
          </w:p>
        </w:tc>
      </w:tr>
    </w:tbl>
    <w:p w14:paraId="36713859"/>
    <w:p w14:paraId="59E735E9">
      <w:pPr>
        <w:widowControl/>
        <w:jc w:val="left"/>
        <w:rPr>
          <w:rFonts w:ascii="Calibri" w:hAnsi="Calibri" w:cs="Arial"/>
          <w:b/>
          <w:kern w:val="44"/>
          <w:sz w:val="28"/>
          <w:szCs w:val="28"/>
        </w:rPr>
      </w:pPr>
      <w:r>
        <w:rPr>
          <w:rFonts w:ascii="Calibri" w:hAnsi="Calibri" w:cs="Arial"/>
          <w:b/>
          <w:kern w:val="44"/>
          <w:sz w:val="28"/>
          <w:szCs w:val="28"/>
        </w:rPr>
        <w:br w:type="page"/>
      </w:r>
    </w:p>
    <w:p w14:paraId="2737B292">
      <w:pPr>
        <w:tabs>
          <w:tab w:val="left" w:pos="3225"/>
        </w:tabs>
        <w:spacing w:line="500" w:lineRule="exact"/>
        <w:outlineLvl w:val="0"/>
        <w:rPr>
          <w:rFonts w:ascii="Calibri" w:hAnsi="Calibri" w:cs="Arial"/>
          <w:b/>
          <w:kern w:val="44"/>
          <w:sz w:val="28"/>
          <w:szCs w:val="28"/>
        </w:rPr>
      </w:pPr>
      <w:bookmarkStart w:id="16" w:name="_Toc19224"/>
      <w:bookmarkStart w:id="17" w:name="_Toc4724"/>
      <w:bookmarkStart w:id="18" w:name="_Toc27551"/>
      <w:r>
        <w:rPr>
          <w:rFonts w:hint="eastAsia" w:ascii="Calibri" w:hAnsi="Calibri" w:cs="Arial"/>
          <w:b/>
          <w:kern w:val="44"/>
          <w:sz w:val="28"/>
          <w:szCs w:val="28"/>
        </w:rPr>
        <w:t>三、区域环境质量现状、环境保护目标及评价标准</w:t>
      </w:r>
      <w:bookmarkEnd w:id="16"/>
      <w:bookmarkEnd w:id="17"/>
      <w:bookmarkEnd w:id="18"/>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F016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6" w:hRule="atLeast"/>
          <w:jc w:val="center"/>
        </w:trPr>
        <w:tc>
          <w:tcPr>
            <w:tcW w:w="800" w:type="dxa"/>
            <w:vAlign w:val="center"/>
          </w:tcPr>
          <w:p w14:paraId="08D3D706">
            <w:pPr>
              <w:adjustRightInd w:val="0"/>
              <w:snapToGrid w:val="0"/>
              <w:jc w:val="center"/>
              <w:rPr>
                <w:rFonts w:ascii="宋体" w:hAnsi="宋体" w:cs="宋体"/>
                <w:kern w:val="0"/>
                <w:szCs w:val="21"/>
              </w:rPr>
            </w:pPr>
            <w:r>
              <w:rPr>
                <w:rFonts w:hint="eastAsia" w:ascii="宋体" w:hAnsi="宋体" w:cs="宋体"/>
                <w:kern w:val="0"/>
                <w:szCs w:val="21"/>
              </w:rPr>
              <w:t>区域</w:t>
            </w:r>
          </w:p>
          <w:p w14:paraId="095E6DE5">
            <w:pPr>
              <w:adjustRightInd w:val="0"/>
              <w:snapToGrid w:val="0"/>
              <w:jc w:val="center"/>
              <w:rPr>
                <w:rFonts w:ascii="宋体" w:hAnsi="宋体" w:cs="宋体"/>
                <w:kern w:val="0"/>
                <w:szCs w:val="21"/>
              </w:rPr>
            </w:pPr>
            <w:r>
              <w:rPr>
                <w:rFonts w:hint="eastAsia" w:ascii="宋体" w:hAnsi="宋体" w:cs="宋体"/>
                <w:kern w:val="0"/>
                <w:szCs w:val="21"/>
              </w:rPr>
              <w:t>环境</w:t>
            </w:r>
          </w:p>
          <w:p w14:paraId="62E56050">
            <w:pPr>
              <w:adjustRightInd w:val="0"/>
              <w:snapToGrid w:val="0"/>
              <w:jc w:val="center"/>
              <w:rPr>
                <w:rFonts w:ascii="宋体" w:hAnsi="宋体" w:cs="宋体"/>
                <w:kern w:val="0"/>
                <w:szCs w:val="21"/>
              </w:rPr>
            </w:pPr>
            <w:r>
              <w:rPr>
                <w:rFonts w:hint="eastAsia" w:ascii="宋体" w:hAnsi="宋体" w:cs="宋体"/>
                <w:kern w:val="0"/>
                <w:szCs w:val="21"/>
              </w:rPr>
              <w:t>质量</w:t>
            </w:r>
          </w:p>
          <w:p w14:paraId="18875F40">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14:paraId="3940A27B">
            <w:pPr>
              <w:spacing w:line="500" w:lineRule="atLeast"/>
              <w:ind w:firstLine="482" w:firstLineChars="200"/>
              <w:rPr>
                <w:b/>
                <w:bCs/>
                <w:sz w:val="24"/>
              </w:rPr>
            </w:pPr>
            <w:r>
              <w:rPr>
                <w:rFonts w:hint="eastAsia"/>
                <w:b/>
                <w:bCs/>
                <w:sz w:val="24"/>
              </w:rPr>
              <w:t>一、</w:t>
            </w:r>
            <w:r>
              <w:rPr>
                <w:b/>
                <w:bCs/>
                <w:sz w:val="24"/>
              </w:rPr>
              <w:t>环境</w:t>
            </w:r>
            <w:r>
              <w:rPr>
                <w:rFonts w:hint="eastAsia"/>
                <w:b/>
                <w:bCs/>
                <w:sz w:val="24"/>
              </w:rPr>
              <w:t>空气</w:t>
            </w:r>
            <w:r>
              <w:rPr>
                <w:b/>
                <w:bCs/>
                <w:sz w:val="24"/>
              </w:rPr>
              <w:t>质量状况</w:t>
            </w:r>
          </w:p>
          <w:p w14:paraId="314E2885">
            <w:pPr>
              <w:spacing w:line="500" w:lineRule="atLeast"/>
              <w:ind w:firstLine="482" w:firstLineChars="200"/>
              <w:rPr>
                <w:b/>
                <w:bCs/>
                <w:sz w:val="24"/>
              </w:rPr>
            </w:pPr>
            <w:r>
              <w:rPr>
                <w:rFonts w:hint="eastAsia"/>
                <w:b/>
                <w:bCs/>
                <w:sz w:val="24"/>
              </w:rPr>
              <w:t>1、大气环境功能区划</w:t>
            </w:r>
          </w:p>
          <w:p w14:paraId="2897D46E">
            <w:pPr>
              <w:spacing w:line="500" w:lineRule="atLeast"/>
              <w:ind w:firstLine="480" w:firstLineChars="200"/>
              <w:rPr>
                <w:bCs/>
                <w:sz w:val="24"/>
              </w:rPr>
            </w:pPr>
            <w:r>
              <w:rPr>
                <w:rFonts w:hint="eastAsia"/>
                <w:bCs/>
                <w:sz w:val="24"/>
              </w:rPr>
              <w:t>根据《广西钦州石化产业园总体发展规划（2020-2035）环境影响评价报告书》，项目所在区域，环境空气执行《环境空气质量标准》（GB3095-2012）二级标准《环境空气质量标准》（GB 3095-2012）中的二级标准及其修改单要求。</w:t>
            </w:r>
          </w:p>
          <w:p w14:paraId="1CD8540B">
            <w:pPr>
              <w:spacing w:line="500" w:lineRule="atLeast"/>
              <w:ind w:firstLine="482" w:firstLineChars="200"/>
              <w:rPr>
                <w:b/>
                <w:bCs/>
                <w:sz w:val="24"/>
              </w:rPr>
            </w:pPr>
            <w:r>
              <w:rPr>
                <w:rFonts w:hint="eastAsia"/>
                <w:b/>
                <w:bCs/>
                <w:sz w:val="24"/>
              </w:rPr>
              <w:t>2、区域达标情况</w:t>
            </w:r>
          </w:p>
          <w:p w14:paraId="300BBF66">
            <w:pPr>
              <w:spacing w:line="500" w:lineRule="atLeast"/>
              <w:ind w:firstLine="480" w:firstLineChars="200"/>
              <w:rPr>
                <w:bCs/>
                <w:sz w:val="24"/>
              </w:rPr>
            </w:pPr>
            <w:r>
              <w:rPr>
                <w:rFonts w:hint="eastAsia"/>
                <w:bCs/>
                <w:sz w:val="24"/>
              </w:rPr>
              <w:t>根据广西壮族自治区</w:t>
            </w:r>
            <w:r>
              <w:rPr>
                <w:rFonts w:hint="eastAsia"/>
                <w:bCs/>
                <w:sz w:val="24"/>
                <w:lang w:eastAsia="zh-CN"/>
              </w:rPr>
              <w:t>生态环境厅</w:t>
            </w:r>
            <w:r>
              <w:rPr>
                <w:rFonts w:hint="eastAsia"/>
                <w:bCs/>
                <w:sz w:val="24"/>
              </w:rPr>
              <w:t>《自治区生态环境厅关于通报2024年设区城市及各县（市、区）环境空气质量的函》（桂环函〔2025〕66号），按照《环境空气质量标准》（GB3095-2012）及修改单评价，14个设区城市二氧化硫、二氧化氮、PM</w:t>
            </w:r>
            <w:r>
              <w:rPr>
                <w:rFonts w:hint="eastAsia"/>
                <w:bCs/>
                <w:sz w:val="24"/>
                <w:vertAlign w:val="subscript"/>
              </w:rPr>
              <w:t>2.5</w:t>
            </w:r>
            <w:r>
              <w:rPr>
                <w:rFonts w:hint="eastAsia"/>
                <w:bCs/>
                <w:sz w:val="24"/>
              </w:rPr>
              <w:t>、PM</w:t>
            </w:r>
            <w:r>
              <w:rPr>
                <w:rFonts w:hint="eastAsia"/>
                <w:bCs/>
                <w:sz w:val="24"/>
                <w:vertAlign w:val="subscript"/>
              </w:rPr>
              <w:t>10</w:t>
            </w:r>
            <w:r>
              <w:rPr>
                <w:rFonts w:hint="eastAsia"/>
                <w:bCs/>
                <w:sz w:val="24"/>
              </w:rPr>
              <w:t>、一氧化碳、臭氧浓度达标；项目位于钦州市，属于14个设区城市，因此本项目所在区域属于达标区。</w:t>
            </w:r>
          </w:p>
          <w:p w14:paraId="5B4E33D9">
            <w:pPr>
              <w:spacing w:line="500" w:lineRule="atLeast"/>
              <w:ind w:firstLine="482" w:firstLineChars="200"/>
              <w:rPr>
                <w:b/>
                <w:bCs/>
                <w:sz w:val="24"/>
              </w:rPr>
            </w:pPr>
            <w:r>
              <w:rPr>
                <w:rFonts w:hint="eastAsia"/>
                <w:b/>
                <w:bCs/>
                <w:sz w:val="24"/>
              </w:rPr>
              <w:t>3、</w:t>
            </w:r>
            <w:r>
              <w:rPr>
                <w:rFonts w:hint="eastAsia"/>
                <w:b/>
                <w:bCs/>
                <w:sz w:val="24"/>
                <w:lang w:val="en-US" w:eastAsia="zh-CN"/>
              </w:rPr>
              <w:t>环境空气质量</w:t>
            </w:r>
            <w:r>
              <w:rPr>
                <w:rFonts w:hint="eastAsia"/>
                <w:b/>
                <w:bCs/>
                <w:sz w:val="24"/>
              </w:rPr>
              <w:t>现状</w:t>
            </w:r>
          </w:p>
          <w:p w14:paraId="3EE92061">
            <w:pPr>
              <w:spacing w:line="500" w:lineRule="atLeast"/>
              <w:ind w:firstLine="480" w:firstLineChars="200"/>
              <w:rPr>
                <w:bCs/>
                <w:sz w:val="24"/>
              </w:rPr>
            </w:pPr>
            <w:r>
              <w:rPr>
                <w:rFonts w:hint="eastAsia"/>
                <w:bCs/>
                <w:sz w:val="24"/>
              </w:rPr>
              <w:t>根据广西壮族自治区</w:t>
            </w:r>
            <w:r>
              <w:rPr>
                <w:rFonts w:hint="eastAsia"/>
                <w:bCs/>
                <w:sz w:val="24"/>
                <w:lang w:eastAsia="zh-CN"/>
              </w:rPr>
              <w:t>生态环境厅</w:t>
            </w:r>
            <w:bookmarkStart w:id="82" w:name="_GoBack"/>
            <w:bookmarkEnd w:id="82"/>
            <w:r>
              <w:rPr>
                <w:rFonts w:hint="eastAsia"/>
                <w:bCs/>
                <w:sz w:val="24"/>
              </w:rPr>
              <w:t>《自治区生态环境厅关于通报2024年设区城市及各县（市、区）环境空气质量的函》（桂环函〔2025〕66号），钦州市基本污染物环境空气质量情况见表3-1。</w:t>
            </w:r>
          </w:p>
          <w:p w14:paraId="67C12A8D">
            <w:pPr>
              <w:pStyle w:val="51"/>
              <w:numPr>
                <w:ilvl w:val="2"/>
                <w:numId w:val="6"/>
              </w:numPr>
              <w:spacing w:line="500" w:lineRule="atLeast"/>
              <w:ind w:firstLineChars="0"/>
              <w:jc w:val="center"/>
              <w:rPr>
                <w:b/>
                <w:sz w:val="24"/>
              </w:rPr>
            </w:pPr>
            <w:r>
              <w:rPr>
                <w:rFonts w:hint="eastAsia"/>
                <w:b/>
                <w:sz w:val="24"/>
              </w:rPr>
              <w:t>区域空气质量现状评价表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603"/>
              <w:gridCol w:w="1231"/>
              <w:gridCol w:w="1155"/>
              <w:gridCol w:w="990"/>
              <w:gridCol w:w="1183"/>
            </w:tblGrid>
            <w:tr w14:paraId="6CF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5D229F64">
                  <w:pPr>
                    <w:spacing w:line="240" w:lineRule="exact"/>
                    <w:jc w:val="center"/>
                    <w:rPr>
                      <w:szCs w:val="21"/>
                    </w:rPr>
                  </w:pPr>
                  <w:r>
                    <w:rPr>
                      <w:szCs w:val="21"/>
                    </w:rPr>
                    <w:t>污染物</w:t>
                  </w:r>
                </w:p>
              </w:tc>
              <w:tc>
                <w:tcPr>
                  <w:tcW w:w="2772" w:type="dxa"/>
                  <w:tcBorders>
                    <w:top w:val="single" w:color="auto" w:sz="4" w:space="0"/>
                    <w:left w:val="single" w:color="auto" w:sz="4" w:space="0"/>
                    <w:bottom w:val="single" w:color="auto" w:sz="4" w:space="0"/>
                    <w:right w:val="single" w:color="auto" w:sz="4" w:space="0"/>
                  </w:tcBorders>
                  <w:vAlign w:val="center"/>
                </w:tcPr>
                <w:p w14:paraId="38C291F7">
                  <w:pPr>
                    <w:spacing w:line="240" w:lineRule="exact"/>
                    <w:jc w:val="center"/>
                    <w:rPr>
                      <w:szCs w:val="21"/>
                    </w:rPr>
                  </w:pPr>
                  <w:r>
                    <w:rPr>
                      <w:szCs w:val="21"/>
                    </w:rPr>
                    <w:t>年评价指标</w:t>
                  </w:r>
                </w:p>
              </w:tc>
              <w:tc>
                <w:tcPr>
                  <w:tcW w:w="1302" w:type="dxa"/>
                  <w:tcBorders>
                    <w:top w:val="single" w:color="auto" w:sz="4" w:space="0"/>
                    <w:left w:val="single" w:color="auto" w:sz="4" w:space="0"/>
                    <w:bottom w:val="single" w:color="auto" w:sz="4" w:space="0"/>
                    <w:right w:val="single" w:color="auto" w:sz="4" w:space="0"/>
                  </w:tcBorders>
                  <w:vAlign w:val="center"/>
                </w:tcPr>
                <w:p w14:paraId="60EA78B5">
                  <w:pPr>
                    <w:spacing w:line="240" w:lineRule="exact"/>
                    <w:jc w:val="center"/>
                    <w:rPr>
                      <w:szCs w:val="21"/>
                    </w:rPr>
                  </w:pPr>
                  <w:r>
                    <w:rPr>
                      <w:szCs w:val="21"/>
                    </w:rPr>
                    <w:t>现状浓度</w:t>
                  </w:r>
                </w:p>
                <w:p w14:paraId="32706DE3">
                  <w:pPr>
                    <w:spacing w:line="240" w:lineRule="exact"/>
                    <w:jc w:val="center"/>
                    <w:rPr>
                      <w:szCs w:val="21"/>
                    </w:rPr>
                  </w:pPr>
                  <w:r>
                    <w:rPr>
                      <w:rFonts w:hint="eastAsia"/>
                      <w:szCs w:val="21"/>
                    </w:rPr>
                    <w:t>(</w:t>
                  </w:r>
                  <w:r>
                    <w:rPr>
                      <w:szCs w:val="21"/>
                    </w:rPr>
                    <w:t>μg/m</w:t>
                  </w:r>
                  <w:r>
                    <w:rPr>
                      <w:szCs w:val="21"/>
                      <w:vertAlign w:val="superscript"/>
                    </w:rPr>
                    <w:t>3</w:t>
                  </w:r>
                  <w:r>
                    <w:rPr>
                      <w:szCs w:val="21"/>
                    </w:rPr>
                    <w:t>）</w:t>
                  </w:r>
                </w:p>
              </w:tc>
              <w:tc>
                <w:tcPr>
                  <w:tcW w:w="1221" w:type="dxa"/>
                  <w:tcBorders>
                    <w:top w:val="single" w:color="auto" w:sz="4" w:space="0"/>
                    <w:left w:val="single" w:color="auto" w:sz="4" w:space="0"/>
                    <w:bottom w:val="single" w:color="auto" w:sz="4" w:space="0"/>
                    <w:right w:val="single" w:color="auto" w:sz="4" w:space="0"/>
                  </w:tcBorders>
                  <w:vAlign w:val="center"/>
                </w:tcPr>
                <w:p w14:paraId="22929485">
                  <w:pPr>
                    <w:spacing w:line="240" w:lineRule="exact"/>
                    <w:jc w:val="center"/>
                    <w:rPr>
                      <w:szCs w:val="21"/>
                    </w:rPr>
                  </w:pPr>
                  <w:r>
                    <w:rPr>
                      <w:szCs w:val="21"/>
                    </w:rPr>
                    <w:t>标准值（μg/m</w:t>
                  </w:r>
                  <w:r>
                    <w:rPr>
                      <w:szCs w:val="21"/>
                      <w:vertAlign w:val="superscript"/>
                    </w:rPr>
                    <w:t>3</w:t>
                  </w:r>
                  <w:r>
                    <w:rPr>
                      <w:szCs w:val="21"/>
                    </w:rPr>
                    <w:t>）</w:t>
                  </w:r>
                </w:p>
              </w:tc>
              <w:tc>
                <w:tcPr>
                  <w:tcW w:w="1044" w:type="dxa"/>
                  <w:tcBorders>
                    <w:top w:val="single" w:color="auto" w:sz="4" w:space="0"/>
                    <w:left w:val="single" w:color="auto" w:sz="4" w:space="0"/>
                    <w:bottom w:val="single" w:color="auto" w:sz="4" w:space="0"/>
                    <w:right w:val="single" w:color="auto" w:sz="4" w:space="0"/>
                  </w:tcBorders>
                  <w:vAlign w:val="center"/>
                </w:tcPr>
                <w:p w14:paraId="08A975CC">
                  <w:pPr>
                    <w:spacing w:line="240" w:lineRule="exact"/>
                    <w:jc w:val="center"/>
                    <w:rPr>
                      <w:szCs w:val="21"/>
                    </w:rPr>
                  </w:pPr>
                  <w:r>
                    <w:rPr>
                      <w:szCs w:val="21"/>
                    </w:rPr>
                    <w:t>占标率（%）</w:t>
                  </w:r>
                </w:p>
              </w:tc>
              <w:tc>
                <w:tcPr>
                  <w:tcW w:w="1251" w:type="dxa"/>
                  <w:tcBorders>
                    <w:top w:val="single" w:color="auto" w:sz="4" w:space="0"/>
                    <w:left w:val="single" w:color="auto" w:sz="4" w:space="0"/>
                    <w:bottom w:val="single" w:color="auto" w:sz="4" w:space="0"/>
                    <w:right w:val="single" w:color="auto" w:sz="4" w:space="0"/>
                  </w:tcBorders>
                  <w:vAlign w:val="center"/>
                </w:tcPr>
                <w:p w14:paraId="25EAC6E8">
                  <w:pPr>
                    <w:spacing w:line="240" w:lineRule="exact"/>
                    <w:jc w:val="center"/>
                    <w:rPr>
                      <w:szCs w:val="21"/>
                    </w:rPr>
                  </w:pPr>
                  <w:r>
                    <w:rPr>
                      <w:szCs w:val="21"/>
                    </w:rPr>
                    <w:t>达标情况</w:t>
                  </w:r>
                </w:p>
              </w:tc>
            </w:tr>
            <w:tr w14:paraId="4129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3AC44B17">
                  <w:pPr>
                    <w:spacing w:line="240" w:lineRule="exact"/>
                    <w:jc w:val="center"/>
                    <w:rPr>
                      <w:szCs w:val="21"/>
                    </w:rPr>
                  </w:pPr>
                  <w:r>
                    <w:rPr>
                      <w:szCs w:val="21"/>
                    </w:rPr>
                    <w:t>SO</w:t>
                  </w:r>
                  <w:r>
                    <w:rPr>
                      <w:szCs w:val="21"/>
                      <w:vertAlign w:val="subscript"/>
                    </w:rPr>
                    <w:t>2</w:t>
                  </w:r>
                </w:p>
              </w:tc>
              <w:tc>
                <w:tcPr>
                  <w:tcW w:w="2772" w:type="dxa"/>
                  <w:tcBorders>
                    <w:top w:val="single" w:color="auto" w:sz="4" w:space="0"/>
                    <w:left w:val="single" w:color="auto" w:sz="4" w:space="0"/>
                    <w:bottom w:val="single" w:color="auto" w:sz="4" w:space="0"/>
                    <w:right w:val="single" w:color="auto" w:sz="4" w:space="0"/>
                  </w:tcBorders>
                  <w:vAlign w:val="center"/>
                </w:tcPr>
                <w:p w14:paraId="07BC7BEA">
                  <w:pPr>
                    <w:spacing w:line="240" w:lineRule="exact"/>
                    <w:jc w:val="center"/>
                    <w:rPr>
                      <w:szCs w:val="21"/>
                    </w:rPr>
                  </w:pPr>
                  <w:r>
                    <w:rPr>
                      <w:szCs w:val="21"/>
                    </w:rPr>
                    <w:t>年平均质量浓度</w:t>
                  </w:r>
                </w:p>
              </w:tc>
              <w:tc>
                <w:tcPr>
                  <w:tcW w:w="1302" w:type="dxa"/>
                  <w:tcBorders>
                    <w:top w:val="single" w:color="auto" w:sz="4" w:space="0"/>
                    <w:left w:val="single" w:color="auto" w:sz="4" w:space="0"/>
                    <w:bottom w:val="single" w:color="auto" w:sz="4" w:space="0"/>
                    <w:right w:val="single" w:color="auto" w:sz="4" w:space="0"/>
                  </w:tcBorders>
                  <w:vAlign w:val="center"/>
                </w:tcPr>
                <w:p w14:paraId="726463AD">
                  <w:pPr>
                    <w:widowControl/>
                    <w:autoSpaceDE w:val="0"/>
                    <w:autoSpaceDN w:val="0"/>
                    <w:adjustRightInd w:val="0"/>
                    <w:snapToGrid w:val="0"/>
                    <w:spacing w:line="0" w:lineRule="atLeast"/>
                    <w:jc w:val="center"/>
                    <w:rPr>
                      <w:color w:val="000000"/>
                      <w:szCs w:val="21"/>
                    </w:rPr>
                  </w:pPr>
                  <w:r>
                    <w:rPr>
                      <w:color w:val="000000"/>
                      <w:spacing w:val="10"/>
                      <w:szCs w:val="21"/>
                    </w:rPr>
                    <w:t>8</w:t>
                  </w:r>
                </w:p>
              </w:tc>
              <w:tc>
                <w:tcPr>
                  <w:tcW w:w="1221" w:type="dxa"/>
                  <w:tcBorders>
                    <w:top w:val="single" w:color="auto" w:sz="4" w:space="0"/>
                    <w:left w:val="single" w:color="auto" w:sz="4" w:space="0"/>
                    <w:bottom w:val="single" w:color="auto" w:sz="4" w:space="0"/>
                    <w:right w:val="single" w:color="auto" w:sz="4" w:space="0"/>
                  </w:tcBorders>
                  <w:vAlign w:val="center"/>
                </w:tcPr>
                <w:p w14:paraId="23525D5F">
                  <w:pPr>
                    <w:widowControl/>
                    <w:autoSpaceDE w:val="0"/>
                    <w:autoSpaceDN w:val="0"/>
                    <w:adjustRightInd w:val="0"/>
                    <w:snapToGrid w:val="0"/>
                    <w:spacing w:line="0" w:lineRule="atLeast"/>
                    <w:jc w:val="center"/>
                    <w:rPr>
                      <w:color w:val="000000"/>
                      <w:szCs w:val="21"/>
                    </w:rPr>
                  </w:pPr>
                  <w:r>
                    <w:rPr>
                      <w:color w:val="000000"/>
                      <w:spacing w:val="10"/>
                      <w:szCs w:val="21"/>
                    </w:rPr>
                    <w:t>60</w:t>
                  </w:r>
                </w:p>
              </w:tc>
              <w:tc>
                <w:tcPr>
                  <w:tcW w:w="1044" w:type="dxa"/>
                  <w:tcBorders>
                    <w:top w:val="single" w:color="auto" w:sz="4" w:space="0"/>
                    <w:left w:val="single" w:color="auto" w:sz="4" w:space="0"/>
                    <w:bottom w:val="single" w:color="auto" w:sz="4" w:space="0"/>
                    <w:right w:val="single" w:color="auto" w:sz="4" w:space="0"/>
                  </w:tcBorders>
                  <w:vAlign w:val="center"/>
                </w:tcPr>
                <w:p w14:paraId="70D5C318">
                  <w:pPr>
                    <w:widowControl/>
                    <w:autoSpaceDE w:val="0"/>
                    <w:autoSpaceDN w:val="0"/>
                    <w:adjustRightInd w:val="0"/>
                    <w:snapToGrid w:val="0"/>
                    <w:spacing w:line="0" w:lineRule="atLeast"/>
                    <w:jc w:val="center"/>
                    <w:rPr>
                      <w:color w:val="000000"/>
                      <w:szCs w:val="21"/>
                    </w:rPr>
                  </w:pPr>
                  <w:r>
                    <w:rPr>
                      <w:color w:val="000000"/>
                      <w:spacing w:val="10"/>
                      <w:szCs w:val="21"/>
                    </w:rPr>
                    <w:t>13.3</w:t>
                  </w:r>
                </w:p>
              </w:tc>
              <w:tc>
                <w:tcPr>
                  <w:tcW w:w="1251" w:type="dxa"/>
                  <w:tcBorders>
                    <w:top w:val="single" w:color="auto" w:sz="4" w:space="0"/>
                    <w:left w:val="single" w:color="auto" w:sz="4" w:space="0"/>
                    <w:bottom w:val="single" w:color="auto" w:sz="4" w:space="0"/>
                    <w:right w:val="single" w:color="auto" w:sz="4" w:space="0"/>
                  </w:tcBorders>
                  <w:vAlign w:val="center"/>
                </w:tcPr>
                <w:p w14:paraId="6EFF85A6">
                  <w:pPr>
                    <w:spacing w:line="240" w:lineRule="exact"/>
                    <w:jc w:val="center"/>
                    <w:rPr>
                      <w:szCs w:val="21"/>
                    </w:rPr>
                  </w:pPr>
                  <w:r>
                    <w:rPr>
                      <w:szCs w:val="21"/>
                    </w:rPr>
                    <w:t>达标</w:t>
                  </w:r>
                </w:p>
              </w:tc>
            </w:tr>
            <w:tr w14:paraId="6598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06EE96B0">
                  <w:pPr>
                    <w:spacing w:line="240" w:lineRule="exact"/>
                    <w:jc w:val="center"/>
                    <w:rPr>
                      <w:szCs w:val="21"/>
                    </w:rPr>
                  </w:pPr>
                  <w:r>
                    <w:rPr>
                      <w:szCs w:val="21"/>
                    </w:rPr>
                    <w:t>NO</w:t>
                  </w:r>
                  <w:r>
                    <w:rPr>
                      <w:szCs w:val="21"/>
                      <w:vertAlign w:val="subscript"/>
                    </w:rPr>
                    <w:t>2</w:t>
                  </w:r>
                </w:p>
              </w:tc>
              <w:tc>
                <w:tcPr>
                  <w:tcW w:w="2772" w:type="dxa"/>
                  <w:tcBorders>
                    <w:top w:val="single" w:color="auto" w:sz="4" w:space="0"/>
                    <w:left w:val="single" w:color="auto" w:sz="4" w:space="0"/>
                    <w:bottom w:val="single" w:color="auto" w:sz="4" w:space="0"/>
                    <w:right w:val="single" w:color="auto" w:sz="4" w:space="0"/>
                  </w:tcBorders>
                  <w:vAlign w:val="center"/>
                </w:tcPr>
                <w:p w14:paraId="1C5B8235">
                  <w:pPr>
                    <w:spacing w:line="240" w:lineRule="exact"/>
                    <w:jc w:val="center"/>
                    <w:rPr>
                      <w:szCs w:val="21"/>
                    </w:rPr>
                  </w:pPr>
                  <w:r>
                    <w:rPr>
                      <w:szCs w:val="21"/>
                    </w:rPr>
                    <w:t>年平均质量浓度</w:t>
                  </w:r>
                </w:p>
              </w:tc>
              <w:tc>
                <w:tcPr>
                  <w:tcW w:w="1302" w:type="dxa"/>
                  <w:tcBorders>
                    <w:top w:val="single" w:color="auto" w:sz="4" w:space="0"/>
                    <w:left w:val="single" w:color="auto" w:sz="4" w:space="0"/>
                    <w:bottom w:val="single" w:color="auto" w:sz="4" w:space="0"/>
                    <w:right w:val="single" w:color="auto" w:sz="4" w:space="0"/>
                  </w:tcBorders>
                  <w:vAlign w:val="center"/>
                </w:tcPr>
                <w:p w14:paraId="30DFDF6C">
                  <w:pPr>
                    <w:widowControl/>
                    <w:autoSpaceDE w:val="0"/>
                    <w:autoSpaceDN w:val="0"/>
                    <w:adjustRightInd w:val="0"/>
                    <w:snapToGrid w:val="0"/>
                    <w:spacing w:line="0" w:lineRule="atLeast"/>
                    <w:jc w:val="center"/>
                    <w:rPr>
                      <w:color w:val="000000"/>
                      <w:szCs w:val="21"/>
                    </w:rPr>
                  </w:pPr>
                  <w:r>
                    <w:rPr>
                      <w:color w:val="000000"/>
                      <w:spacing w:val="10"/>
                      <w:szCs w:val="21"/>
                    </w:rPr>
                    <w:t>19</w:t>
                  </w:r>
                </w:p>
              </w:tc>
              <w:tc>
                <w:tcPr>
                  <w:tcW w:w="1221" w:type="dxa"/>
                  <w:tcBorders>
                    <w:top w:val="single" w:color="auto" w:sz="4" w:space="0"/>
                    <w:left w:val="single" w:color="auto" w:sz="4" w:space="0"/>
                    <w:bottom w:val="single" w:color="auto" w:sz="4" w:space="0"/>
                    <w:right w:val="single" w:color="auto" w:sz="4" w:space="0"/>
                  </w:tcBorders>
                  <w:vAlign w:val="center"/>
                </w:tcPr>
                <w:p w14:paraId="1B22BEB9">
                  <w:pPr>
                    <w:widowControl/>
                    <w:autoSpaceDE w:val="0"/>
                    <w:autoSpaceDN w:val="0"/>
                    <w:adjustRightInd w:val="0"/>
                    <w:snapToGrid w:val="0"/>
                    <w:spacing w:line="0" w:lineRule="atLeast"/>
                    <w:jc w:val="center"/>
                    <w:rPr>
                      <w:color w:val="000000"/>
                      <w:szCs w:val="21"/>
                    </w:rPr>
                  </w:pPr>
                  <w:r>
                    <w:rPr>
                      <w:color w:val="000000"/>
                      <w:spacing w:val="10"/>
                      <w:szCs w:val="21"/>
                    </w:rPr>
                    <w:t>40</w:t>
                  </w:r>
                </w:p>
              </w:tc>
              <w:tc>
                <w:tcPr>
                  <w:tcW w:w="1044" w:type="dxa"/>
                  <w:tcBorders>
                    <w:top w:val="single" w:color="auto" w:sz="4" w:space="0"/>
                    <w:left w:val="single" w:color="auto" w:sz="4" w:space="0"/>
                    <w:bottom w:val="single" w:color="auto" w:sz="4" w:space="0"/>
                    <w:right w:val="single" w:color="auto" w:sz="4" w:space="0"/>
                  </w:tcBorders>
                  <w:vAlign w:val="center"/>
                </w:tcPr>
                <w:p w14:paraId="47E5AAD7">
                  <w:pPr>
                    <w:widowControl/>
                    <w:autoSpaceDE w:val="0"/>
                    <w:autoSpaceDN w:val="0"/>
                    <w:adjustRightInd w:val="0"/>
                    <w:snapToGrid w:val="0"/>
                    <w:spacing w:line="0" w:lineRule="atLeast"/>
                    <w:jc w:val="center"/>
                    <w:rPr>
                      <w:color w:val="000000"/>
                      <w:szCs w:val="21"/>
                    </w:rPr>
                  </w:pPr>
                  <w:r>
                    <w:rPr>
                      <w:color w:val="000000"/>
                      <w:spacing w:val="10"/>
                      <w:szCs w:val="21"/>
                    </w:rPr>
                    <w:t>47.5</w:t>
                  </w:r>
                </w:p>
              </w:tc>
              <w:tc>
                <w:tcPr>
                  <w:tcW w:w="1251" w:type="dxa"/>
                  <w:tcBorders>
                    <w:top w:val="single" w:color="auto" w:sz="4" w:space="0"/>
                    <w:left w:val="single" w:color="auto" w:sz="4" w:space="0"/>
                    <w:bottom w:val="single" w:color="auto" w:sz="4" w:space="0"/>
                    <w:right w:val="single" w:color="auto" w:sz="4" w:space="0"/>
                  </w:tcBorders>
                  <w:vAlign w:val="center"/>
                </w:tcPr>
                <w:p w14:paraId="53ADFED2">
                  <w:pPr>
                    <w:spacing w:line="240" w:lineRule="exact"/>
                    <w:jc w:val="center"/>
                    <w:rPr>
                      <w:szCs w:val="21"/>
                    </w:rPr>
                  </w:pPr>
                  <w:r>
                    <w:rPr>
                      <w:szCs w:val="21"/>
                    </w:rPr>
                    <w:t>达标</w:t>
                  </w:r>
                </w:p>
              </w:tc>
            </w:tr>
            <w:tr w14:paraId="0E00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074F858A">
                  <w:pPr>
                    <w:spacing w:line="240" w:lineRule="exact"/>
                    <w:jc w:val="center"/>
                    <w:rPr>
                      <w:szCs w:val="21"/>
                    </w:rPr>
                  </w:pPr>
                  <w:r>
                    <w:rPr>
                      <w:szCs w:val="21"/>
                    </w:rPr>
                    <w:t>CO</w:t>
                  </w:r>
                </w:p>
              </w:tc>
              <w:tc>
                <w:tcPr>
                  <w:tcW w:w="2772" w:type="dxa"/>
                  <w:tcBorders>
                    <w:top w:val="single" w:color="auto" w:sz="4" w:space="0"/>
                    <w:left w:val="single" w:color="auto" w:sz="4" w:space="0"/>
                    <w:bottom w:val="single" w:color="auto" w:sz="4" w:space="0"/>
                    <w:right w:val="single" w:color="auto" w:sz="4" w:space="0"/>
                  </w:tcBorders>
                  <w:vAlign w:val="center"/>
                </w:tcPr>
                <w:p w14:paraId="45FFD0F8">
                  <w:pPr>
                    <w:spacing w:line="240" w:lineRule="exact"/>
                    <w:jc w:val="center"/>
                    <w:rPr>
                      <w:szCs w:val="21"/>
                    </w:rPr>
                  </w:pPr>
                  <w:r>
                    <w:rPr>
                      <w:szCs w:val="21"/>
                    </w:rPr>
                    <w:t>24小时平均第95位百分位数</w:t>
                  </w:r>
                </w:p>
              </w:tc>
              <w:tc>
                <w:tcPr>
                  <w:tcW w:w="1302" w:type="dxa"/>
                  <w:tcBorders>
                    <w:top w:val="single" w:color="auto" w:sz="4" w:space="0"/>
                    <w:left w:val="single" w:color="auto" w:sz="4" w:space="0"/>
                    <w:bottom w:val="single" w:color="auto" w:sz="4" w:space="0"/>
                    <w:right w:val="single" w:color="auto" w:sz="4" w:space="0"/>
                  </w:tcBorders>
                  <w:vAlign w:val="center"/>
                </w:tcPr>
                <w:p w14:paraId="15B36AC4">
                  <w:pPr>
                    <w:widowControl/>
                    <w:autoSpaceDE w:val="0"/>
                    <w:autoSpaceDN w:val="0"/>
                    <w:adjustRightInd w:val="0"/>
                    <w:snapToGrid w:val="0"/>
                    <w:spacing w:line="0" w:lineRule="atLeast"/>
                    <w:jc w:val="center"/>
                    <w:rPr>
                      <w:color w:val="000000"/>
                      <w:szCs w:val="21"/>
                    </w:rPr>
                  </w:pPr>
                  <w:r>
                    <w:rPr>
                      <w:color w:val="000000"/>
                      <w:spacing w:val="10"/>
                      <w:szCs w:val="21"/>
                    </w:rPr>
                    <w:t>1100</w:t>
                  </w:r>
                </w:p>
              </w:tc>
              <w:tc>
                <w:tcPr>
                  <w:tcW w:w="1221" w:type="dxa"/>
                  <w:tcBorders>
                    <w:top w:val="single" w:color="auto" w:sz="4" w:space="0"/>
                    <w:left w:val="single" w:color="auto" w:sz="4" w:space="0"/>
                    <w:bottom w:val="single" w:color="auto" w:sz="4" w:space="0"/>
                    <w:right w:val="single" w:color="auto" w:sz="4" w:space="0"/>
                  </w:tcBorders>
                  <w:vAlign w:val="center"/>
                </w:tcPr>
                <w:p w14:paraId="7B7F2B14">
                  <w:pPr>
                    <w:widowControl/>
                    <w:autoSpaceDE w:val="0"/>
                    <w:autoSpaceDN w:val="0"/>
                    <w:adjustRightInd w:val="0"/>
                    <w:snapToGrid w:val="0"/>
                    <w:spacing w:line="0" w:lineRule="atLeast"/>
                    <w:jc w:val="center"/>
                    <w:rPr>
                      <w:color w:val="000000"/>
                      <w:szCs w:val="21"/>
                    </w:rPr>
                  </w:pPr>
                  <w:r>
                    <w:rPr>
                      <w:color w:val="000000"/>
                      <w:spacing w:val="10"/>
                      <w:szCs w:val="21"/>
                    </w:rPr>
                    <w:t>4000</w:t>
                  </w:r>
                </w:p>
              </w:tc>
              <w:tc>
                <w:tcPr>
                  <w:tcW w:w="1044" w:type="dxa"/>
                  <w:tcBorders>
                    <w:top w:val="single" w:color="auto" w:sz="4" w:space="0"/>
                    <w:left w:val="single" w:color="auto" w:sz="4" w:space="0"/>
                    <w:bottom w:val="single" w:color="auto" w:sz="4" w:space="0"/>
                    <w:right w:val="single" w:color="auto" w:sz="4" w:space="0"/>
                  </w:tcBorders>
                  <w:vAlign w:val="center"/>
                </w:tcPr>
                <w:p w14:paraId="12EE0674">
                  <w:pPr>
                    <w:widowControl/>
                    <w:autoSpaceDE w:val="0"/>
                    <w:autoSpaceDN w:val="0"/>
                    <w:adjustRightInd w:val="0"/>
                    <w:snapToGrid w:val="0"/>
                    <w:spacing w:line="0" w:lineRule="atLeast"/>
                    <w:jc w:val="center"/>
                    <w:rPr>
                      <w:color w:val="000000"/>
                      <w:szCs w:val="21"/>
                    </w:rPr>
                  </w:pPr>
                  <w:r>
                    <w:rPr>
                      <w:color w:val="000000"/>
                      <w:spacing w:val="10"/>
                      <w:szCs w:val="21"/>
                    </w:rPr>
                    <w:t>27.5</w:t>
                  </w:r>
                </w:p>
              </w:tc>
              <w:tc>
                <w:tcPr>
                  <w:tcW w:w="1251" w:type="dxa"/>
                  <w:tcBorders>
                    <w:top w:val="single" w:color="auto" w:sz="4" w:space="0"/>
                    <w:left w:val="single" w:color="auto" w:sz="4" w:space="0"/>
                    <w:bottom w:val="single" w:color="auto" w:sz="4" w:space="0"/>
                    <w:right w:val="single" w:color="auto" w:sz="4" w:space="0"/>
                  </w:tcBorders>
                  <w:vAlign w:val="center"/>
                </w:tcPr>
                <w:p w14:paraId="4FDD2E5B">
                  <w:pPr>
                    <w:spacing w:line="240" w:lineRule="exact"/>
                    <w:jc w:val="center"/>
                    <w:rPr>
                      <w:szCs w:val="21"/>
                    </w:rPr>
                  </w:pPr>
                  <w:r>
                    <w:rPr>
                      <w:szCs w:val="21"/>
                    </w:rPr>
                    <w:t>达标</w:t>
                  </w:r>
                </w:p>
              </w:tc>
            </w:tr>
            <w:tr w14:paraId="5DC6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7C28A5D8">
                  <w:pPr>
                    <w:spacing w:line="240" w:lineRule="exact"/>
                    <w:jc w:val="center"/>
                    <w:rPr>
                      <w:szCs w:val="21"/>
                    </w:rPr>
                  </w:pPr>
                  <w:r>
                    <w:rPr>
                      <w:szCs w:val="21"/>
                    </w:rPr>
                    <w:t>O</w:t>
                  </w:r>
                  <w:r>
                    <w:rPr>
                      <w:szCs w:val="21"/>
                      <w:vertAlign w:val="subscript"/>
                    </w:rPr>
                    <w:t>3</w:t>
                  </w:r>
                </w:p>
              </w:tc>
              <w:tc>
                <w:tcPr>
                  <w:tcW w:w="2772" w:type="dxa"/>
                  <w:tcBorders>
                    <w:top w:val="single" w:color="auto" w:sz="4" w:space="0"/>
                    <w:left w:val="single" w:color="auto" w:sz="4" w:space="0"/>
                    <w:bottom w:val="single" w:color="auto" w:sz="4" w:space="0"/>
                    <w:right w:val="single" w:color="auto" w:sz="4" w:space="0"/>
                  </w:tcBorders>
                  <w:vAlign w:val="center"/>
                </w:tcPr>
                <w:p w14:paraId="3AF3CE06">
                  <w:pPr>
                    <w:spacing w:line="240" w:lineRule="exact"/>
                    <w:jc w:val="center"/>
                    <w:rPr>
                      <w:szCs w:val="21"/>
                    </w:rPr>
                  </w:pPr>
                  <w:r>
                    <w:rPr>
                      <w:szCs w:val="21"/>
                    </w:rPr>
                    <w:t>日最大8小时滑动平均值的第90百分位数</w:t>
                  </w:r>
                </w:p>
              </w:tc>
              <w:tc>
                <w:tcPr>
                  <w:tcW w:w="1302" w:type="dxa"/>
                  <w:tcBorders>
                    <w:top w:val="single" w:color="auto" w:sz="4" w:space="0"/>
                    <w:left w:val="single" w:color="auto" w:sz="4" w:space="0"/>
                    <w:bottom w:val="single" w:color="auto" w:sz="4" w:space="0"/>
                    <w:right w:val="single" w:color="auto" w:sz="4" w:space="0"/>
                  </w:tcBorders>
                  <w:vAlign w:val="center"/>
                </w:tcPr>
                <w:p w14:paraId="4438B281">
                  <w:pPr>
                    <w:widowControl/>
                    <w:autoSpaceDE w:val="0"/>
                    <w:autoSpaceDN w:val="0"/>
                    <w:adjustRightInd w:val="0"/>
                    <w:snapToGrid w:val="0"/>
                    <w:spacing w:line="0" w:lineRule="atLeast"/>
                    <w:jc w:val="center"/>
                    <w:rPr>
                      <w:rFonts w:hint="default" w:eastAsia="宋体"/>
                      <w:color w:val="000000"/>
                      <w:szCs w:val="21"/>
                      <w:lang w:val="en-US" w:eastAsia="zh-CN"/>
                    </w:rPr>
                  </w:pPr>
                  <w:r>
                    <w:rPr>
                      <w:rFonts w:hint="eastAsia"/>
                      <w:color w:val="000000"/>
                      <w:spacing w:val="10"/>
                      <w:szCs w:val="21"/>
                      <w:lang w:val="en-US" w:eastAsia="zh-CN"/>
                    </w:rPr>
                    <w:t>125</w:t>
                  </w:r>
                </w:p>
              </w:tc>
              <w:tc>
                <w:tcPr>
                  <w:tcW w:w="1221" w:type="dxa"/>
                  <w:tcBorders>
                    <w:top w:val="single" w:color="auto" w:sz="4" w:space="0"/>
                    <w:left w:val="single" w:color="auto" w:sz="4" w:space="0"/>
                    <w:bottom w:val="single" w:color="auto" w:sz="4" w:space="0"/>
                    <w:right w:val="single" w:color="auto" w:sz="4" w:space="0"/>
                  </w:tcBorders>
                  <w:vAlign w:val="center"/>
                </w:tcPr>
                <w:p w14:paraId="72CE02F1">
                  <w:pPr>
                    <w:widowControl/>
                    <w:autoSpaceDE w:val="0"/>
                    <w:autoSpaceDN w:val="0"/>
                    <w:adjustRightInd w:val="0"/>
                    <w:snapToGrid w:val="0"/>
                    <w:spacing w:line="0" w:lineRule="atLeast"/>
                    <w:jc w:val="center"/>
                    <w:rPr>
                      <w:color w:val="000000"/>
                      <w:szCs w:val="21"/>
                    </w:rPr>
                  </w:pPr>
                  <w:r>
                    <w:rPr>
                      <w:color w:val="000000"/>
                      <w:spacing w:val="10"/>
                      <w:szCs w:val="21"/>
                    </w:rPr>
                    <w:t>160</w:t>
                  </w:r>
                </w:p>
              </w:tc>
              <w:tc>
                <w:tcPr>
                  <w:tcW w:w="1044" w:type="dxa"/>
                  <w:tcBorders>
                    <w:top w:val="single" w:color="auto" w:sz="4" w:space="0"/>
                    <w:left w:val="single" w:color="auto" w:sz="4" w:space="0"/>
                    <w:bottom w:val="single" w:color="auto" w:sz="4" w:space="0"/>
                    <w:right w:val="single" w:color="auto" w:sz="4" w:space="0"/>
                  </w:tcBorders>
                  <w:vAlign w:val="center"/>
                </w:tcPr>
                <w:p w14:paraId="1C94724C">
                  <w:pPr>
                    <w:widowControl/>
                    <w:autoSpaceDE w:val="0"/>
                    <w:autoSpaceDN w:val="0"/>
                    <w:adjustRightInd w:val="0"/>
                    <w:snapToGrid w:val="0"/>
                    <w:spacing w:line="0" w:lineRule="atLeast"/>
                    <w:jc w:val="center"/>
                    <w:rPr>
                      <w:rFonts w:hint="default" w:eastAsia="宋体"/>
                      <w:color w:val="000000"/>
                      <w:szCs w:val="21"/>
                      <w:lang w:val="en-US" w:eastAsia="zh-CN"/>
                    </w:rPr>
                  </w:pPr>
                  <w:r>
                    <w:rPr>
                      <w:rFonts w:hint="eastAsia"/>
                      <w:color w:val="000000"/>
                      <w:spacing w:val="10"/>
                      <w:szCs w:val="21"/>
                      <w:lang w:val="en-US" w:eastAsia="zh-CN"/>
                    </w:rPr>
                    <w:t>78.1</w:t>
                  </w:r>
                </w:p>
              </w:tc>
              <w:tc>
                <w:tcPr>
                  <w:tcW w:w="1251" w:type="dxa"/>
                  <w:tcBorders>
                    <w:top w:val="single" w:color="auto" w:sz="4" w:space="0"/>
                    <w:left w:val="single" w:color="auto" w:sz="4" w:space="0"/>
                    <w:bottom w:val="single" w:color="auto" w:sz="4" w:space="0"/>
                    <w:right w:val="single" w:color="auto" w:sz="4" w:space="0"/>
                  </w:tcBorders>
                  <w:vAlign w:val="center"/>
                </w:tcPr>
                <w:p w14:paraId="12AF0626">
                  <w:pPr>
                    <w:spacing w:line="240" w:lineRule="exact"/>
                    <w:jc w:val="center"/>
                    <w:rPr>
                      <w:szCs w:val="21"/>
                    </w:rPr>
                  </w:pPr>
                  <w:r>
                    <w:rPr>
                      <w:szCs w:val="21"/>
                    </w:rPr>
                    <w:t>达标</w:t>
                  </w:r>
                </w:p>
              </w:tc>
            </w:tr>
            <w:tr w14:paraId="6E94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0494C21A">
                  <w:pPr>
                    <w:spacing w:line="240" w:lineRule="exact"/>
                    <w:jc w:val="center"/>
                    <w:rPr>
                      <w:szCs w:val="21"/>
                    </w:rPr>
                  </w:pPr>
                  <w:r>
                    <w:rPr>
                      <w:szCs w:val="21"/>
                    </w:rPr>
                    <w:t>PM</w:t>
                  </w:r>
                  <w:r>
                    <w:rPr>
                      <w:szCs w:val="21"/>
                      <w:vertAlign w:val="subscript"/>
                    </w:rPr>
                    <w:t>10</w:t>
                  </w:r>
                </w:p>
              </w:tc>
              <w:tc>
                <w:tcPr>
                  <w:tcW w:w="2772" w:type="dxa"/>
                  <w:tcBorders>
                    <w:top w:val="single" w:color="auto" w:sz="4" w:space="0"/>
                    <w:left w:val="single" w:color="auto" w:sz="4" w:space="0"/>
                    <w:bottom w:val="single" w:color="auto" w:sz="4" w:space="0"/>
                    <w:right w:val="single" w:color="auto" w:sz="4" w:space="0"/>
                  </w:tcBorders>
                  <w:vAlign w:val="center"/>
                </w:tcPr>
                <w:p w14:paraId="50383F6A">
                  <w:pPr>
                    <w:spacing w:line="240" w:lineRule="exact"/>
                    <w:jc w:val="center"/>
                    <w:rPr>
                      <w:szCs w:val="21"/>
                    </w:rPr>
                  </w:pPr>
                  <w:r>
                    <w:rPr>
                      <w:szCs w:val="21"/>
                    </w:rPr>
                    <w:t>年平均质量浓度</w:t>
                  </w:r>
                </w:p>
              </w:tc>
              <w:tc>
                <w:tcPr>
                  <w:tcW w:w="1302" w:type="dxa"/>
                  <w:tcBorders>
                    <w:top w:val="single" w:color="auto" w:sz="4" w:space="0"/>
                    <w:left w:val="single" w:color="auto" w:sz="4" w:space="0"/>
                    <w:bottom w:val="single" w:color="auto" w:sz="4" w:space="0"/>
                    <w:right w:val="single" w:color="auto" w:sz="4" w:space="0"/>
                  </w:tcBorders>
                  <w:vAlign w:val="center"/>
                </w:tcPr>
                <w:p w14:paraId="2732A8DD">
                  <w:pPr>
                    <w:widowControl/>
                    <w:autoSpaceDE w:val="0"/>
                    <w:autoSpaceDN w:val="0"/>
                    <w:adjustRightInd w:val="0"/>
                    <w:snapToGrid w:val="0"/>
                    <w:spacing w:line="0" w:lineRule="atLeast"/>
                    <w:jc w:val="center"/>
                    <w:rPr>
                      <w:rFonts w:hint="default" w:eastAsia="宋体"/>
                      <w:color w:val="000000"/>
                      <w:szCs w:val="21"/>
                      <w:lang w:val="en-US" w:eastAsia="zh-CN"/>
                    </w:rPr>
                  </w:pPr>
                  <w:r>
                    <w:rPr>
                      <w:rFonts w:hint="eastAsia"/>
                      <w:color w:val="000000"/>
                      <w:spacing w:val="10"/>
                      <w:szCs w:val="21"/>
                      <w:lang w:val="en-US" w:eastAsia="zh-CN"/>
                    </w:rPr>
                    <w:t>47</w:t>
                  </w:r>
                </w:p>
              </w:tc>
              <w:tc>
                <w:tcPr>
                  <w:tcW w:w="1221" w:type="dxa"/>
                  <w:tcBorders>
                    <w:top w:val="single" w:color="auto" w:sz="4" w:space="0"/>
                    <w:left w:val="single" w:color="auto" w:sz="4" w:space="0"/>
                    <w:bottom w:val="single" w:color="auto" w:sz="4" w:space="0"/>
                    <w:right w:val="single" w:color="auto" w:sz="4" w:space="0"/>
                  </w:tcBorders>
                  <w:vAlign w:val="center"/>
                </w:tcPr>
                <w:p w14:paraId="69942C17">
                  <w:pPr>
                    <w:widowControl/>
                    <w:autoSpaceDE w:val="0"/>
                    <w:autoSpaceDN w:val="0"/>
                    <w:adjustRightInd w:val="0"/>
                    <w:snapToGrid w:val="0"/>
                    <w:spacing w:line="0" w:lineRule="atLeast"/>
                    <w:jc w:val="center"/>
                    <w:rPr>
                      <w:color w:val="000000"/>
                      <w:szCs w:val="21"/>
                    </w:rPr>
                  </w:pPr>
                  <w:r>
                    <w:rPr>
                      <w:color w:val="000000"/>
                      <w:spacing w:val="10"/>
                      <w:szCs w:val="21"/>
                    </w:rPr>
                    <w:t>70</w:t>
                  </w:r>
                </w:p>
              </w:tc>
              <w:tc>
                <w:tcPr>
                  <w:tcW w:w="1044" w:type="dxa"/>
                  <w:tcBorders>
                    <w:top w:val="single" w:color="auto" w:sz="4" w:space="0"/>
                    <w:left w:val="single" w:color="auto" w:sz="4" w:space="0"/>
                    <w:bottom w:val="single" w:color="auto" w:sz="4" w:space="0"/>
                    <w:right w:val="single" w:color="auto" w:sz="4" w:space="0"/>
                  </w:tcBorders>
                  <w:vAlign w:val="center"/>
                </w:tcPr>
                <w:p w14:paraId="095A2712">
                  <w:pPr>
                    <w:widowControl/>
                    <w:autoSpaceDE w:val="0"/>
                    <w:autoSpaceDN w:val="0"/>
                    <w:adjustRightInd w:val="0"/>
                    <w:snapToGrid w:val="0"/>
                    <w:spacing w:line="0" w:lineRule="atLeast"/>
                    <w:jc w:val="center"/>
                    <w:rPr>
                      <w:rFonts w:hint="default" w:eastAsia="宋体"/>
                      <w:color w:val="000000"/>
                      <w:szCs w:val="21"/>
                      <w:lang w:val="en-US" w:eastAsia="zh-CN"/>
                    </w:rPr>
                  </w:pPr>
                  <w:r>
                    <w:rPr>
                      <w:rFonts w:hint="eastAsia"/>
                      <w:color w:val="000000"/>
                      <w:spacing w:val="10"/>
                      <w:szCs w:val="21"/>
                      <w:lang w:val="en-US" w:eastAsia="zh-CN"/>
                    </w:rPr>
                    <w:t>67.1</w:t>
                  </w:r>
                </w:p>
              </w:tc>
              <w:tc>
                <w:tcPr>
                  <w:tcW w:w="1251" w:type="dxa"/>
                  <w:tcBorders>
                    <w:top w:val="single" w:color="auto" w:sz="4" w:space="0"/>
                    <w:left w:val="single" w:color="auto" w:sz="4" w:space="0"/>
                    <w:bottom w:val="single" w:color="auto" w:sz="4" w:space="0"/>
                    <w:right w:val="single" w:color="auto" w:sz="4" w:space="0"/>
                  </w:tcBorders>
                  <w:vAlign w:val="center"/>
                </w:tcPr>
                <w:p w14:paraId="6E444DC4">
                  <w:pPr>
                    <w:spacing w:line="240" w:lineRule="exact"/>
                    <w:jc w:val="center"/>
                    <w:rPr>
                      <w:szCs w:val="21"/>
                    </w:rPr>
                  </w:pPr>
                  <w:r>
                    <w:rPr>
                      <w:szCs w:val="21"/>
                    </w:rPr>
                    <w:t>达标</w:t>
                  </w:r>
                </w:p>
              </w:tc>
            </w:tr>
            <w:tr w14:paraId="0042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dxa"/>
                  <w:tcBorders>
                    <w:top w:val="single" w:color="auto" w:sz="4" w:space="0"/>
                    <w:left w:val="single" w:color="auto" w:sz="4" w:space="0"/>
                    <w:bottom w:val="single" w:color="auto" w:sz="4" w:space="0"/>
                    <w:right w:val="single" w:color="auto" w:sz="4" w:space="0"/>
                  </w:tcBorders>
                  <w:vAlign w:val="center"/>
                </w:tcPr>
                <w:p w14:paraId="13EEAC10">
                  <w:pPr>
                    <w:spacing w:line="240" w:lineRule="exact"/>
                    <w:jc w:val="center"/>
                    <w:rPr>
                      <w:szCs w:val="21"/>
                    </w:rPr>
                  </w:pPr>
                  <w:r>
                    <w:rPr>
                      <w:szCs w:val="21"/>
                    </w:rPr>
                    <w:t>PM</w:t>
                  </w:r>
                  <w:r>
                    <w:rPr>
                      <w:szCs w:val="21"/>
                      <w:vertAlign w:val="subscript"/>
                    </w:rPr>
                    <w:t>2.5</w:t>
                  </w:r>
                </w:p>
              </w:tc>
              <w:tc>
                <w:tcPr>
                  <w:tcW w:w="2772" w:type="dxa"/>
                  <w:tcBorders>
                    <w:top w:val="single" w:color="auto" w:sz="4" w:space="0"/>
                    <w:left w:val="single" w:color="auto" w:sz="4" w:space="0"/>
                    <w:bottom w:val="single" w:color="auto" w:sz="4" w:space="0"/>
                    <w:right w:val="single" w:color="auto" w:sz="4" w:space="0"/>
                  </w:tcBorders>
                  <w:vAlign w:val="center"/>
                </w:tcPr>
                <w:p w14:paraId="186BD1C7">
                  <w:pPr>
                    <w:spacing w:line="240" w:lineRule="exact"/>
                    <w:jc w:val="center"/>
                    <w:rPr>
                      <w:szCs w:val="21"/>
                    </w:rPr>
                  </w:pPr>
                  <w:r>
                    <w:rPr>
                      <w:szCs w:val="21"/>
                    </w:rPr>
                    <w:t>年平均质量浓度</w:t>
                  </w:r>
                </w:p>
              </w:tc>
              <w:tc>
                <w:tcPr>
                  <w:tcW w:w="1302" w:type="dxa"/>
                  <w:tcBorders>
                    <w:top w:val="single" w:color="auto" w:sz="4" w:space="0"/>
                    <w:left w:val="single" w:color="auto" w:sz="4" w:space="0"/>
                    <w:bottom w:val="single" w:color="auto" w:sz="4" w:space="0"/>
                    <w:right w:val="single" w:color="auto" w:sz="4" w:space="0"/>
                  </w:tcBorders>
                  <w:vAlign w:val="center"/>
                </w:tcPr>
                <w:p w14:paraId="2216C4D5">
                  <w:pPr>
                    <w:widowControl/>
                    <w:autoSpaceDE w:val="0"/>
                    <w:autoSpaceDN w:val="0"/>
                    <w:adjustRightInd w:val="0"/>
                    <w:snapToGrid w:val="0"/>
                    <w:spacing w:line="0" w:lineRule="atLeast"/>
                    <w:jc w:val="center"/>
                    <w:rPr>
                      <w:rFonts w:hint="eastAsia" w:eastAsia="宋体"/>
                      <w:color w:val="000000"/>
                      <w:szCs w:val="21"/>
                      <w:lang w:eastAsia="zh-CN"/>
                    </w:rPr>
                  </w:pPr>
                  <w:r>
                    <w:rPr>
                      <w:color w:val="000000"/>
                      <w:spacing w:val="10"/>
                      <w:szCs w:val="21"/>
                    </w:rPr>
                    <w:t>24.</w:t>
                  </w:r>
                  <w:r>
                    <w:rPr>
                      <w:rFonts w:hint="eastAsia"/>
                      <w:color w:val="000000"/>
                      <w:spacing w:val="10"/>
                      <w:szCs w:val="21"/>
                      <w:lang w:val="en-US" w:eastAsia="zh-CN"/>
                    </w:rPr>
                    <w:t>6</w:t>
                  </w:r>
                </w:p>
              </w:tc>
              <w:tc>
                <w:tcPr>
                  <w:tcW w:w="1221" w:type="dxa"/>
                  <w:tcBorders>
                    <w:top w:val="single" w:color="auto" w:sz="4" w:space="0"/>
                    <w:left w:val="single" w:color="auto" w:sz="4" w:space="0"/>
                    <w:bottom w:val="single" w:color="auto" w:sz="4" w:space="0"/>
                    <w:right w:val="single" w:color="auto" w:sz="4" w:space="0"/>
                  </w:tcBorders>
                  <w:vAlign w:val="center"/>
                </w:tcPr>
                <w:p w14:paraId="58265FBF">
                  <w:pPr>
                    <w:widowControl/>
                    <w:autoSpaceDE w:val="0"/>
                    <w:autoSpaceDN w:val="0"/>
                    <w:adjustRightInd w:val="0"/>
                    <w:snapToGrid w:val="0"/>
                    <w:spacing w:line="0" w:lineRule="atLeast"/>
                    <w:jc w:val="center"/>
                    <w:rPr>
                      <w:color w:val="000000"/>
                      <w:szCs w:val="21"/>
                    </w:rPr>
                  </w:pPr>
                  <w:r>
                    <w:rPr>
                      <w:color w:val="000000"/>
                      <w:spacing w:val="10"/>
                      <w:szCs w:val="21"/>
                    </w:rPr>
                    <w:t>35</w:t>
                  </w:r>
                </w:p>
              </w:tc>
              <w:tc>
                <w:tcPr>
                  <w:tcW w:w="1044" w:type="dxa"/>
                  <w:tcBorders>
                    <w:top w:val="single" w:color="auto" w:sz="4" w:space="0"/>
                    <w:left w:val="single" w:color="auto" w:sz="4" w:space="0"/>
                    <w:bottom w:val="single" w:color="auto" w:sz="4" w:space="0"/>
                    <w:right w:val="single" w:color="auto" w:sz="4" w:space="0"/>
                  </w:tcBorders>
                  <w:vAlign w:val="center"/>
                </w:tcPr>
                <w:p w14:paraId="35FBD1CA">
                  <w:pPr>
                    <w:widowControl/>
                    <w:autoSpaceDE w:val="0"/>
                    <w:autoSpaceDN w:val="0"/>
                    <w:adjustRightInd w:val="0"/>
                    <w:snapToGrid w:val="0"/>
                    <w:spacing w:line="0" w:lineRule="atLeast"/>
                    <w:jc w:val="center"/>
                    <w:rPr>
                      <w:rFonts w:hint="default" w:eastAsia="宋体"/>
                      <w:color w:val="000000"/>
                      <w:szCs w:val="21"/>
                      <w:lang w:val="en-US" w:eastAsia="zh-CN"/>
                    </w:rPr>
                  </w:pPr>
                  <w:r>
                    <w:rPr>
                      <w:rFonts w:hint="eastAsia"/>
                      <w:color w:val="000000"/>
                      <w:spacing w:val="10"/>
                      <w:szCs w:val="21"/>
                      <w:lang w:val="en-US" w:eastAsia="zh-CN"/>
                    </w:rPr>
                    <w:t>70.3</w:t>
                  </w:r>
                </w:p>
              </w:tc>
              <w:tc>
                <w:tcPr>
                  <w:tcW w:w="1251" w:type="dxa"/>
                  <w:tcBorders>
                    <w:top w:val="single" w:color="auto" w:sz="4" w:space="0"/>
                    <w:left w:val="single" w:color="auto" w:sz="4" w:space="0"/>
                    <w:bottom w:val="single" w:color="auto" w:sz="4" w:space="0"/>
                    <w:right w:val="single" w:color="auto" w:sz="4" w:space="0"/>
                  </w:tcBorders>
                  <w:vAlign w:val="center"/>
                </w:tcPr>
                <w:p w14:paraId="4578F953">
                  <w:pPr>
                    <w:spacing w:line="240" w:lineRule="exact"/>
                    <w:jc w:val="center"/>
                    <w:rPr>
                      <w:szCs w:val="21"/>
                    </w:rPr>
                  </w:pPr>
                  <w:r>
                    <w:rPr>
                      <w:szCs w:val="21"/>
                    </w:rPr>
                    <w:t>达标</w:t>
                  </w:r>
                </w:p>
              </w:tc>
            </w:tr>
          </w:tbl>
          <w:p w14:paraId="7C801F7F">
            <w:pPr>
              <w:spacing w:line="500" w:lineRule="atLeast"/>
              <w:ind w:firstLine="480" w:firstLineChars="200"/>
              <w:rPr>
                <w:rFonts w:hint="eastAsia"/>
                <w:bCs/>
                <w:sz w:val="24"/>
              </w:rPr>
            </w:pPr>
            <w:r>
              <w:rPr>
                <w:rFonts w:hint="eastAsia"/>
                <w:bCs/>
                <w:sz w:val="24"/>
              </w:rPr>
              <w:t>根据表3-1可知，项目所在区域SO</w:t>
            </w:r>
            <w:r>
              <w:rPr>
                <w:rFonts w:hint="eastAsia"/>
                <w:bCs/>
                <w:sz w:val="24"/>
                <w:vertAlign w:val="subscript"/>
              </w:rPr>
              <w:t>2</w:t>
            </w:r>
            <w:r>
              <w:rPr>
                <w:rFonts w:hint="eastAsia"/>
                <w:bCs/>
                <w:sz w:val="24"/>
              </w:rPr>
              <w:t>、NO</w:t>
            </w:r>
            <w:r>
              <w:rPr>
                <w:rFonts w:hint="eastAsia"/>
                <w:bCs/>
                <w:sz w:val="24"/>
                <w:vertAlign w:val="subscript"/>
              </w:rPr>
              <w:t>2</w:t>
            </w:r>
            <w:r>
              <w:rPr>
                <w:rFonts w:hint="eastAsia"/>
                <w:bCs/>
                <w:sz w:val="24"/>
              </w:rPr>
              <w:t>、PM</w:t>
            </w:r>
            <w:r>
              <w:rPr>
                <w:rFonts w:hint="eastAsia"/>
                <w:bCs/>
                <w:sz w:val="24"/>
                <w:vertAlign w:val="subscript"/>
              </w:rPr>
              <w:t>10</w:t>
            </w:r>
            <w:r>
              <w:rPr>
                <w:rFonts w:hint="eastAsia"/>
                <w:bCs/>
                <w:sz w:val="24"/>
              </w:rPr>
              <w:t>、PM</w:t>
            </w:r>
            <w:r>
              <w:rPr>
                <w:rFonts w:hint="eastAsia"/>
                <w:bCs/>
                <w:sz w:val="24"/>
                <w:vertAlign w:val="subscript"/>
              </w:rPr>
              <w:t>2.5</w:t>
            </w:r>
            <w:r>
              <w:rPr>
                <w:rFonts w:hint="eastAsia"/>
                <w:bCs/>
                <w:sz w:val="24"/>
              </w:rPr>
              <w:t>、CO（第95 百分位数）、O</w:t>
            </w:r>
            <w:r>
              <w:rPr>
                <w:rFonts w:hint="eastAsia"/>
                <w:bCs/>
                <w:sz w:val="24"/>
                <w:vertAlign w:val="subscript"/>
              </w:rPr>
              <w:t>3</w:t>
            </w:r>
            <w:r>
              <w:rPr>
                <w:rFonts w:hint="eastAsia"/>
                <w:bCs/>
                <w:sz w:val="24"/>
              </w:rPr>
              <w:t>（第90百分位数）六项污染物排放浓度均达到《环境空气质量标准》（GB3095-2012）二级标准。</w:t>
            </w:r>
          </w:p>
          <w:p w14:paraId="7C6EFCD0">
            <w:pPr>
              <w:spacing w:line="500" w:lineRule="atLeast"/>
              <w:ind w:firstLine="482" w:firstLineChars="200"/>
              <w:rPr>
                <w:rFonts w:hint="eastAsia"/>
                <w:b/>
                <w:bCs w:val="0"/>
                <w:sz w:val="24"/>
                <w:lang w:val="en-US" w:eastAsia="zh-CN"/>
              </w:rPr>
            </w:pPr>
            <w:r>
              <w:rPr>
                <w:rFonts w:hint="eastAsia"/>
                <w:b/>
                <w:bCs w:val="0"/>
                <w:sz w:val="24"/>
                <w:lang w:val="en-US" w:eastAsia="zh-CN"/>
              </w:rPr>
              <w:t>4、其他污染物环境质量现状</w:t>
            </w:r>
          </w:p>
          <w:p w14:paraId="79F4BAD9">
            <w:pPr>
              <w:spacing w:line="500" w:lineRule="atLeast"/>
              <w:ind w:firstLine="480" w:firstLineChars="200"/>
              <w:rPr>
                <w:rFonts w:hint="eastAsia"/>
                <w:bCs/>
                <w:sz w:val="24"/>
              </w:rPr>
            </w:pPr>
            <w:r>
              <w:rPr>
                <w:rFonts w:hint="eastAsia"/>
                <w:bCs/>
                <w:sz w:val="24"/>
              </w:rPr>
              <w:t>本项目特征污染物为</w:t>
            </w:r>
            <w:r>
              <w:rPr>
                <w:rFonts w:hint="eastAsia"/>
                <w:bCs/>
                <w:sz w:val="24"/>
                <w:lang w:val="en-US" w:eastAsia="zh-CN"/>
              </w:rPr>
              <w:t>挥发性有机物</w:t>
            </w:r>
            <w:r>
              <w:rPr>
                <w:rFonts w:hint="eastAsia"/>
                <w:bCs/>
                <w:sz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p>
          <w:p w14:paraId="144EB19D">
            <w:pPr>
              <w:spacing w:line="500" w:lineRule="atLeast"/>
              <w:ind w:firstLine="480" w:firstLineChars="200"/>
              <w:rPr>
                <w:rFonts w:hint="eastAsia"/>
                <w:bCs/>
                <w:sz w:val="24"/>
                <w:u w:val="single"/>
              </w:rPr>
            </w:pPr>
            <w:r>
              <w:rPr>
                <w:rFonts w:hint="eastAsia"/>
                <w:bCs/>
                <w:sz w:val="24"/>
                <w:u w:val="single"/>
              </w:rPr>
              <w:t>为了解区域环境质量现状，</w:t>
            </w:r>
            <w:r>
              <w:rPr>
                <w:rFonts w:hint="eastAsia"/>
                <w:bCs/>
                <w:sz w:val="24"/>
                <w:u w:val="single"/>
                <w:lang w:val="en-US" w:eastAsia="zh-CN"/>
              </w:rPr>
              <w:t>本次评价引用广西华谊新材料有限公司《2万吨/年阻聚剂项目环境影响报告书》中的监测数据（监测公司：广西恒沁检测科技有限公司，监测报告编号：HQHJ24021937），</w:t>
            </w:r>
            <w:r>
              <w:rPr>
                <w:rFonts w:eastAsia="宋体"/>
                <w:color w:val="000000"/>
                <w:spacing w:val="10"/>
                <w:sz w:val="24"/>
                <w:szCs w:val="24"/>
                <w:u w:val="single"/>
              </w:rPr>
              <w:t>监测点位、监测时段</w:t>
            </w:r>
            <w:r>
              <w:rPr>
                <w:rFonts w:hint="eastAsia"/>
                <w:color w:val="000000"/>
                <w:spacing w:val="10"/>
                <w:sz w:val="24"/>
                <w:szCs w:val="24"/>
                <w:u w:val="single"/>
                <w:lang w:val="en-US" w:eastAsia="zh-CN"/>
              </w:rPr>
              <w:t>详</w:t>
            </w:r>
            <w:r>
              <w:rPr>
                <w:rFonts w:eastAsia="宋体"/>
                <w:color w:val="000000"/>
                <w:spacing w:val="10"/>
                <w:sz w:val="24"/>
                <w:szCs w:val="24"/>
                <w:u w:val="single"/>
              </w:rPr>
              <w:t>见</w:t>
            </w:r>
            <w:r>
              <w:rPr>
                <w:rFonts w:hint="eastAsia"/>
                <w:color w:val="000000"/>
                <w:spacing w:val="10"/>
                <w:sz w:val="24"/>
                <w:szCs w:val="24"/>
                <w:u w:val="single"/>
                <w:lang w:val="en-US" w:eastAsia="zh-CN"/>
              </w:rPr>
              <w:t>表3-2，监测结果详见表3-3，</w:t>
            </w:r>
            <w:r>
              <w:rPr>
                <w:rFonts w:hint="eastAsia"/>
                <w:bCs/>
                <w:sz w:val="24"/>
                <w:u w:val="single"/>
              </w:rPr>
              <w:t>引用点位数据监测时间在2024</w:t>
            </w:r>
            <w:r>
              <w:rPr>
                <w:rFonts w:hint="eastAsia"/>
                <w:bCs/>
                <w:sz w:val="24"/>
                <w:u w:val="single"/>
                <w:lang w:val="en-US" w:eastAsia="zh-CN"/>
              </w:rPr>
              <w:t>年2月</w:t>
            </w:r>
            <w:r>
              <w:rPr>
                <w:rFonts w:hint="eastAsia"/>
                <w:bCs/>
                <w:sz w:val="24"/>
                <w:u w:val="single"/>
              </w:rPr>
              <w:t>，监测期间与目前区域</w:t>
            </w:r>
            <w:r>
              <w:rPr>
                <w:rFonts w:hint="eastAsia"/>
                <w:bCs/>
                <w:sz w:val="24"/>
                <w:u w:val="single"/>
                <w:lang w:val="en-US" w:eastAsia="zh-CN"/>
              </w:rPr>
              <w:t>未新增产生挥发性有机物项目，</w:t>
            </w:r>
            <w:r>
              <w:rPr>
                <w:rFonts w:hint="eastAsia"/>
                <w:bCs/>
                <w:sz w:val="24"/>
                <w:u w:val="single"/>
              </w:rPr>
              <w:t>环境空气质量变化不大，仍可表征目前项目所在区域环境质量现状。</w:t>
            </w:r>
          </w:p>
          <w:p w14:paraId="6AE7A0C2">
            <w:pPr>
              <w:pStyle w:val="51"/>
              <w:numPr>
                <w:ilvl w:val="2"/>
                <w:numId w:val="6"/>
              </w:numPr>
              <w:spacing w:line="500" w:lineRule="atLeast"/>
              <w:ind w:firstLineChars="0"/>
              <w:jc w:val="center"/>
              <w:rPr>
                <w:rFonts w:hint="default"/>
                <w:color w:val="000000"/>
                <w:spacing w:val="10"/>
                <w:sz w:val="24"/>
                <w:szCs w:val="24"/>
                <w:lang w:val="en-US" w:eastAsia="zh-CN"/>
              </w:rPr>
            </w:pPr>
            <w:r>
              <w:rPr>
                <w:rFonts w:hint="eastAsia" w:ascii="Times New Roman" w:hAnsi="Times New Roman" w:eastAsia="宋体" w:cs="Times New Roman"/>
                <w:b/>
                <w:sz w:val="24"/>
                <w:lang w:val="en-US" w:eastAsia="zh-CN"/>
              </w:rPr>
              <w:t>引用监测点位基本情况一览表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722"/>
              <w:gridCol w:w="643"/>
              <w:gridCol w:w="1385"/>
              <w:gridCol w:w="1411"/>
              <w:gridCol w:w="1095"/>
              <w:gridCol w:w="1140"/>
              <w:gridCol w:w="1003"/>
            </w:tblGrid>
            <w:tr w14:paraId="54B7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dxa"/>
                  <w:vMerge w:val="restart"/>
                  <w:tcBorders>
                    <w:top w:val="single" w:color="auto" w:sz="4" w:space="0"/>
                    <w:left w:val="single" w:color="auto" w:sz="4" w:space="0"/>
                    <w:bottom w:val="single" w:color="auto" w:sz="4" w:space="0"/>
                    <w:right w:val="single" w:color="auto" w:sz="4" w:space="0"/>
                  </w:tcBorders>
                  <w:noWrap w:val="0"/>
                  <w:vAlign w:val="center"/>
                </w:tcPr>
                <w:p w14:paraId="4A572402">
                  <w:pPr>
                    <w:widowControl/>
                    <w:spacing w:line="240" w:lineRule="exact"/>
                    <w:jc w:val="center"/>
                    <w:rPr>
                      <w:rFonts w:eastAsia="宋体"/>
                      <w:bCs/>
                      <w:color w:val="000000"/>
                      <w:kern w:val="0"/>
                      <w:sz w:val="21"/>
                      <w:szCs w:val="21"/>
                    </w:rPr>
                  </w:pPr>
                  <w:r>
                    <w:rPr>
                      <w:rFonts w:eastAsia="宋体"/>
                      <w:bCs/>
                      <w:color w:val="000000"/>
                      <w:kern w:val="0"/>
                      <w:sz w:val="21"/>
                      <w:szCs w:val="21"/>
                    </w:rPr>
                    <w:t>监测点位</w:t>
                  </w:r>
                </w:p>
              </w:tc>
              <w:tc>
                <w:tcPr>
                  <w:tcW w:w="1365" w:type="dxa"/>
                  <w:gridSpan w:val="2"/>
                  <w:tcBorders>
                    <w:top w:val="single" w:color="auto" w:sz="4" w:space="0"/>
                    <w:left w:val="single" w:color="auto" w:sz="4" w:space="0"/>
                    <w:bottom w:val="single" w:color="auto" w:sz="4" w:space="0"/>
                    <w:right w:val="single" w:color="auto" w:sz="4" w:space="0"/>
                  </w:tcBorders>
                  <w:noWrap w:val="0"/>
                  <w:vAlign w:val="center"/>
                </w:tcPr>
                <w:p w14:paraId="46E30F46">
                  <w:pPr>
                    <w:widowControl/>
                    <w:spacing w:line="240" w:lineRule="exact"/>
                    <w:jc w:val="center"/>
                    <w:rPr>
                      <w:rFonts w:eastAsia="宋体"/>
                      <w:bCs/>
                      <w:color w:val="000000"/>
                      <w:kern w:val="0"/>
                      <w:sz w:val="21"/>
                      <w:szCs w:val="21"/>
                    </w:rPr>
                  </w:pPr>
                  <w:r>
                    <w:rPr>
                      <w:rFonts w:eastAsia="宋体"/>
                      <w:bCs/>
                      <w:color w:val="000000"/>
                      <w:kern w:val="0"/>
                      <w:sz w:val="21"/>
                      <w:szCs w:val="21"/>
                    </w:rPr>
                    <w:t>监测点坐标</w:t>
                  </w:r>
                </w:p>
              </w:tc>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0FFC957B">
                  <w:pPr>
                    <w:widowControl/>
                    <w:spacing w:line="240" w:lineRule="exact"/>
                    <w:jc w:val="center"/>
                    <w:rPr>
                      <w:rFonts w:eastAsia="宋体"/>
                      <w:bCs/>
                      <w:color w:val="000000"/>
                      <w:kern w:val="0"/>
                      <w:sz w:val="21"/>
                      <w:szCs w:val="21"/>
                    </w:rPr>
                  </w:pPr>
                  <w:r>
                    <w:rPr>
                      <w:rFonts w:eastAsia="宋体"/>
                      <w:bCs/>
                      <w:color w:val="000000"/>
                      <w:kern w:val="0"/>
                      <w:sz w:val="21"/>
                      <w:szCs w:val="21"/>
                    </w:rPr>
                    <w:t>监测因子</w:t>
                  </w:r>
                </w:p>
              </w:tc>
              <w:tc>
                <w:tcPr>
                  <w:tcW w:w="1411" w:type="dxa"/>
                  <w:vMerge w:val="restart"/>
                  <w:tcBorders>
                    <w:top w:val="single" w:color="auto" w:sz="4" w:space="0"/>
                    <w:left w:val="single" w:color="auto" w:sz="4" w:space="0"/>
                    <w:bottom w:val="single" w:color="auto" w:sz="4" w:space="0"/>
                    <w:right w:val="single" w:color="auto" w:sz="4" w:space="0"/>
                  </w:tcBorders>
                  <w:noWrap w:val="0"/>
                  <w:vAlign w:val="center"/>
                </w:tcPr>
                <w:p w14:paraId="4417BBF0">
                  <w:pPr>
                    <w:widowControl/>
                    <w:spacing w:line="240" w:lineRule="exact"/>
                    <w:jc w:val="center"/>
                    <w:rPr>
                      <w:rFonts w:eastAsia="宋体"/>
                      <w:bCs/>
                      <w:color w:val="000000"/>
                      <w:kern w:val="0"/>
                      <w:sz w:val="21"/>
                      <w:szCs w:val="21"/>
                    </w:rPr>
                  </w:pPr>
                  <w:r>
                    <w:rPr>
                      <w:rFonts w:eastAsia="宋体"/>
                      <w:bCs/>
                      <w:color w:val="000000"/>
                      <w:kern w:val="0"/>
                      <w:sz w:val="21"/>
                      <w:szCs w:val="21"/>
                    </w:rPr>
                    <w:t>监测时段</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84D672C">
                  <w:pPr>
                    <w:widowControl/>
                    <w:spacing w:line="240" w:lineRule="exact"/>
                    <w:jc w:val="center"/>
                    <w:rPr>
                      <w:rFonts w:eastAsia="宋体"/>
                      <w:bCs/>
                      <w:color w:val="000000"/>
                      <w:sz w:val="21"/>
                      <w:szCs w:val="21"/>
                    </w:rPr>
                  </w:pPr>
                  <w:r>
                    <w:rPr>
                      <w:rFonts w:eastAsia="宋体"/>
                      <w:bCs/>
                      <w:color w:val="000000"/>
                      <w:sz w:val="21"/>
                      <w:szCs w:val="21"/>
                    </w:rPr>
                    <w:t>相对厂址方位</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14:paraId="32F6582F">
                  <w:pPr>
                    <w:widowControl/>
                    <w:spacing w:line="240" w:lineRule="exact"/>
                    <w:jc w:val="center"/>
                    <w:rPr>
                      <w:rFonts w:eastAsia="宋体"/>
                      <w:bCs/>
                      <w:color w:val="000000"/>
                      <w:sz w:val="21"/>
                      <w:szCs w:val="21"/>
                    </w:rPr>
                  </w:pPr>
                  <w:r>
                    <w:rPr>
                      <w:rFonts w:eastAsia="宋体"/>
                      <w:bCs/>
                      <w:color w:val="000000"/>
                      <w:sz w:val="21"/>
                      <w:szCs w:val="21"/>
                    </w:rPr>
                    <w:t>相对厂址距离(m)</w:t>
                  </w:r>
                </w:p>
              </w:tc>
              <w:tc>
                <w:tcPr>
                  <w:tcW w:w="1003" w:type="dxa"/>
                  <w:vMerge w:val="restart"/>
                  <w:tcBorders>
                    <w:top w:val="single" w:color="auto" w:sz="4" w:space="0"/>
                    <w:left w:val="single" w:color="auto" w:sz="4" w:space="0"/>
                    <w:right w:val="single" w:color="auto" w:sz="4" w:space="0"/>
                  </w:tcBorders>
                  <w:noWrap w:val="0"/>
                  <w:vAlign w:val="center"/>
                </w:tcPr>
                <w:p w14:paraId="73F829AE">
                  <w:pPr>
                    <w:widowControl/>
                    <w:spacing w:line="240" w:lineRule="exact"/>
                    <w:jc w:val="center"/>
                    <w:rPr>
                      <w:rFonts w:eastAsia="宋体"/>
                      <w:bCs/>
                      <w:color w:val="000000"/>
                      <w:sz w:val="21"/>
                      <w:szCs w:val="21"/>
                    </w:rPr>
                  </w:pPr>
                  <w:r>
                    <w:rPr>
                      <w:rFonts w:hint="eastAsia" w:eastAsia="宋体"/>
                      <w:bCs/>
                      <w:color w:val="000000"/>
                      <w:sz w:val="21"/>
                      <w:szCs w:val="21"/>
                    </w:rPr>
                    <w:t>数据来源</w:t>
                  </w:r>
                </w:p>
              </w:tc>
            </w:tr>
            <w:tr w14:paraId="6CA3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dxa"/>
                  <w:vMerge w:val="continue"/>
                  <w:tcBorders>
                    <w:top w:val="single" w:color="auto" w:sz="4" w:space="0"/>
                    <w:left w:val="single" w:color="auto" w:sz="4" w:space="0"/>
                    <w:bottom w:val="single" w:color="auto" w:sz="4" w:space="0"/>
                    <w:right w:val="single" w:color="auto" w:sz="4" w:space="0"/>
                  </w:tcBorders>
                  <w:noWrap w:val="0"/>
                  <w:vAlign w:val="center"/>
                </w:tcPr>
                <w:p w14:paraId="5F411842">
                  <w:pPr>
                    <w:widowControl/>
                    <w:jc w:val="left"/>
                    <w:rPr>
                      <w:rFonts w:eastAsia="宋体"/>
                      <w:bCs/>
                      <w:color w:val="000000"/>
                      <w:kern w:val="0"/>
                      <w:sz w:val="21"/>
                      <w:szCs w:val="21"/>
                    </w:rPr>
                  </w:pPr>
                </w:p>
              </w:tc>
              <w:tc>
                <w:tcPr>
                  <w:tcW w:w="722" w:type="dxa"/>
                  <w:tcBorders>
                    <w:top w:val="single" w:color="auto" w:sz="4" w:space="0"/>
                    <w:left w:val="single" w:color="auto" w:sz="4" w:space="0"/>
                    <w:bottom w:val="single" w:color="auto" w:sz="4" w:space="0"/>
                    <w:right w:val="single" w:color="auto" w:sz="4" w:space="0"/>
                  </w:tcBorders>
                  <w:noWrap w:val="0"/>
                  <w:vAlign w:val="center"/>
                </w:tcPr>
                <w:p w14:paraId="3E7DDC1F">
                  <w:pPr>
                    <w:spacing w:line="240" w:lineRule="exact"/>
                    <w:jc w:val="center"/>
                    <w:rPr>
                      <w:rFonts w:eastAsia="宋体"/>
                      <w:bCs/>
                      <w:color w:val="000000"/>
                      <w:kern w:val="0"/>
                      <w:sz w:val="21"/>
                      <w:szCs w:val="21"/>
                    </w:rPr>
                  </w:pPr>
                  <w:r>
                    <w:rPr>
                      <w:rFonts w:eastAsia="宋体"/>
                      <w:bCs/>
                      <w:color w:val="000000"/>
                      <w:kern w:val="0"/>
                      <w:sz w:val="21"/>
                      <w:szCs w:val="21"/>
                    </w:rPr>
                    <w:t>X</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743775E0">
                  <w:pPr>
                    <w:spacing w:line="240" w:lineRule="exact"/>
                    <w:jc w:val="center"/>
                    <w:rPr>
                      <w:rFonts w:eastAsia="宋体"/>
                      <w:bCs/>
                      <w:color w:val="000000"/>
                      <w:kern w:val="0"/>
                      <w:sz w:val="21"/>
                      <w:szCs w:val="21"/>
                    </w:rPr>
                  </w:pPr>
                  <w:r>
                    <w:rPr>
                      <w:rFonts w:eastAsia="宋体"/>
                      <w:bCs/>
                      <w:color w:val="000000"/>
                      <w:kern w:val="0"/>
                      <w:sz w:val="21"/>
                      <w:szCs w:val="21"/>
                    </w:rPr>
                    <w:t>Y</w:t>
                  </w:r>
                </w:p>
              </w:tc>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7F80670B">
                  <w:pPr>
                    <w:widowControl/>
                    <w:jc w:val="left"/>
                    <w:rPr>
                      <w:rFonts w:eastAsia="宋体"/>
                      <w:bCs/>
                      <w:color w:val="000000"/>
                      <w:kern w:val="0"/>
                      <w:sz w:val="21"/>
                      <w:szCs w:val="21"/>
                    </w:rPr>
                  </w:pPr>
                </w:p>
              </w:tc>
              <w:tc>
                <w:tcPr>
                  <w:tcW w:w="1411" w:type="dxa"/>
                  <w:vMerge w:val="continue"/>
                  <w:tcBorders>
                    <w:top w:val="single" w:color="auto" w:sz="4" w:space="0"/>
                    <w:left w:val="single" w:color="auto" w:sz="4" w:space="0"/>
                    <w:bottom w:val="single" w:color="auto" w:sz="4" w:space="0"/>
                    <w:right w:val="single" w:color="auto" w:sz="4" w:space="0"/>
                  </w:tcBorders>
                  <w:noWrap w:val="0"/>
                  <w:vAlign w:val="center"/>
                </w:tcPr>
                <w:p w14:paraId="7C5585A8">
                  <w:pPr>
                    <w:widowControl/>
                    <w:jc w:val="left"/>
                    <w:rPr>
                      <w:rFonts w:eastAsia="宋体"/>
                      <w:bCs/>
                      <w:color w:val="000000"/>
                      <w:kern w:val="0"/>
                      <w:sz w:val="21"/>
                      <w:szCs w:val="21"/>
                    </w:rPr>
                  </w:pP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567EC982">
                  <w:pPr>
                    <w:widowControl/>
                    <w:jc w:val="left"/>
                    <w:rPr>
                      <w:rFonts w:eastAsia="宋体"/>
                      <w:bCs/>
                      <w:color w:val="000000"/>
                      <w:sz w:val="21"/>
                      <w:szCs w:val="21"/>
                    </w:rPr>
                  </w:pPr>
                </w:p>
              </w:tc>
              <w:tc>
                <w:tcPr>
                  <w:tcW w:w="1140" w:type="dxa"/>
                  <w:vMerge w:val="continue"/>
                  <w:tcBorders>
                    <w:top w:val="single" w:color="auto" w:sz="4" w:space="0"/>
                    <w:left w:val="single" w:color="auto" w:sz="4" w:space="0"/>
                    <w:bottom w:val="single" w:color="auto" w:sz="4" w:space="0"/>
                    <w:right w:val="single" w:color="auto" w:sz="4" w:space="0"/>
                  </w:tcBorders>
                  <w:noWrap w:val="0"/>
                  <w:vAlign w:val="center"/>
                </w:tcPr>
                <w:p w14:paraId="1C620985">
                  <w:pPr>
                    <w:widowControl/>
                    <w:jc w:val="left"/>
                    <w:rPr>
                      <w:rFonts w:eastAsia="宋体"/>
                      <w:bCs/>
                      <w:color w:val="000000"/>
                      <w:sz w:val="21"/>
                      <w:szCs w:val="21"/>
                    </w:rPr>
                  </w:pPr>
                </w:p>
              </w:tc>
              <w:tc>
                <w:tcPr>
                  <w:tcW w:w="1003" w:type="dxa"/>
                  <w:vMerge w:val="continue"/>
                  <w:tcBorders>
                    <w:left w:val="single" w:color="auto" w:sz="4" w:space="0"/>
                    <w:bottom w:val="single" w:color="auto" w:sz="4" w:space="0"/>
                    <w:right w:val="single" w:color="auto" w:sz="4" w:space="0"/>
                  </w:tcBorders>
                  <w:noWrap w:val="0"/>
                  <w:vAlign w:val="center"/>
                </w:tcPr>
                <w:p w14:paraId="2E5B28C1">
                  <w:pPr>
                    <w:widowControl/>
                    <w:jc w:val="left"/>
                    <w:rPr>
                      <w:rFonts w:eastAsia="宋体"/>
                      <w:bCs/>
                      <w:color w:val="000000"/>
                      <w:sz w:val="21"/>
                      <w:szCs w:val="21"/>
                    </w:rPr>
                  </w:pPr>
                </w:p>
              </w:tc>
            </w:tr>
            <w:tr w14:paraId="3A87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dxa"/>
                  <w:tcBorders>
                    <w:top w:val="single" w:color="auto" w:sz="4" w:space="0"/>
                    <w:left w:val="single" w:color="auto" w:sz="4" w:space="0"/>
                    <w:bottom w:val="single" w:color="auto" w:sz="4" w:space="0"/>
                    <w:right w:val="single" w:color="auto" w:sz="4" w:space="0"/>
                  </w:tcBorders>
                  <w:noWrap w:val="0"/>
                  <w:vAlign w:val="center"/>
                </w:tcPr>
                <w:p w14:paraId="3713A9E0">
                  <w:pPr>
                    <w:pStyle w:val="41"/>
                    <w:snapToGrid w:val="0"/>
                    <w:spacing w:line="240" w:lineRule="auto"/>
                    <w:ind w:left="0" w:firstLine="0" w:firstLineChars="0"/>
                    <w:rPr>
                      <w:rFonts w:hint="eastAsia" w:ascii="Times New Roman" w:eastAsia="宋体"/>
                      <w:color w:val="000000"/>
                      <w:kern w:val="2"/>
                      <w:sz w:val="21"/>
                      <w:szCs w:val="21"/>
                      <w:lang w:eastAsia="zh-CN"/>
                    </w:rPr>
                  </w:pPr>
                  <w:r>
                    <w:rPr>
                      <w:rFonts w:hint="eastAsia" w:ascii="Times New Roman" w:eastAsia="宋体"/>
                      <w:color w:val="000000"/>
                      <w:kern w:val="2"/>
                      <w:sz w:val="21"/>
                      <w:szCs w:val="21"/>
                    </w:rPr>
                    <w:t>G</w:t>
                  </w:r>
                  <w:r>
                    <w:rPr>
                      <w:rFonts w:hint="eastAsia" w:ascii="Times New Roman"/>
                      <w:color w:val="000000"/>
                      <w:kern w:val="2"/>
                      <w:sz w:val="21"/>
                      <w:szCs w:val="21"/>
                      <w:lang w:val="en-US" w:eastAsia="zh-CN"/>
                    </w:rPr>
                    <w:t>1</w:t>
                  </w:r>
                </w:p>
              </w:tc>
              <w:tc>
                <w:tcPr>
                  <w:tcW w:w="722" w:type="dxa"/>
                  <w:tcBorders>
                    <w:top w:val="single" w:color="auto" w:sz="4" w:space="0"/>
                    <w:left w:val="single" w:color="auto" w:sz="4" w:space="0"/>
                    <w:bottom w:val="single" w:color="auto" w:sz="4" w:space="0"/>
                    <w:right w:val="single" w:color="auto" w:sz="4" w:space="0"/>
                  </w:tcBorders>
                  <w:noWrap w:val="0"/>
                  <w:vAlign w:val="center"/>
                </w:tcPr>
                <w:p w14:paraId="63F1E754">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color w:val="000000"/>
                    </w:rPr>
                  </w:pPr>
                  <w:r>
                    <w:rPr>
                      <w:rFonts w:hint="eastAsia" w:ascii="Times New Roman" w:hAnsi="Times New Roman"/>
                      <w:color w:val="000000"/>
                    </w:rPr>
                    <w:t>108.6157</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38FD4148">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color w:val="000000"/>
                    </w:rPr>
                  </w:pPr>
                  <w:r>
                    <w:rPr>
                      <w:rFonts w:hint="eastAsia" w:ascii="Times New Roman" w:hAnsi="Times New Roman"/>
                      <w:color w:val="000000"/>
                    </w:rPr>
                    <w:t>21.7243</w:t>
                  </w:r>
                </w:p>
              </w:tc>
              <w:tc>
                <w:tcPr>
                  <w:tcW w:w="1385" w:type="dxa"/>
                  <w:tcBorders>
                    <w:top w:val="single" w:color="auto" w:sz="4" w:space="0"/>
                    <w:left w:val="single" w:color="auto" w:sz="4" w:space="0"/>
                    <w:bottom w:val="single" w:color="auto" w:sz="4" w:space="0"/>
                    <w:right w:val="single" w:color="auto" w:sz="4" w:space="0"/>
                  </w:tcBorders>
                  <w:noWrap w:val="0"/>
                  <w:vAlign w:val="center"/>
                </w:tcPr>
                <w:p w14:paraId="57BD94BF">
                  <w:pPr>
                    <w:spacing w:line="240" w:lineRule="exact"/>
                    <w:jc w:val="center"/>
                    <w:rPr>
                      <w:rFonts w:eastAsia="宋体"/>
                      <w:bCs/>
                      <w:color w:val="000000"/>
                      <w:sz w:val="21"/>
                      <w:szCs w:val="21"/>
                    </w:rPr>
                  </w:pPr>
                  <w:r>
                    <w:rPr>
                      <w:rFonts w:eastAsia="宋体"/>
                      <w:color w:val="000000"/>
                      <w:sz w:val="21"/>
                      <w:szCs w:val="21"/>
                    </w:rPr>
                    <w:t>非甲烷总烃、TVOC</w:t>
                  </w:r>
                </w:p>
              </w:tc>
              <w:tc>
                <w:tcPr>
                  <w:tcW w:w="1411" w:type="dxa"/>
                  <w:tcBorders>
                    <w:top w:val="single" w:color="auto" w:sz="4" w:space="0"/>
                    <w:left w:val="single" w:color="auto" w:sz="4" w:space="0"/>
                    <w:bottom w:val="single" w:color="auto" w:sz="4" w:space="0"/>
                    <w:right w:val="single" w:color="auto" w:sz="4" w:space="0"/>
                  </w:tcBorders>
                  <w:noWrap w:val="0"/>
                  <w:vAlign w:val="center"/>
                </w:tcPr>
                <w:p w14:paraId="1286B482">
                  <w:pPr>
                    <w:widowControl/>
                    <w:spacing w:line="240" w:lineRule="exact"/>
                    <w:jc w:val="center"/>
                    <w:rPr>
                      <w:rFonts w:hint="eastAsia" w:eastAsia="宋体"/>
                      <w:bCs/>
                      <w:color w:val="000000"/>
                      <w:kern w:val="0"/>
                      <w:sz w:val="21"/>
                      <w:szCs w:val="21"/>
                    </w:rPr>
                  </w:pPr>
                  <w:r>
                    <w:rPr>
                      <w:rFonts w:eastAsia="宋体"/>
                      <w:bCs/>
                      <w:color w:val="000000"/>
                      <w:kern w:val="0"/>
                      <w:sz w:val="21"/>
                      <w:szCs w:val="21"/>
                    </w:rPr>
                    <w:t>202</w:t>
                  </w:r>
                  <w:r>
                    <w:rPr>
                      <w:rFonts w:hint="eastAsia" w:eastAsia="宋体"/>
                      <w:bCs/>
                      <w:color w:val="000000"/>
                      <w:kern w:val="0"/>
                      <w:sz w:val="21"/>
                      <w:szCs w:val="21"/>
                    </w:rPr>
                    <w:t>4</w:t>
                  </w:r>
                  <w:r>
                    <w:rPr>
                      <w:rFonts w:eastAsia="宋体"/>
                      <w:bCs/>
                      <w:color w:val="000000"/>
                      <w:kern w:val="0"/>
                      <w:sz w:val="21"/>
                      <w:szCs w:val="21"/>
                    </w:rPr>
                    <w:t>.</w:t>
                  </w:r>
                  <w:r>
                    <w:rPr>
                      <w:rFonts w:hint="eastAsia" w:eastAsia="宋体"/>
                      <w:bCs/>
                      <w:color w:val="000000"/>
                      <w:kern w:val="0"/>
                      <w:sz w:val="21"/>
                      <w:szCs w:val="21"/>
                    </w:rPr>
                    <w:t>2</w:t>
                  </w:r>
                  <w:r>
                    <w:rPr>
                      <w:rFonts w:eastAsia="宋体"/>
                      <w:bCs/>
                      <w:color w:val="000000"/>
                      <w:kern w:val="0"/>
                      <w:sz w:val="21"/>
                      <w:szCs w:val="21"/>
                    </w:rPr>
                    <w:t>.</w:t>
                  </w:r>
                  <w:r>
                    <w:rPr>
                      <w:rFonts w:hint="eastAsia" w:eastAsia="宋体"/>
                      <w:bCs/>
                      <w:color w:val="000000"/>
                      <w:kern w:val="0"/>
                      <w:sz w:val="21"/>
                      <w:szCs w:val="21"/>
                    </w:rPr>
                    <w:t>20</w:t>
                  </w:r>
                  <w:r>
                    <w:rPr>
                      <w:rFonts w:eastAsia="宋体"/>
                      <w:bCs/>
                      <w:color w:val="000000"/>
                      <w:kern w:val="0"/>
                      <w:sz w:val="21"/>
                      <w:szCs w:val="21"/>
                    </w:rPr>
                    <w:t>～</w:t>
                  </w:r>
                  <w:r>
                    <w:rPr>
                      <w:rFonts w:hint="eastAsia" w:eastAsia="宋体"/>
                      <w:bCs/>
                      <w:color w:val="000000"/>
                      <w:kern w:val="0"/>
                      <w:sz w:val="21"/>
                      <w:szCs w:val="21"/>
                    </w:rPr>
                    <w:t>2</w:t>
                  </w:r>
                  <w:r>
                    <w:rPr>
                      <w:rFonts w:eastAsia="宋体"/>
                      <w:bCs/>
                      <w:color w:val="000000"/>
                      <w:kern w:val="0"/>
                      <w:sz w:val="21"/>
                      <w:szCs w:val="21"/>
                    </w:rPr>
                    <w:t>.</w:t>
                  </w:r>
                  <w:r>
                    <w:rPr>
                      <w:rFonts w:hint="eastAsia" w:eastAsia="宋体"/>
                      <w:bCs/>
                      <w:color w:val="000000"/>
                      <w:kern w:val="0"/>
                      <w:sz w:val="21"/>
                      <w:szCs w:val="21"/>
                    </w:rPr>
                    <w:t>26</w:t>
                  </w:r>
                  <w:r>
                    <w:rPr>
                      <w:rFonts w:eastAsia="宋体"/>
                      <w:bCs/>
                      <w:color w:val="000000"/>
                      <w:kern w:val="0"/>
                      <w:sz w:val="21"/>
                      <w:szCs w:val="21"/>
                    </w:rPr>
                    <w:t xml:space="preserve"> </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3D0441E">
                  <w:pPr>
                    <w:pStyle w:val="67"/>
                    <w:widowControl w:val="0"/>
                    <w:pBdr>
                      <w:left w:val="none" w:color="auto" w:sz="0" w:space="0"/>
                      <w:bottom w:val="none" w:color="auto" w:sz="0" w:space="0"/>
                      <w:right w:val="none" w:color="auto" w:sz="0" w:space="0"/>
                    </w:pBdr>
                    <w:spacing w:before="0" w:beforeAutospacing="0" w:after="0" w:afterAutospacing="0" w:line="0" w:lineRule="atLeast"/>
                    <w:rPr>
                      <w:rFonts w:ascii="Times New Roman" w:hAnsi="Times New Roman"/>
                      <w:color w:val="000000"/>
                    </w:rPr>
                  </w:pPr>
                  <w:r>
                    <w:rPr>
                      <w:rFonts w:hint="eastAsia" w:ascii="Times New Roman" w:hAnsi="Times New Roman"/>
                      <w:color w:val="000000"/>
                    </w:rPr>
                    <w:t>东北</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20371AA">
                  <w:pPr>
                    <w:pStyle w:val="67"/>
                    <w:widowControl w:val="0"/>
                    <w:pBdr>
                      <w:left w:val="none" w:color="auto" w:sz="0" w:space="0"/>
                      <w:bottom w:val="none" w:color="auto" w:sz="0" w:space="0"/>
                      <w:right w:val="none" w:color="auto" w:sz="0" w:space="0"/>
                    </w:pBdr>
                    <w:spacing w:before="0" w:beforeAutospacing="0" w:after="0" w:afterAutospacing="0" w:line="0" w:lineRule="atLeast"/>
                    <w:ind w:left="0" w:leftChars="0" w:right="0" w:rightChars="0" w:firstLine="0" w:firstLineChars="0"/>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800</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C79A566">
                  <w:pPr>
                    <w:pStyle w:val="67"/>
                    <w:widowControl w:val="0"/>
                    <w:pBdr>
                      <w:left w:val="none" w:color="auto" w:sz="0" w:space="0"/>
                      <w:bottom w:val="none" w:color="auto" w:sz="0" w:space="0"/>
                      <w:right w:val="none" w:color="auto" w:sz="0" w:space="0"/>
                    </w:pBdr>
                    <w:spacing w:before="0" w:beforeAutospacing="0" w:after="0" w:afterAutospacing="0" w:line="0" w:lineRule="atLeast"/>
                    <w:ind w:left="0" w:leftChars="0" w:right="0" w:rightChars="0" w:firstLine="0" w:firstLineChars="0"/>
                    <w:jc w:val="center"/>
                    <w:rPr>
                      <w:rFonts w:hint="eastAsia" w:ascii="Times New Roman" w:hAnsi="Times New Roman" w:eastAsia="宋体"/>
                      <w:color w:val="000000"/>
                      <w:lang w:eastAsia="zh-CN"/>
                    </w:rPr>
                  </w:pPr>
                  <w:r>
                    <w:rPr>
                      <w:rFonts w:hint="eastAsia" w:ascii="Times New Roman" w:hAnsi="Times New Roman"/>
                      <w:color w:val="000000"/>
                      <w:lang w:val="en-US" w:eastAsia="zh-CN"/>
                    </w:rPr>
                    <w:t>引用</w:t>
                  </w:r>
                </w:p>
              </w:tc>
            </w:tr>
          </w:tbl>
          <w:p w14:paraId="4844A7DE">
            <w:pPr>
              <w:pStyle w:val="51"/>
              <w:numPr>
                <w:ilvl w:val="2"/>
                <w:numId w:val="6"/>
              </w:numPr>
              <w:spacing w:line="500" w:lineRule="atLeast"/>
              <w:ind w:firstLineChars="0"/>
              <w:jc w:val="center"/>
              <w:rPr>
                <w:bCs/>
                <w:sz w:val="24"/>
              </w:rPr>
            </w:pPr>
            <w:r>
              <w:rPr>
                <w:rFonts w:hint="eastAsia" w:ascii="Times New Roman" w:hAnsi="Times New Roman" w:eastAsia="宋体" w:cs="Times New Roman"/>
                <w:b/>
                <w:sz w:val="24"/>
                <w:lang w:val="en-US" w:eastAsia="zh-CN"/>
              </w:rPr>
              <w:t>其他污染物环境质量现状（监测结果）表</w:t>
            </w:r>
          </w:p>
          <w:tbl>
            <w:tblPr>
              <w:tblStyle w:val="2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17"/>
              <w:gridCol w:w="696"/>
              <w:gridCol w:w="840"/>
              <w:gridCol w:w="873"/>
              <w:gridCol w:w="902"/>
              <w:gridCol w:w="1023"/>
              <w:gridCol w:w="1009"/>
              <w:gridCol w:w="692"/>
              <w:gridCol w:w="605"/>
            </w:tblGrid>
            <w:tr w14:paraId="5341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9" w:type="pct"/>
                  <w:vMerge w:val="restart"/>
                  <w:tcBorders>
                    <w:top w:val="single" w:color="auto" w:sz="4" w:space="0"/>
                    <w:left w:val="single" w:color="auto" w:sz="4" w:space="0"/>
                    <w:bottom w:val="single" w:color="auto" w:sz="4" w:space="0"/>
                    <w:right w:val="single" w:color="auto" w:sz="4" w:space="0"/>
                  </w:tcBorders>
                  <w:noWrap w:val="0"/>
                  <w:vAlign w:val="center"/>
                </w:tcPr>
                <w:p w14:paraId="545C73CA">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点位</w:t>
                  </w:r>
                </w:p>
              </w:tc>
              <w:tc>
                <w:tcPr>
                  <w:tcW w:w="949" w:type="pct"/>
                  <w:gridSpan w:val="2"/>
                  <w:tcBorders>
                    <w:top w:val="single" w:color="auto" w:sz="4" w:space="0"/>
                    <w:left w:val="single" w:color="auto" w:sz="4" w:space="0"/>
                    <w:bottom w:val="single" w:color="auto" w:sz="4" w:space="0"/>
                    <w:right w:val="single" w:color="auto" w:sz="4" w:space="0"/>
                  </w:tcBorders>
                  <w:noWrap w:val="0"/>
                  <w:vAlign w:val="center"/>
                </w:tcPr>
                <w:p w14:paraId="4B044A6A">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监测点坐标/m</w:t>
                  </w:r>
                </w:p>
              </w:tc>
              <w:tc>
                <w:tcPr>
                  <w:tcW w:w="527" w:type="pct"/>
                  <w:vMerge w:val="restart"/>
                  <w:tcBorders>
                    <w:top w:val="single" w:color="auto" w:sz="4" w:space="0"/>
                    <w:left w:val="single" w:color="auto" w:sz="4" w:space="0"/>
                    <w:bottom w:val="single" w:color="auto" w:sz="4" w:space="0"/>
                    <w:right w:val="single" w:color="auto" w:sz="4" w:space="0"/>
                  </w:tcBorders>
                  <w:noWrap w:val="0"/>
                  <w:vAlign w:val="center"/>
                </w:tcPr>
                <w:p w14:paraId="13AF4EC4">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污染物</w:t>
                  </w:r>
                </w:p>
              </w:tc>
              <w:tc>
                <w:tcPr>
                  <w:tcW w:w="547" w:type="pct"/>
                  <w:vMerge w:val="restart"/>
                  <w:tcBorders>
                    <w:top w:val="single" w:color="auto" w:sz="4" w:space="0"/>
                    <w:left w:val="single" w:color="auto" w:sz="4" w:space="0"/>
                    <w:bottom w:val="single" w:color="auto" w:sz="4" w:space="0"/>
                    <w:right w:val="single" w:color="auto" w:sz="4" w:space="0"/>
                  </w:tcBorders>
                  <w:noWrap w:val="0"/>
                  <w:vAlign w:val="center"/>
                </w:tcPr>
                <w:p w14:paraId="54D2E12F">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平均</w:t>
                  </w:r>
                </w:p>
                <w:p w14:paraId="1C4DADE8">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时间</w:t>
                  </w:r>
                </w:p>
              </w:tc>
              <w:tc>
                <w:tcPr>
                  <w:tcW w:w="566" w:type="pct"/>
                  <w:vMerge w:val="restart"/>
                  <w:tcBorders>
                    <w:top w:val="single" w:color="auto" w:sz="4" w:space="0"/>
                    <w:left w:val="single" w:color="auto" w:sz="4" w:space="0"/>
                    <w:bottom w:val="single" w:color="auto" w:sz="4" w:space="0"/>
                    <w:right w:val="single" w:color="auto" w:sz="4" w:space="0"/>
                  </w:tcBorders>
                  <w:noWrap w:val="0"/>
                  <w:vAlign w:val="center"/>
                </w:tcPr>
                <w:p w14:paraId="09C4DCA5">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评价标准</w:t>
                  </w:r>
                </w:p>
                <w:p w14:paraId="1C3B4F9C">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（μg/m</w:t>
                  </w:r>
                  <w:r>
                    <w:rPr>
                      <w:rFonts w:ascii="Times New Roman" w:eastAsia="宋体"/>
                      <w:color w:val="000000"/>
                      <w:kern w:val="2"/>
                      <w:sz w:val="21"/>
                      <w:szCs w:val="21"/>
                      <w:vertAlign w:val="superscript"/>
                    </w:rPr>
                    <w:t>3</w:t>
                  </w:r>
                  <w:r>
                    <w:rPr>
                      <w:rFonts w:ascii="Times New Roman" w:eastAsia="宋体"/>
                      <w:color w:val="000000"/>
                      <w:kern w:val="2"/>
                      <w:sz w:val="21"/>
                      <w:szCs w:val="21"/>
                    </w:rPr>
                    <w:t>）</w:t>
                  </w:r>
                </w:p>
              </w:tc>
              <w:tc>
                <w:tcPr>
                  <w:tcW w:w="642" w:type="pct"/>
                  <w:vMerge w:val="restart"/>
                  <w:tcBorders>
                    <w:top w:val="single" w:color="auto" w:sz="4" w:space="0"/>
                    <w:left w:val="single" w:color="auto" w:sz="4" w:space="0"/>
                    <w:bottom w:val="single" w:color="auto" w:sz="4" w:space="0"/>
                    <w:right w:val="single" w:color="auto" w:sz="4" w:space="0"/>
                  </w:tcBorders>
                  <w:noWrap w:val="0"/>
                  <w:vAlign w:val="center"/>
                </w:tcPr>
                <w:p w14:paraId="5B7CFEDD">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监测浓度范围</w:t>
                  </w:r>
                </w:p>
                <w:p w14:paraId="457CEEE9">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（μg/m</w:t>
                  </w:r>
                  <w:r>
                    <w:rPr>
                      <w:rFonts w:ascii="Times New Roman" w:eastAsia="宋体"/>
                      <w:color w:val="000000"/>
                      <w:kern w:val="2"/>
                      <w:sz w:val="21"/>
                      <w:szCs w:val="21"/>
                      <w:vertAlign w:val="superscript"/>
                    </w:rPr>
                    <w:t>3</w:t>
                  </w:r>
                  <w:r>
                    <w:rPr>
                      <w:rFonts w:ascii="Times New Roman" w:eastAsia="宋体"/>
                      <w:color w:val="000000"/>
                      <w:kern w:val="2"/>
                      <w:sz w:val="21"/>
                      <w:szCs w:val="21"/>
                    </w:rPr>
                    <w:t>）</w:t>
                  </w:r>
                </w:p>
              </w:tc>
              <w:tc>
                <w:tcPr>
                  <w:tcW w:w="633" w:type="pct"/>
                  <w:vMerge w:val="restart"/>
                  <w:tcBorders>
                    <w:top w:val="single" w:color="auto" w:sz="4" w:space="0"/>
                    <w:left w:val="single" w:color="auto" w:sz="4" w:space="0"/>
                    <w:bottom w:val="single" w:color="auto" w:sz="4" w:space="0"/>
                    <w:right w:val="single" w:color="auto" w:sz="4" w:space="0"/>
                  </w:tcBorders>
                  <w:noWrap w:val="0"/>
                  <w:vAlign w:val="center"/>
                </w:tcPr>
                <w:p w14:paraId="731726E1">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最大浓度占标率</w:t>
                  </w:r>
                </w:p>
                <w:p w14:paraId="4F286050">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w:t>
                  </w:r>
                </w:p>
              </w:tc>
              <w:tc>
                <w:tcPr>
                  <w:tcW w:w="434" w:type="pct"/>
                  <w:vMerge w:val="restart"/>
                  <w:tcBorders>
                    <w:top w:val="single" w:color="auto" w:sz="4" w:space="0"/>
                    <w:left w:val="single" w:color="auto" w:sz="4" w:space="0"/>
                    <w:bottom w:val="single" w:color="auto" w:sz="4" w:space="0"/>
                    <w:right w:val="single" w:color="auto" w:sz="4" w:space="0"/>
                  </w:tcBorders>
                  <w:noWrap w:val="0"/>
                  <w:vAlign w:val="center"/>
                </w:tcPr>
                <w:p w14:paraId="02AEE61A">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超标率</w:t>
                  </w:r>
                </w:p>
                <w:p w14:paraId="6F3C382A">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w:t>
                  </w:r>
                </w:p>
              </w:tc>
              <w:tc>
                <w:tcPr>
                  <w:tcW w:w="379" w:type="pct"/>
                  <w:vMerge w:val="restart"/>
                  <w:tcBorders>
                    <w:top w:val="single" w:color="auto" w:sz="4" w:space="0"/>
                    <w:left w:val="single" w:color="auto" w:sz="4" w:space="0"/>
                    <w:bottom w:val="single" w:color="auto" w:sz="4" w:space="0"/>
                    <w:right w:val="single" w:color="auto" w:sz="4" w:space="0"/>
                  </w:tcBorders>
                  <w:noWrap w:val="0"/>
                  <w:vAlign w:val="center"/>
                </w:tcPr>
                <w:p w14:paraId="464DF80D">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达标</w:t>
                  </w:r>
                </w:p>
                <w:p w14:paraId="6977DE0C">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情况</w:t>
                  </w:r>
                </w:p>
              </w:tc>
            </w:tr>
            <w:tr w14:paraId="45A3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9" w:type="pct"/>
                  <w:vMerge w:val="continue"/>
                  <w:tcBorders>
                    <w:top w:val="single" w:color="auto" w:sz="4" w:space="0"/>
                    <w:left w:val="single" w:color="auto" w:sz="4" w:space="0"/>
                    <w:bottom w:val="single" w:color="auto" w:sz="4" w:space="0"/>
                    <w:right w:val="single" w:color="auto" w:sz="4" w:space="0"/>
                  </w:tcBorders>
                  <w:noWrap w:val="0"/>
                  <w:vAlign w:val="center"/>
                </w:tcPr>
                <w:p w14:paraId="5EBB429C">
                  <w:pPr>
                    <w:widowControl/>
                    <w:jc w:val="left"/>
                    <w:rPr>
                      <w:rFonts w:eastAsia="宋体"/>
                      <w:color w:val="000000"/>
                      <w:sz w:val="21"/>
                      <w:szCs w:val="21"/>
                    </w:rPr>
                  </w:pPr>
                </w:p>
              </w:tc>
              <w:tc>
                <w:tcPr>
                  <w:tcW w:w="512" w:type="pct"/>
                  <w:tcBorders>
                    <w:top w:val="single" w:color="auto" w:sz="4" w:space="0"/>
                    <w:left w:val="single" w:color="auto" w:sz="4" w:space="0"/>
                    <w:bottom w:val="single" w:color="auto" w:sz="4" w:space="0"/>
                    <w:right w:val="single" w:color="auto" w:sz="4" w:space="0"/>
                  </w:tcBorders>
                  <w:noWrap w:val="0"/>
                  <w:vAlign w:val="center"/>
                </w:tcPr>
                <w:p w14:paraId="423604B6">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X</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4AE4126C">
                  <w:pPr>
                    <w:pStyle w:val="41"/>
                    <w:snapToGrid w:val="0"/>
                    <w:spacing w:line="240" w:lineRule="auto"/>
                    <w:ind w:left="0" w:firstLine="0" w:firstLineChars="0"/>
                    <w:rPr>
                      <w:rFonts w:ascii="Times New Roman" w:eastAsia="宋体"/>
                      <w:color w:val="000000"/>
                      <w:kern w:val="2"/>
                      <w:sz w:val="21"/>
                      <w:szCs w:val="21"/>
                    </w:rPr>
                  </w:pPr>
                  <w:r>
                    <w:rPr>
                      <w:rFonts w:ascii="Times New Roman" w:eastAsia="宋体"/>
                      <w:color w:val="000000"/>
                      <w:kern w:val="2"/>
                      <w:sz w:val="21"/>
                      <w:szCs w:val="21"/>
                    </w:rPr>
                    <w:t>Y</w:t>
                  </w:r>
                </w:p>
              </w:tc>
              <w:tc>
                <w:tcPr>
                  <w:tcW w:w="527" w:type="pct"/>
                  <w:vMerge w:val="continue"/>
                  <w:tcBorders>
                    <w:top w:val="single" w:color="auto" w:sz="4" w:space="0"/>
                    <w:left w:val="single" w:color="auto" w:sz="4" w:space="0"/>
                    <w:bottom w:val="single" w:color="auto" w:sz="4" w:space="0"/>
                    <w:right w:val="single" w:color="auto" w:sz="4" w:space="0"/>
                  </w:tcBorders>
                  <w:noWrap w:val="0"/>
                  <w:vAlign w:val="center"/>
                </w:tcPr>
                <w:p w14:paraId="14CF0E06">
                  <w:pPr>
                    <w:widowControl/>
                    <w:jc w:val="left"/>
                    <w:rPr>
                      <w:rFonts w:eastAsia="宋体"/>
                      <w:color w:val="000000"/>
                      <w:sz w:val="21"/>
                      <w:szCs w:val="21"/>
                    </w:rPr>
                  </w:pPr>
                </w:p>
              </w:tc>
              <w:tc>
                <w:tcPr>
                  <w:tcW w:w="547" w:type="pct"/>
                  <w:vMerge w:val="continue"/>
                  <w:tcBorders>
                    <w:top w:val="single" w:color="auto" w:sz="4" w:space="0"/>
                    <w:left w:val="single" w:color="auto" w:sz="4" w:space="0"/>
                    <w:bottom w:val="single" w:color="auto" w:sz="4" w:space="0"/>
                    <w:right w:val="single" w:color="auto" w:sz="4" w:space="0"/>
                  </w:tcBorders>
                  <w:noWrap w:val="0"/>
                  <w:vAlign w:val="center"/>
                </w:tcPr>
                <w:p w14:paraId="6E045E07">
                  <w:pPr>
                    <w:widowControl/>
                    <w:jc w:val="left"/>
                    <w:rPr>
                      <w:rFonts w:eastAsia="宋体"/>
                      <w:color w:val="000000"/>
                      <w:sz w:val="21"/>
                      <w:szCs w:val="21"/>
                    </w:rPr>
                  </w:pPr>
                </w:p>
              </w:tc>
              <w:tc>
                <w:tcPr>
                  <w:tcW w:w="566" w:type="pct"/>
                  <w:vMerge w:val="continue"/>
                  <w:tcBorders>
                    <w:top w:val="single" w:color="auto" w:sz="4" w:space="0"/>
                    <w:left w:val="single" w:color="auto" w:sz="4" w:space="0"/>
                    <w:bottom w:val="single" w:color="auto" w:sz="4" w:space="0"/>
                    <w:right w:val="single" w:color="auto" w:sz="4" w:space="0"/>
                  </w:tcBorders>
                  <w:noWrap w:val="0"/>
                  <w:vAlign w:val="center"/>
                </w:tcPr>
                <w:p w14:paraId="297D6504">
                  <w:pPr>
                    <w:widowControl/>
                    <w:jc w:val="left"/>
                    <w:rPr>
                      <w:rFonts w:eastAsia="宋体"/>
                      <w:color w:val="000000"/>
                      <w:sz w:val="21"/>
                      <w:szCs w:val="21"/>
                    </w:rPr>
                  </w:pPr>
                </w:p>
              </w:tc>
              <w:tc>
                <w:tcPr>
                  <w:tcW w:w="642" w:type="pct"/>
                  <w:vMerge w:val="continue"/>
                  <w:tcBorders>
                    <w:top w:val="single" w:color="auto" w:sz="4" w:space="0"/>
                    <w:left w:val="single" w:color="auto" w:sz="4" w:space="0"/>
                    <w:bottom w:val="single" w:color="auto" w:sz="4" w:space="0"/>
                    <w:right w:val="single" w:color="auto" w:sz="4" w:space="0"/>
                  </w:tcBorders>
                  <w:noWrap w:val="0"/>
                  <w:vAlign w:val="center"/>
                </w:tcPr>
                <w:p w14:paraId="79A15580">
                  <w:pPr>
                    <w:widowControl/>
                    <w:jc w:val="left"/>
                    <w:rPr>
                      <w:rFonts w:eastAsia="宋体"/>
                      <w:color w:val="000000"/>
                      <w:sz w:val="21"/>
                      <w:szCs w:val="21"/>
                    </w:rPr>
                  </w:pPr>
                </w:p>
              </w:tc>
              <w:tc>
                <w:tcPr>
                  <w:tcW w:w="633" w:type="pct"/>
                  <w:vMerge w:val="continue"/>
                  <w:tcBorders>
                    <w:top w:val="single" w:color="auto" w:sz="4" w:space="0"/>
                    <w:left w:val="single" w:color="auto" w:sz="4" w:space="0"/>
                    <w:bottom w:val="single" w:color="auto" w:sz="4" w:space="0"/>
                    <w:right w:val="single" w:color="auto" w:sz="4" w:space="0"/>
                  </w:tcBorders>
                  <w:noWrap w:val="0"/>
                  <w:vAlign w:val="center"/>
                </w:tcPr>
                <w:p w14:paraId="13367CAC">
                  <w:pPr>
                    <w:widowControl/>
                    <w:jc w:val="left"/>
                    <w:rPr>
                      <w:rFonts w:eastAsia="宋体"/>
                      <w:color w:val="000000"/>
                      <w:sz w:val="21"/>
                      <w:szCs w:val="21"/>
                    </w:rPr>
                  </w:pPr>
                </w:p>
              </w:tc>
              <w:tc>
                <w:tcPr>
                  <w:tcW w:w="434" w:type="pct"/>
                  <w:vMerge w:val="continue"/>
                  <w:tcBorders>
                    <w:top w:val="single" w:color="auto" w:sz="4" w:space="0"/>
                    <w:left w:val="single" w:color="auto" w:sz="4" w:space="0"/>
                    <w:bottom w:val="single" w:color="auto" w:sz="4" w:space="0"/>
                    <w:right w:val="single" w:color="auto" w:sz="4" w:space="0"/>
                  </w:tcBorders>
                  <w:noWrap w:val="0"/>
                  <w:vAlign w:val="center"/>
                </w:tcPr>
                <w:p w14:paraId="4C11F0C2">
                  <w:pPr>
                    <w:widowControl/>
                    <w:jc w:val="left"/>
                    <w:rPr>
                      <w:rFonts w:eastAsia="宋体"/>
                      <w:color w:val="000000"/>
                      <w:sz w:val="21"/>
                      <w:szCs w:val="21"/>
                    </w:rPr>
                  </w:pPr>
                </w:p>
              </w:tc>
              <w:tc>
                <w:tcPr>
                  <w:tcW w:w="379" w:type="pct"/>
                  <w:vMerge w:val="continue"/>
                  <w:tcBorders>
                    <w:top w:val="single" w:color="auto" w:sz="4" w:space="0"/>
                    <w:left w:val="single" w:color="auto" w:sz="4" w:space="0"/>
                    <w:bottom w:val="single" w:color="auto" w:sz="4" w:space="0"/>
                    <w:right w:val="single" w:color="auto" w:sz="4" w:space="0"/>
                  </w:tcBorders>
                  <w:noWrap w:val="0"/>
                  <w:vAlign w:val="center"/>
                </w:tcPr>
                <w:p w14:paraId="536265EF">
                  <w:pPr>
                    <w:widowControl/>
                    <w:jc w:val="left"/>
                    <w:rPr>
                      <w:rFonts w:eastAsia="宋体"/>
                      <w:color w:val="000000"/>
                      <w:sz w:val="21"/>
                      <w:szCs w:val="21"/>
                    </w:rPr>
                  </w:pPr>
                </w:p>
              </w:tc>
            </w:tr>
            <w:tr w14:paraId="7DFE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9" w:type="pct"/>
                  <w:vMerge w:val="restart"/>
                  <w:tcBorders>
                    <w:top w:val="single" w:color="auto" w:sz="4" w:space="0"/>
                    <w:left w:val="single" w:color="auto" w:sz="4" w:space="0"/>
                    <w:right w:val="single" w:color="auto" w:sz="4" w:space="0"/>
                  </w:tcBorders>
                  <w:noWrap w:val="0"/>
                  <w:vAlign w:val="center"/>
                </w:tcPr>
                <w:p w14:paraId="12149CC5">
                  <w:pPr>
                    <w:spacing w:line="240" w:lineRule="exact"/>
                    <w:jc w:val="center"/>
                    <w:rPr>
                      <w:rFonts w:hint="eastAsia" w:eastAsia="宋体"/>
                      <w:bCs/>
                      <w:color w:val="000000"/>
                      <w:kern w:val="0"/>
                      <w:sz w:val="21"/>
                      <w:szCs w:val="21"/>
                      <w:u w:val="single"/>
                      <w:lang w:eastAsia="zh-CN"/>
                    </w:rPr>
                  </w:pPr>
                  <w:r>
                    <w:rPr>
                      <w:rFonts w:hint="eastAsia" w:eastAsia="宋体"/>
                      <w:bCs/>
                      <w:color w:val="000000"/>
                      <w:kern w:val="0"/>
                      <w:sz w:val="21"/>
                      <w:szCs w:val="21"/>
                    </w:rPr>
                    <w:t>G</w:t>
                  </w:r>
                  <w:r>
                    <w:rPr>
                      <w:rFonts w:hint="eastAsia"/>
                      <w:bCs/>
                      <w:color w:val="000000"/>
                      <w:kern w:val="0"/>
                      <w:sz w:val="21"/>
                      <w:szCs w:val="21"/>
                      <w:lang w:val="en-US" w:eastAsia="zh-CN"/>
                    </w:rPr>
                    <w:t>1</w:t>
                  </w:r>
                </w:p>
              </w:tc>
              <w:tc>
                <w:tcPr>
                  <w:tcW w:w="512" w:type="pct"/>
                  <w:vMerge w:val="restart"/>
                  <w:tcBorders>
                    <w:top w:val="single" w:color="auto" w:sz="4" w:space="0"/>
                    <w:left w:val="single" w:color="auto" w:sz="4" w:space="0"/>
                    <w:right w:val="single" w:color="auto" w:sz="4" w:space="0"/>
                  </w:tcBorders>
                  <w:noWrap w:val="0"/>
                  <w:vAlign w:val="center"/>
                </w:tcPr>
                <w:p w14:paraId="4CCE5BF1">
                  <w:pPr>
                    <w:pStyle w:val="67"/>
                    <w:widowControl w:val="0"/>
                    <w:pBdr>
                      <w:left w:val="none" w:color="auto" w:sz="0" w:space="0"/>
                      <w:bottom w:val="none" w:color="auto" w:sz="0" w:space="0"/>
                      <w:right w:val="none" w:color="auto" w:sz="0" w:space="0"/>
                    </w:pBdr>
                    <w:spacing w:before="0" w:beforeAutospacing="0" w:after="0" w:afterAutospacing="0" w:line="0" w:lineRule="atLeast"/>
                    <w:rPr>
                      <w:bCs/>
                      <w:color w:val="000000"/>
                    </w:rPr>
                  </w:pPr>
                  <w:r>
                    <w:rPr>
                      <w:rFonts w:hint="eastAsia" w:ascii="Times New Roman" w:hAnsi="Times New Roman"/>
                      <w:color w:val="000000"/>
                    </w:rPr>
                    <w:t>108.6157</w:t>
                  </w:r>
                </w:p>
              </w:tc>
              <w:tc>
                <w:tcPr>
                  <w:tcW w:w="436" w:type="pct"/>
                  <w:vMerge w:val="restart"/>
                  <w:tcBorders>
                    <w:top w:val="single" w:color="auto" w:sz="4" w:space="0"/>
                    <w:left w:val="single" w:color="auto" w:sz="4" w:space="0"/>
                    <w:right w:val="single" w:color="auto" w:sz="4" w:space="0"/>
                  </w:tcBorders>
                  <w:noWrap w:val="0"/>
                  <w:vAlign w:val="center"/>
                </w:tcPr>
                <w:p w14:paraId="3DFA77D6">
                  <w:pPr>
                    <w:pStyle w:val="67"/>
                    <w:widowControl w:val="0"/>
                    <w:pBdr>
                      <w:left w:val="none" w:color="auto" w:sz="0" w:space="0"/>
                      <w:bottom w:val="none" w:color="auto" w:sz="0" w:space="0"/>
                      <w:right w:val="none" w:color="auto" w:sz="0" w:space="0"/>
                    </w:pBdr>
                    <w:spacing w:before="0" w:beforeAutospacing="0" w:after="0" w:afterAutospacing="0" w:line="0" w:lineRule="atLeast"/>
                    <w:rPr>
                      <w:bCs/>
                      <w:color w:val="000000"/>
                    </w:rPr>
                  </w:pPr>
                  <w:r>
                    <w:rPr>
                      <w:rFonts w:hint="eastAsia" w:ascii="Times New Roman" w:hAnsi="Times New Roman"/>
                      <w:color w:val="000000"/>
                    </w:rPr>
                    <w:t>21.7243</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4D6AAC0A">
                  <w:pPr>
                    <w:widowControl/>
                    <w:snapToGrid w:val="0"/>
                    <w:jc w:val="center"/>
                    <w:rPr>
                      <w:rFonts w:eastAsia="宋体"/>
                      <w:color w:val="000000"/>
                      <w:kern w:val="0"/>
                      <w:sz w:val="21"/>
                    </w:rPr>
                  </w:pPr>
                  <w:r>
                    <w:rPr>
                      <w:rFonts w:hint="eastAsia"/>
                      <w:color w:val="000000"/>
                      <w:sz w:val="21"/>
                      <w:szCs w:val="21"/>
                    </w:rPr>
                    <w:t>NMHC</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27241894">
                  <w:pPr>
                    <w:widowControl/>
                    <w:snapToGrid w:val="0"/>
                    <w:jc w:val="center"/>
                    <w:rPr>
                      <w:rFonts w:eastAsia="宋体"/>
                      <w:color w:val="000000"/>
                      <w:kern w:val="0"/>
                      <w:sz w:val="21"/>
                    </w:rPr>
                  </w:pPr>
                  <w:r>
                    <w:rPr>
                      <w:rFonts w:hint="eastAsia" w:eastAsia="宋体"/>
                      <w:color w:val="000000"/>
                      <w:kern w:val="0"/>
                      <w:sz w:val="21"/>
                    </w:rPr>
                    <w:t>1小时平均</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0A7E4CA">
                  <w:pPr>
                    <w:widowControl/>
                    <w:snapToGrid w:val="0"/>
                    <w:jc w:val="center"/>
                    <w:rPr>
                      <w:rFonts w:eastAsia="宋体"/>
                      <w:color w:val="000000"/>
                      <w:kern w:val="0"/>
                      <w:sz w:val="21"/>
                    </w:rPr>
                  </w:pPr>
                  <w:r>
                    <w:rPr>
                      <w:rFonts w:hint="eastAsia" w:eastAsia="宋体"/>
                      <w:color w:val="000000"/>
                      <w:kern w:val="0"/>
                      <w:sz w:val="21"/>
                    </w:rPr>
                    <w:t>2000</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77186BA">
                  <w:pPr>
                    <w:widowControl/>
                    <w:snapToGrid w:val="0"/>
                    <w:jc w:val="center"/>
                    <w:rPr>
                      <w:rFonts w:eastAsia="宋体"/>
                      <w:color w:val="000000"/>
                      <w:kern w:val="0"/>
                      <w:sz w:val="21"/>
                    </w:rPr>
                  </w:pPr>
                  <w:r>
                    <w:rPr>
                      <w:rFonts w:hint="eastAsia" w:eastAsia="宋体"/>
                      <w:color w:val="000000"/>
                      <w:kern w:val="0"/>
                      <w:sz w:val="21"/>
                    </w:rPr>
                    <w:t>510~690</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0E0F83AD">
                  <w:pPr>
                    <w:snapToGrid w:val="0"/>
                    <w:jc w:val="center"/>
                    <w:rPr>
                      <w:rFonts w:eastAsia="宋体"/>
                      <w:color w:val="000000"/>
                      <w:kern w:val="0"/>
                      <w:sz w:val="21"/>
                    </w:rPr>
                  </w:pPr>
                  <w:r>
                    <w:rPr>
                      <w:rFonts w:hint="eastAsia" w:eastAsia="宋体"/>
                      <w:color w:val="000000"/>
                      <w:kern w:val="0"/>
                      <w:sz w:val="21"/>
                    </w:rPr>
                    <w:t>34.5</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015AA9D8">
                  <w:pPr>
                    <w:snapToGrid w:val="0"/>
                    <w:jc w:val="center"/>
                    <w:rPr>
                      <w:rFonts w:eastAsia="宋体"/>
                      <w:color w:val="000000"/>
                      <w:kern w:val="0"/>
                      <w:sz w:val="21"/>
                    </w:rPr>
                  </w:pPr>
                  <w:r>
                    <w:rPr>
                      <w:rFonts w:eastAsia="宋体"/>
                      <w:color w:val="000000"/>
                      <w:kern w:val="0"/>
                      <w:sz w:val="21"/>
                    </w:rPr>
                    <w:t>0</w:t>
                  </w:r>
                </w:p>
              </w:tc>
              <w:tc>
                <w:tcPr>
                  <w:tcW w:w="379" w:type="pct"/>
                  <w:tcBorders>
                    <w:top w:val="single" w:color="auto" w:sz="4" w:space="0"/>
                    <w:left w:val="single" w:color="auto" w:sz="4" w:space="0"/>
                    <w:bottom w:val="single" w:color="auto" w:sz="4" w:space="0"/>
                    <w:right w:val="single" w:color="auto" w:sz="4" w:space="0"/>
                  </w:tcBorders>
                  <w:noWrap w:val="0"/>
                  <w:vAlign w:val="center"/>
                </w:tcPr>
                <w:p w14:paraId="462A3B87">
                  <w:pPr>
                    <w:spacing w:line="240" w:lineRule="exact"/>
                    <w:jc w:val="center"/>
                    <w:rPr>
                      <w:rFonts w:eastAsia="宋体"/>
                      <w:color w:val="000000"/>
                      <w:kern w:val="0"/>
                      <w:sz w:val="21"/>
                    </w:rPr>
                  </w:pPr>
                  <w:r>
                    <w:rPr>
                      <w:rFonts w:eastAsia="宋体"/>
                      <w:bCs/>
                      <w:color w:val="000000"/>
                      <w:sz w:val="21"/>
                      <w:szCs w:val="21"/>
                    </w:rPr>
                    <w:t>达标</w:t>
                  </w:r>
                </w:p>
              </w:tc>
            </w:tr>
            <w:tr w14:paraId="669B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9" w:type="pct"/>
                  <w:vMerge w:val="continue"/>
                  <w:tcBorders>
                    <w:left w:val="single" w:color="auto" w:sz="4" w:space="0"/>
                    <w:right w:val="single" w:color="auto" w:sz="4" w:space="0"/>
                  </w:tcBorders>
                  <w:noWrap w:val="0"/>
                  <w:vAlign w:val="center"/>
                </w:tcPr>
                <w:p w14:paraId="38FF4CAF">
                  <w:pPr>
                    <w:spacing w:line="240" w:lineRule="exact"/>
                    <w:jc w:val="center"/>
                    <w:rPr>
                      <w:rFonts w:eastAsia="宋体"/>
                      <w:bCs/>
                      <w:color w:val="000000"/>
                      <w:kern w:val="0"/>
                      <w:sz w:val="21"/>
                      <w:szCs w:val="21"/>
                    </w:rPr>
                  </w:pPr>
                </w:p>
              </w:tc>
              <w:tc>
                <w:tcPr>
                  <w:tcW w:w="512" w:type="pct"/>
                  <w:vMerge w:val="continue"/>
                  <w:tcBorders>
                    <w:left w:val="single" w:color="auto" w:sz="4" w:space="0"/>
                    <w:right w:val="single" w:color="auto" w:sz="4" w:space="0"/>
                  </w:tcBorders>
                  <w:noWrap w:val="0"/>
                  <w:vAlign w:val="center"/>
                </w:tcPr>
                <w:p w14:paraId="1E142E81">
                  <w:pPr>
                    <w:spacing w:line="240" w:lineRule="exact"/>
                    <w:jc w:val="center"/>
                    <w:rPr>
                      <w:rFonts w:eastAsia="宋体"/>
                      <w:bCs/>
                      <w:color w:val="000000"/>
                      <w:kern w:val="0"/>
                      <w:sz w:val="21"/>
                      <w:szCs w:val="21"/>
                    </w:rPr>
                  </w:pPr>
                </w:p>
              </w:tc>
              <w:tc>
                <w:tcPr>
                  <w:tcW w:w="436" w:type="pct"/>
                  <w:vMerge w:val="continue"/>
                  <w:tcBorders>
                    <w:left w:val="single" w:color="auto" w:sz="4" w:space="0"/>
                    <w:right w:val="single" w:color="auto" w:sz="4" w:space="0"/>
                  </w:tcBorders>
                  <w:noWrap w:val="0"/>
                  <w:vAlign w:val="center"/>
                </w:tcPr>
                <w:p w14:paraId="7EA91ECB">
                  <w:pPr>
                    <w:spacing w:line="240" w:lineRule="exact"/>
                    <w:jc w:val="center"/>
                    <w:rPr>
                      <w:rFonts w:eastAsia="宋体"/>
                      <w:bCs/>
                      <w:color w:val="000000"/>
                      <w:kern w:val="0"/>
                      <w:sz w:val="21"/>
                      <w:szCs w:val="21"/>
                    </w:rPr>
                  </w:pPr>
                </w:p>
              </w:tc>
              <w:tc>
                <w:tcPr>
                  <w:tcW w:w="527" w:type="pct"/>
                  <w:tcBorders>
                    <w:top w:val="single" w:color="auto" w:sz="4" w:space="0"/>
                    <w:left w:val="single" w:color="auto" w:sz="4" w:space="0"/>
                    <w:bottom w:val="single" w:color="auto" w:sz="4" w:space="0"/>
                    <w:right w:val="single" w:color="auto" w:sz="4" w:space="0"/>
                  </w:tcBorders>
                  <w:noWrap w:val="0"/>
                  <w:vAlign w:val="center"/>
                </w:tcPr>
                <w:p w14:paraId="6862C42F">
                  <w:pPr>
                    <w:widowControl/>
                    <w:snapToGrid w:val="0"/>
                    <w:jc w:val="center"/>
                    <w:rPr>
                      <w:rFonts w:eastAsia="宋体"/>
                      <w:color w:val="000000"/>
                      <w:kern w:val="0"/>
                      <w:sz w:val="21"/>
                    </w:rPr>
                  </w:pPr>
                  <w:r>
                    <w:rPr>
                      <w:rFonts w:hint="eastAsia" w:eastAsia="宋体"/>
                      <w:color w:val="000000"/>
                      <w:kern w:val="0"/>
                      <w:sz w:val="21"/>
                    </w:rPr>
                    <w:t>TVOC</w:t>
                  </w:r>
                </w:p>
              </w:tc>
              <w:tc>
                <w:tcPr>
                  <w:tcW w:w="547" w:type="pct"/>
                  <w:tcBorders>
                    <w:top w:val="single" w:color="auto" w:sz="4" w:space="0"/>
                    <w:left w:val="single" w:color="auto" w:sz="4" w:space="0"/>
                    <w:bottom w:val="single" w:color="auto" w:sz="4" w:space="0"/>
                    <w:right w:val="single" w:color="auto" w:sz="4" w:space="0"/>
                  </w:tcBorders>
                  <w:noWrap w:val="0"/>
                  <w:vAlign w:val="center"/>
                </w:tcPr>
                <w:p w14:paraId="551E27E9">
                  <w:pPr>
                    <w:widowControl/>
                    <w:snapToGrid w:val="0"/>
                    <w:jc w:val="center"/>
                    <w:rPr>
                      <w:rFonts w:eastAsia="宋体"/>
                      <w:color w:val="000000"/>
                      <w:kern w:val="0"/>
                      <w:sz w:val="21"/>
                    </w:rPr>
                  </w:pPr>
                  <w:r>
                    <w:rPr>
                      <w:rFonts w:hint="eastAsia" w:eastAsia="宋体"/>
                      <w:color w:val="000000"/>
                      <w:kern w:val="0"/>
                      <w:sz w:val="21"/>
                    </w:rPr>
                    <w:t>8小时平均</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4793A8A">
                  <w:pPr>
                    <w:widowControl/>
                    <w:snapToGrid w:val="0"/>
                    <w:jc w:val="center"/>
                    <w:rPr>
                      <w:rFonts w:eastAsia="宋体"/>
                      <w:color w:val="000000"/>
                      <w:kern w:val="0"/>
                      <w:sz w:val="21"/>
                    </w:rPr>
                  </w:pPr>
                  <w:r>
                    <w:rPr>
                      <w:rFonts w:hint="eastAsia" w:eastAsia="宋体"/>
                      <w:color w:val="000000"/>
                      <w:kern w:val="0"/>
                      <w:sz w:val="21"/>
                    </w:rPr>
                    <w:t>600</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D558D86">
                  <w:pPr>
                    <w:widowControl/>
                    <w:snapToGrid w:val="0"/>
                    <w:jc w:val="center"/>
                    <w:rPr>
                      <w:rFonts w:eastAsia="宋体"/>
                      <w:color w:val="000000"/>
                      <w:kern w:val="0"/>
                      <w:sz w:val="21"/>
                    </w:rPr>
                  </w:pPr>
                  <w:r>
                    <w:rPr>
                      <w:rFonts w:hint="eastAsia" w:eastAsia="宋体"/>
                      <w:color w:val="000000"/>
                      <w:kern w:val="0"/>
                      <w:sz w:val="21"/>
                    </w:rPr>
                    <w:t>2.5~9.6</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1376B659">
                  <w:pPr>
                    <w:snapToGrid w:val="0"/>
                    <w:jc w:val="center"/>
                    <w:rPr>
                      <w:rFonts w:eastAsia="宋体"/>
                      <w:color w:val="000000"/>
                      <w:kern w:val="0"/>
                      <w:sz w:val="21"/>
                    </w:rPr>
                  </w:pPr>
                  <w:r>
                    <w:rPr>
                      <w:rFonts w:hint="eastAsia" w:eastAsia="宋体"/>
                      <w:color w:val="000000"/>
                      <w:kern w:val="0"/>
                      <w:sz w:val="21"/>
                    </w:rPr>
                    <w:t>1.6</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57143293">
                  <w:pPr>
                    <w:snapToGrid w:val="0"/>
                    <w:jc w:val="center"/>
                    <w:rPr>
                      <w:rFonts w:eastAsia="宋体"/>
                      <w:color w:val="000000"/>
                      <w:kern w:val="0"/>
                      <w:sz w:val="21"/>
                    </w:rPr>
                  </w:pPr>
                  <w:r>
                    <w:rPr>
                      <w:rFonts w:eastAsia="宋体"/>
                      <w:color w:val="000000"/>
                      <w:kern w:val="0"/>
                      <w:sz w:val="21"/>
                    </w:rPr>
                    <w:t>0</w:t>
                  </w:r>
                </w:p>
              </w:tc>
              <w:tc>
                <w:tcPr>
                  <w:tcW w:w="379" w:type="pct"/>
                  <w:tcBorders>
                    <w:top w:val="single" w:color="auto" w:sz="4" w:space="0"/>
                    <w:left w:val="single" w:color="auto" w:sz="4" w:space="0"/>
                    <w:bottom w:val="single" w:color="auto" w:sz="4" w:space="0"/>
                    <w:right w:val="single" w:color="auto" w:sz="4" w:space="0"/>
                  </w:tcBorders>
                  <w:noWrap w:val="0"/>
                  <w:vAlign w:val="center"/>
                </w:tcPr>
                <w:p w14:paraId="05D10591">
                  <w:pPr>
                    <w:spacing w:line="240" w:lineRule="exact"/>
                    <w:jc w:val="center"/>
                    <w:rPr>
                      <w:rFonts w:eastAsia="宋体"/>
                      <w:color w:val="000000"/>
                      <w:kern w:val="0"/>
                      <w:sz w:val="21"/>
                    </w:rPr>
                  </w:pPr>
                  <w:r>
                    <w:rPr>
                      <w:rFonts w:eastAsia="宋体"/>
                      <w:bCs/>
                      <w:color w:val="000000"/>
                      <w:sz w:val="21"/>
                      <w:szCs w:val="21"/>
                    </w:rPr>
                    <w:t>达标</w:t>
                  </w:r>
                </w:p>
              </w:tc>
            </w:tr>
          </w:tbl>
          <w:p w14:paraId="5440F0DF">
            <w:pPr>
              <w:spacing w:line="500" w:lineRule="atLeast"/>
              <w:ind w:firstLine="520" w:firstLineChars="200"/>
              <w:rPr>
                <w:rFonts w:hint="eastAsia" w:eastAsia="宋体"/>
                <w:bCs/>
                <w:sz w:val="24"/>
                <w:lang w:eastAsia="zh-CN"/>
              </w:rPr>
            </w:pPr>
            <w:r>
              <w:rPr>
                <w:rFonts w:eastAsia="宋体"/>
                <w:color w:val="000000"/>
                <w:spacing w:val="10"/>
                <w:sz w:val="24"/>
              </w:rPr>
              <w:t>根据监测结果可知</w:t>
            </w:r>
            <w:r>
              <w:rPr>
                <w:rFonts w:hint="eastAsia"/>
                <w:color w:val="000000"/>
                <w:spacing w:val="10"/>
                <w:sz w:val="24"/>
                <w:lang w:eastAsia="zh-CN"/>
              </w:rPr>
              <w:t>，</w:t>
            </w:r>
            <w:r>
              <w:rPr>
                <w:rFonts w:hint="eastAsia"/>
                <w:color w:val="000000"/>
                <w:spacing w:val="10"/>
                <w:sz w:val="24"/>
                <w:lang w:val="en-US" w:eastAsia="zh-CN"/>
              </w:rPr>
              <w:t>项目所在区域</w:t>
            </w:r>
            <w:r>
              <w:rPr>
                <w:rFonts w:hint="eastAsia" w:eastAsia="宋体"/>
                <w:bCs/>
                <w:color w:val="000000"/>
                <w:spacing w:val="10"/>
                <w:sz w:val="24"/>
                <w:szCs w:val="24"/>
              </w:rPr>
              <w:t>TVOC</w:t>
            </w:r>
            <w:r>
              <w:rPr>
                <w:rFonts w:eastAsia="宋体"/>
                <w:color w:val="000000"/>
                <w:spacing w:val="10"/>
                <w:sz w:val="24"/>
              </w:rPr>
              <w:t>8</w:t>
            </w:r>
            <w:r>
              <w:rPr>
                <w:rFonts w:hint="eastAsia" w:eastAsia="宋体"/>
                <w:color w:val="000000"/>
                <w:spacing w:val="10"/>
                <w:sz w:val="24"/>
              </w:rPr>
              <w:t>h</w:t>
            </w:r>
            <w:r>
              <w:rPr>
                <w:rFonts w:eastAsia="宋体"/>
                <w:color w:val="000000"/>
                <w:spacing w:val="10"/>
                <w:sz w:val="24"/>
              </w:rPr>
              <w:t>平均浓度均符合《环境影响评价技术导则大气环境》（HJ2.2-2018）附录D要求</w:t>
            </w:r>
            <w:r>
              <w:rPr>
                <w:rFonts w:hint="eastAsia" w:eastAsia="宋体"/>
                <w:color w:val="000000"/>
                <w:spacing w:val="10"/>
                <w:sz w:val="24"/>
              </w:rPr>
              <w:t>，</w:t>
            </w:r>
            <w:r>
              <w:rPr>
                <w:rFonts w:eastAsia="宋体"/>
                <w:color w:val="000000"/>
                <w:spacing w:val="10"/>
                <w:sz w:val="24"/>
              </w:rPr>
              <w:t>非甲烷总烃符合《大气污染物排放标准详解》中规定的限值</w:t>
            </w:r>
            <w:r>
              <w:rPr>
                <w:rFonts w:hint="eastAsia"/>
                <w:color w:val="000000"/>
                <w:spacing w:val="10"/>
                <w:sz w:val="24"/>
                <w:szCs w:val="24"/>
                <w:lang w:eastAsia="zh-CN"/>
              </w:rPr>
              <w:t>。</w:t>
            </w:r>
          </w:p>
          <w:p w14:paraId="5B07D040">
            <w:pPr>
              <w:spacing w:line="500" w:lineRule="atLeast"/>
              <w:ind w:firstLine="482" w:firstLineChars="200"/>
              <w:rPr>
                <w:rFonts w:hint="default" w:eastAsia="宋体"/>
                <w:bCs/>
                <w:sz w:val="24"/>
                <w:lang w:val="en-US" w:eastAsia="zh-CN"/>
              </w:rPr>
            </w:pPr>
            <w:r>
              <w:rPr>
                <w:rFonts w:hint="eastAsia"/>
                <w:b/>
                <w:bCs w:val="0"/>
                <w:sz w:val="24"/>
                <w:lang w:val="en-US" w:eastAsia="zh-CN"/>
              </w:rPr>
              <w:t>5、评价结论</w:t>
            </w:r>
          </w:p>
          <w:p w14:paraId="00DF6944">
            <w:pPr>
              <w:spacing w:line="500" w:lineRule="atLeast"/>
              <w:ind w:firstLine="480" w:firstLineChars="200"/>
              <w:rPr>
                <w:bCs/>
                <w:sz w:val="24"/>
              </w:rPr>
            </w:pPr>
            <w:r>
              <w:rPr>
                <w:rFonts w:hint="eastAsia"/>
                <w:bCs/>
                <w:sz w:val="24"/>
              </w:rPr>
              <w:t>综上所述，根据《自治区生态环境厅关于通报2024年设区城市及各县（市、区）环境空气质量的函》（桂环函﹝2025﹞66 号），项目所在区域</w:t>
            </w:r>
            <w:r>
              <w:rPr>
                <w:rFonts w:hint="eastAsia"/>
                <w:bCs/>
                <w:sz w:val="24"/>
                <w:lang w:val="en-US" w:eastAsia="zh-CN"/>
              </w:rPr>
              <w:t>属于达标区，</w:t>
            </w:r>
            <w:r>
              <w:rPr>
                <w:rFonts w:hint="eastAsia"/>
                <w:bCs/>
                <w:sz w:val="24"/>
              </w:rPr>
              <w:t>6项基本污染物均能达到《环境空气质量标准》（GB3095-2012）二级标准及其修改单要求；根据引用监测结果可知TVOC 8h平均浓度均符合《环境影响评价技术导则大气环境》（HJ2.2-2018）附录D要求，非甲烷总烃符合《大气污染物排放标准详解》中规定的限值。</w:t>
            </w:r>
          </w:p>
          <w:p w14:paraId="2813C331">
            <w:pPr>
              <w:spacing w:line="500" w:lineRule="atLeast"/>
              <w:ind w:firstLine="482" w:firstLineChars="200"/>
              <w:rPr>
                <w:b/>
                <w:bCs/>
                <w:sz w:val="24"/>
              </w:rPr>
            </w:pPr>
            <w:r>
              <w:rPr>
                <w:rFonts w:hint="eastAsia"/>
                <w:b/>
                <w:bCs/>
                <w:sz w:val="24"/>
              </w:rPr>
              <w:t>二、地表</w:t>
            </w:r>
            <w:r>
              <w:rPr>
                <w:b/>
                <w:bCs/>
                <w:sz w:val="24"/>
              </w:rPr>
              <w:t>水环境质量状况</w:t>
            </w:r>
          </w:p>
          <w:p w14:paraId="5FBE000A">
            <w:pPr>
              <w:spacing w:line="500" w:lineRule="atLeast"/>
              <w:ind w:firstLine="480" w:firstLineChars="200"/>
              <w:rPr>
                <w:rFonts w:hint="eastAsia" w:ascii="Times New Roman" w:hAnsi="Times New Roman" w:cs="Times New Roman"/>
                <w:bCs/>
                <w:sz w:val="24"/>
                <w:lang w:val="en-US" w:eastAsia="zh-CN"/>
              </w:rPr>
            </w:pPr>
            <w:r>
              <w:rPr>
                <w:rFonts w:hint="eastAsia"/>
                <w:bCs/>
                <w:sz w:val="24"/>
                <w:lang w:val="en-US" w:eastAsia="zh-CN"/>
              </w:rPr>
              <w:t>项目周边地表水主要为周边海域，根据《广西壮族自治区近岸海域环境功能区划调整方案》（详见附图8），周边海域功能区主要为钦州港果子山港口区（</w:t>
            </w:r>
            <w:r>
              <w:rPr>
                <w:rFonts w:hint="default" w:ascii="Times New Roman" w:hAnsi="Times New Roman" w:cs="Times New Roman"/>
                <w:bCs/>
                <w:sz w:val="24"/>
                <w:lang w:val="en-US" w:eastAsia="zh-CN"/>
              </w:rPr>
              <w:t>GX054DⅣ</w:t>
            </w:r>
            <w:r>
              <w:rPr>
                <w:rFonts w:hint="eastAsia"/>
                <w:bCs/>
                <w:sz w:val="24"/>
                <w:lang w:val="en-US" w:eastAsia="zh-CN"/>
              </w:rPr>
              <w:t>）</w:t>
            </w:r>
            <w:r>
              <w:rPr>
                <w:rFonts w:hint="default" w:ascii="Times New Roman" w:hAnsi="Times New Roman" w:cs="Times New Roman"/>
                <w:bCs/>
                <w:sz w:val="24"/>
                <w:lang w:val="en-US" w:eastAsia="zh-CN"/>
              </w:rPr>
              <w:t>、</w:t>
            </w:r>
            <w:r>
              <w:rPr>
                <w:rFonts w:hint="eastAsia" w:ascii="Times New Roman" w:hAnsi="Times New Roman" w:cs="Times New Roman"/>
                <w:bCs/>
                <w:sz w:val="24"/>
                <w:lang w:val="en-US" w:eastAsia="zh-CN"/>
              </w:rPr>
              <w:t>钦州港大榄坪港口、工业区（</w:t>
            </w:r>
            <w:r>
              <w:rPr>
                <w:rFonts w:hint="default" w:ascii="Times New Roman" w:hAnsi="Times New Roman" w:cs="Times New Roman"/>
                <w:bCs/>
                <w:sz w:val="24"/>
                <w:lang w:val="en-US" w:eastAsia="zh-CN"/>
              </w:rPr>
              <w:t>GX055DⅣ</w:t>
            </w:r>
            <w:r>
              <w:rPr>
                <w:rFonts w:hint="eastAsia" w:ascii="Times New Roman" w:hAnsi="Times New Roman" w:cs="Times New Roman"/>
                <w:bCs/>
                <w:sz w:val="24"/>
                <w:lang w:val="en-US" w:eastAsia="zh-CN"/>
              </w:rPr>
              <w:t>）</w:t>
            </w:r>
            <w:r>
              <w:rPr>
                <w:rFonts w:hint="default" w:ascii="Times New Roman" w:hAnsi="Times New Roman" w:cs="Times New Roman"/>
                <w:bCs/>
                <w:sz w:val="24"/>
                <w:lang w:val="en-US" w:eastAsia="zh-CN"/>
              </w:rPr>
              <w:t>、</w:t>
            </w:r>
            <w:r>
              <w:rPr>
                <w:rFonts w:hint="eastAsia" w:ascii="Times New Roman" w:hAnsi="Times New Roman" w:cs="Times New Roman"/>
                <w:bCs/>
                <w:sz w:val="24"/>
                <w:lang w:val="en-US" w:eastAsia="zh-CN"/>
              </w:rPr>
              <w:t>钦州港金鼓江排污混合区（</w:t>
            </w:r>
            <w:r>
              <w:rPr>
                <w:rFonts w:hint="default" w:ascii="Times New Roman" w:hAnsi="Times New Roman" w:cs="Times New Roman"/>
                <w:bCs/>
                <w:sz w:val="24"/>
                <w:lang w:val="en-US" w:eastAsia="zh-CN"/>
              </w:rPr>
              <w:t>GX056DⅣ</w:t>
            </w:r>
            <w:r>
              <w:rPr>
                <w:rFonts w:hint="eastAsia" w:ascii="Times New Roman" w:hAnsi="Times New Roman" w:cs="Times New Roman"/>
                <w:bCs/>
                <w:sz w:val="24"/>
                <w:lang w:val="en-US" w:eastAsia="zh-CN"/>
              </w:rPr>
              <w:t>）以及</w:t>
            </w:r>
            <w:r>
              <w:rPr>
                <w:rFonts w:hint="default" w:ascii="Times New Roman" w:hAnsi="Times New Roman" w:cs="Times New Roman"/>
                <w:bCs/>
                <w:sz w:val="24"/>
                <w:lang w:val="en-US" w:eastAsia="zh-CN"/>
              </w:rPr>
              <w:t>GX054DⅣ、GX055DⅣ、GX056DⅣ</w:t>
            </w:r>
            <w:r>
              <w:rPr>
                <w:rFonts w:hint="eastAsia" w:ascii="Times New Roman" w:hAnsi="Times New Roman" w:cs="Times New Roman"/>
                <w:bCs/>
                <w:sz w:val="24"/>
                <w:lang w:val="en-US" w:eastAsia="zh-CN"/>
              </w:rPr>
              <w:t>周围设0.5公里水质过渡带。</w:t>
            </w:r>
          </w:p>
          <w:p w14:paraId="37B02841">
            <w:pPr>
              <w:spacing w:line="500" w:lineRule="atLeast"/>
              <w:ind w:firstLine="480" w:firstLineChars="200"/>
              <w:rPr>
                <w:rFonts w:hint="default" w:ascii="Times New Roman" w:hAnsi="Times New Roman" w:cs="Times New Roman"/>
                <w:bCs/>
                <w:sz w:val="24"/>
                <w:lang w:val="en-US" w:eastAsia="zh-CN"/>
              </w:rPr>
            </w:pPr>
            <w:r>
              <w:rPr>
                <w:rFonts w:hint="eastAsia" w:ascii="Times New Roman" w:hAnsi="Times New Roman" w:cs="Times New Roman"/>
                <w:bCs/>
                <w:sz w:val="24"/>
                <w:lang w:val="en-US" w:eastAsia="zh-CN"/>
              </w:rPr>
              <w:t>钦州港果子山港口区</w:t>
            </w:r>
            <w:r>
              <w:rPr>
                <w:rFonts w:hint="default" w:ascii="Times New Roman" w:hAnsi="Times New Roman" w:cs="Times New Roman"/>
                <w:bCs/>
                <w:sz w:val="24"/>
                <w:lang w:val="en-US" w:eastAsia="zh-CN"/>
              </w:rPr>
              <w:t>（GX054DⅣ）、钦州港大榄坪港口、工业区（GX055DⅣ）、钦州港金鼓江排污混合区（GX056DⅣ）属于</w:t>
            </w:r>
            <w:r>
              <w:rPr>
                <w:rFonts w:hint="eastAsia" w:ascii="Times New Roman" w:hAnsi="Times New Roman" w:cs="Times New Roman"/>
                <w:bCs/>
                <w:sz w:val="24"/>
                <w:lang w:val="en-US" w:eastAsia="zh-CN"/>
              </w:rPr>
              <w:t>四</w:t>
            </w:r>
            <w:r>
              <w:rPr>
                <w:rFonts w:hint="default" w:ascii="Times New Roman" w:hAnsi="Times New Roman" w:cs="Times New Roman"/>
                <w:bCs/>
                <w:sz w:val="24"/>
                <w:lang w:val="en-US" w:eastAsia="zh-CN"/>
              </w:rPr>
              <w:t>类近岸海域环境功能区，因此执行《海水水质标准》（GB3097-1997）</w:t>
            </w:r>
            <w:r>
              <w:rPr>
                <w:rFonts w:hint="eastAsia" w:ascii="Times New Roman" w:hAnsi="Times New Roman" w:cs="Times New Roman"/>
                <w:bCs/>
                <w:sz w:val="24"/>
                <w:lang w:val="en-US" w:eastAsia="zh-CN"/>
              </w:rPr>
              <w:t>第</w:t>
            </w:r>
            <w:r>
              <w:rPr>
                <w:rFonts w:hint="default" w:ascii="Times New Roman" w:hAnsi="Times New Roman" w:cs="Times New Roman"/>
                <w:bCs/>
                <w:sz w:val="24"/>
                <w:lang w:val="en-US" w:eastAsia="zh-CN"/>
              </w:rPr>
              <w:t>四类</w:t>
            </w:r>
            <w:r>
              <w:rPr>
                <w:rFonts w:hint="eastAsia" w:ascii="Times New Roman" w:hAnsi="Times New Roman" w:cs="Times New Roman"/>
                <w:bCs/>
                <w:sz w:val="24"/>
                <w:lang w:val="en-US" w:eastAsia="zh-CN"/>
              </w:rPr>
              <w:t>标准；</w:t>
            </w:r>
            <w:r>
              <w:rPr>
                <w:rFonts w:hint="default" w:ascii="Times New Roman" w:hAnsi="Times New Roman" w:cs="Times New Roman"/>
                <w:bCs/>
                <w:sz w:val="24"/>
                <w:lang w:val="en-US" w:eastAsia="zh-CN"/>
              </w:rPr>
              <w:t>GX054DⅣ、GX055DⅣ、GX056DⅣ周围设0.5公里水质过渡带属于</w:t>
            </w:r>
            <w:r>
              <w:rPr>
                <w:rFonts w:hint="eastAsia" w:ascii="Times New Roman" w:hAnsi="Times New Roman" w:eastAsia="宋体" w:cs="Times New Roman"/>
                <w:bCs/>
                <w:sz w:val="24"/>
                <w:lang w:val="en-US" w:eastAsia="zh-CN"/>
              </w:rPr>
              <w:t>三</w:t>
            </w:r>
            <w:r>
              <w:rPr>
                <w:rFonts w:hint="default" w:ascii="Times New Roman" w:hAnsi="Times New Roman" w:cs="Times New Roman"/>
                <w:bCs/>
                <w:sz w:val="24"/>
                <w:lang w:val="en-US" w:eastAsia="zh-CN"/>
              </w:rPr>
              <w:t>类近岸海域环境功能区，因此执行《海水水质标准》（GB3097-1997）</w:t>
            </w:r>
            <w:r>
              <w:rPr>
                <w:rFonts w:hint="eastAsia" w:ascii="Times New Roman" w:hAnsi="Times New Roman" w:cs="Times New Roman"/>
                <w:bCs/>
                <w:sz w:val="24"/>
                <w:lang w:val="en-US" w:eastAsia="zh-CN"/>
              </w:rPr>
              <w:t>第</w:t>
            </w:r>
            <w:r>
              <w:rPr>
                <w:rFonts w:hint="default" w:ascii="Times New Roman" w:hAnsi="Times New Roman" w:cs="Times New Roman"/>
                <w:bCs/>
                <w:sz w:val="24"/>
                <w:lang w:val="en-US" w:eastAsia="zh-CN"/>
              </w:rPr>
              <w:t>三类标准。</w:t>
            </w:r>
          </w:p>
          <w:p w14:paraId="5F2E5DDB">
            <w:pPr>
              <w:spacing w:line="500" w:lineRule="atLeast"/>
              <w:ind w:firstLine="480" w:firstLineChars="200"/>
              <w:rPr>
                <w:rFonts w:hint="eastAsia"/>
                <w:bCs/>
                <w:sz w:val="24"/>
                <w:lang w:val="en-US" w:eastAsia="zh-CN"/>
              </w:rPr>
            </w:pPr>
            <w:r>
              <w:rPr>
                <w:rFonts w:hint="eastAsia"/>
                <w:bCs/>
                <w:sz w:val="24"/>
                <w:lang w:val="en-US" w:eastAsia="zh-CN"/>
              </w:rPr>
              <w:t>本项目厂区废水</w:t>
            </w:r>
            <w:r>
              <w:rPr>
                <w:rFonts w:hint="eastAsia"/>
                <w:bCs/>
                <w:sz w:val="24"/>
              </w:rPr>
              <w:t>一同排入天宜污水处理厂（一期）进行处理</w:t>
            </w:r>
            <w:r>
              <w:rPr>
                <w:rFonts w:hint="eastAsia"/>
                <w:bCs/>
                <w:sz w:val="24"/>
                <w:lang w:val="en-US" w:eastAsia="zh-CN"/>
              </w:rPr>
              <w:t>后，最终经A1排污口排入钦州港金鼓江排污混合区（GX056D</w:t>
            </w:r>
            <w:r>
              <w:rPr>
                <w:rFonts w:hint="default" w:ascii="Times New Roman" w:hAnsi="Times New Roman" w:cs="Times New Roman"/>
                <w:bCs/>
                <w:sz w:val="24"/>
                <w:lang w:val="en-US" w:eastAsia="zh-CN"/>
              </w:rPr>
              <w:t>Ⅳ</w:t>
            </w:r>
            <w:r>
              <w:rPr>
                <w:rFonts w:hint="eastAsia"/>
                <w:bCs/>
                <w:sz w:val="24"/>
                <w:lang w:val="en-US" w:eastAsia="zh-CN"/>
              </w:rPr>
              <w:t>），根据《广西壮族自治区近岸海域环境功能区划调整方案》，钦州港金鼓江污水深海排放区主导功能为港口、工业用海，属于四类近岸海域环境功能区。</w:t>
            </w:r>
          </w:p>
          <w:p w14:paraId="70D054F5">
            <w:pPr>
              <w:spacing w:line="500" w:lineRule="atLeast"/>
              <w:ind w:firstLine="480" w:firstLineChars="200"/>
              <w:rPr>
                <w:rFonts w:hint="default" w:ascii="Times New Roman" w:hAnsi="Times New Roman" w:cs="Times New Roman"/>
                <w:bCs/>
                <w:sz w:val="24"/>
                <w:lang w:val="en-US" w:eastAsia="zh-CN"/>
              </w:rPr>
            </w:pPr>
            <w:r>
              <w:rPr>
                <w:rFonts w:hint="default" w:ascii="Times New Roman" w:hAnsi="Times New Roman" w:cs="Times New Roman"/>
                <w:bCs/>
                <w:sz w:val="24"/>
              </w:rPr>
              <w:t>为了解钦州港金鼓江排污混合区（GX056DⅣ）</w:t>
            </w:r>
            <w:r>
              <w:rPr>
                <w:rFonts w:hint="default" w:ascii="Times New Roman" w:hAnsi="Times New Roman" w:cs="Times New Roman"/>
                <w:bCs/>
                <w:sz w:val="24"/>
                <w:lang w:val="en-US" w:eastAsia="zh-CN"/>
              </w:rPr>
              <w:t>及周边</w:t>
            </w:r>
            <w:r>
              <w:rPr>
                <w:rFonts w:hint="default" w:ascii="Times New Roman" w:hAnsi="Times New Roman" w:cs="Times New Roman"/>
                <w:bCs/>
                <w:sz w:val="24"/>
              </w:rPr>
              <w:t>海域水环境质量现状</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本次评价引用广西壮族自治区生态环境厅发布的《2025年11月广西近岸海域水质状况》中的监测数据进行评价，根据广西生态环境数据中心近岸海域监测点位显示，周边海域自动监测站点为GX07（龙门海域）、GX08（钦州港海域）。距离</w:t>
            </w:r>
            <w:r>
              <w:rPr>
                <w:rFonts w:hint="default" w:ascii="Times New Roman" w:hAnsi="Times New Roman" w:cs="Times New Roman"/>
                <w:bCs/>
                <w:sz w:val="24"/>
                <w:lang w:eastAsia="zh-CN"/>
              </w:rPr>
              <w:t>金鼓江排污混合区（GX056DⅣ）、钦州港大榄坪港口、工业区（GX055DⅣ）</w:t>
            </w:r>
            <w:r>
              <w:rPr>
                <w:rFonts w:hint="default" w:ascii="Times New Roman" w:hAnsi="Times New Roman" w:cs="Times New Roman"/>
                <w:bCs/>
                <w:sz w:val="24"/>
                <w:lang w:val="en-US" w:eastAsia="zh-CN"/>
              </w:rPr>
              <w:t>最近的站位为GX08站位（钦州港海域），距离钦州港果子山港口区（GX054DⅣ）最近的点位为GX07站位（龙门海域）。</w:t>
            </w:r>
          </w:p>
          <w:p w14:paraId="4104EE0B">
            <w:pPr>
              <w:spacing w:line="500" w:lineRule="atLeast"/>
              <w:ind w:firstLine="480" w:firstLineChars="200"/>
              <w:rPr>
                <w:rFonts w:hint="eastAsia"/>
                <w:bCs/>
                <w:sz w:val="24"/>
                <w:lang w:val="en-US" w:eastAsia="zh-CN"/>
              </w:rPr>
            </w:pPr>
            <w:r>
              <w:rPr>
                <w:rFonts w:hint="eastAsia"/>
                <w:bCs/>
                <w:sz w:val="24"/>
              </w:rPr>
              <w:t>根据广西壮族自治区生态环境厅发布的《2025年</w:t>
            </w:r>
            <w:r>
              <w:rPr>
                <w:rFonts w:hint="eastAsia"/>
                <w:bCs/>
                <w:sz w:val="24"/>
                <w:lang w:val="en-US" w:eastAsia="zh-CN"/>
              </w:rPr>
              <w:t>11</w:t>
            </w:r>
            <w:r>
              <w:rPr>
                <w:rFonts w:hint="eastAsia"/>
                <w:bCs/>
                <w:sz w:val="24"/>
              </w:rPr>
              <w:t>月广西近岸海域水质状况》，</w:t>
            </w:r>
            <w:r>
              <w:rPr>
                <w:rFonts w:hint="eastAsia"/>
                <w:bCs/>
                <w:sz w:val="24"/>
                <w:lang w:val="en-US" w:eastAsia="zh-CN"/>
              </w:rPr>
              <w:t>广西近岸海域17个自动监测站中，水质优良（第一、二类水质）站位共15个，同比上升1个；无第三类水质站位，同比持平；第四类水质站位共2个，同比下降1个；无劣四类水质站位，同比持平；水质优良天数比例为84.31%，同比上升5.68个百分点。</w:t>
            </w:r>
          </w:p>
          <w:p w14:paraId="45BAA5FF">
            <w:pPr>
              <w:spacing w:line="500" w:lineRule="atLeast"/>
              <w:ind w:firstLine="480" w:firstLineChars="200"/>
              <w:rPr>
                <w:rFonts w:hint="eastAsia"/>
                <w:bCs/>
                <w:sz w:val="24"/>
                <w:lang w:val="en-US" w:eastAsia="zh-CN"/>
              </w:rPr>
            </w:pPr>
            <w:r>
              <w:rPr>
                <w:rFonts w:hint="eastAsia"/>
                <w:bCs/>
                <w:sz w:val="24"/>
                <w:lang w:val="en-US" w:eastAsia="zh-CN"/>
              </w:rPr>
              <w:t>海水水质未达优良的站位是：GX06站位（茅尾海中部海域）和GX07站位（龙门海域）水质为第四类，超标因子均为活性磷酸盐。</w:t>
            </w:r>
          </w:p>
          <w:p w14:paraId="166E0399">
            <w:pPr>
              <w:spacing w:line="500" w:lineRule="atLeast"/>
              <w:ind w:firstLine="480" w:firstLineChars="200"/>
              <w:rPr>
                <w:rFonts w:hint="eastAsia"/>
                <w:bCs/>
                <w:sz w:val="24"/>
                <w:lang w:val="en-US" w:eastAsia="zh-CN"/>
              </w:rPr>
            </w:pPr>
            <w:r>
              <w:rPr>
                <w:rFonts w:hint="eastAsia"/>
                <w:bCs/>
                <w:sz w:val="24"/>
                <w:lang w:val="en-US" w:eastAsia="zh-CN"/>
              </w:rPr>
              <w:t>2025年1～11月，广西近岸海域17个自动监测站中，水质优良（第一、二类水质）站位共14个，同比持平；无第三类水质站位，同比持平；第四类水质站位共2个，同比下降1个；劣四类水质站位共1个，同比上升1个；水质优良天数比例为75.93%，同比上升0.43个百分点。海水水质未达优良的站位是钦州市GX06站位（茅尾海中部海域）水质为劣四类，超标因子为pH、活性磷酸盐和无机氮，GX07站位（龙门海域）水质为第四类，超标因子为活性磷酸盐；北海市GX16站位（铁山港东部海域）水质为第四类，超标因子为活性磷酸盐。</w:t>
            </w:r>
          </w:p>
          <w:p w14:paraId="0F236269">
            <w:pPr>
              <w:spacing w:line="500" w:lineRule="atLeast"/>
              <w:ind w:firstLine="480" w:firstLineChars="200"/>
              <w:rPr>
                <w:rFonts w:hint="eastAsia"/>
                <w:bCs/>
                <w:sz w:val="24"/>
                <w:lang w:val="en-US" w:eastAsia="zh-CN"/>
              </w:rPr>
            </w:pPr>
            <w:r>
              <w:rPr>
                <w:rFonts w:hint="eastAsia"/>
                <w:bCs/>
                <w:sz w:val="24"/>
                <w:lang w:val="en-US" w:eastAsia="zh-CN"/>
              </w:rPr>
              <w:t>综上，项目周边海域自动监测站点中，GX08站位（钦州港海域）水质优良，GX07站位（龙门海域）水质为第四类，超标因子均为活性磷酸盐。</w:t>
            </w:r>
          </w:p>
          <w:p w14:paraId="43771358">
            <w:pPr>
              <w:spacing w:line="500" w:lineRule="atLeast"/>
              <w:ind w:firstLine="482" w:firstLineChars="200"/>
              <w:rPr>
                <w:b/>
                <w:bCs/>
                <w:sz w:val="24"/>
              </w:rPr>
            </w:pPr>
            <w:r>
              <w:rPr>
                <w:rFonts w:hint="eastAsia"/>
                <w:b/>
                <w:bCs/>
                <w:sz w:val="24"/>
              </w:rPr>
              <w:t>三、声环境现状</w:t>
            </w:r>
          </w:p>
          <w:p w14:paraId="4ACF5981">
            <w:pPr>
              <w:spacing w:line="500" w:lineRule="atLeast"/>
              <w:ind w:firstLine="480" w:firstLineChars="200"/>
              <w:rPr>
                <w:bCs/>
                <w:sz w:val="24"/>
              </w:rPr>
            </w:pPr>
            <w:r>
              <w:rPr>
                <w:rFonts w:hint="eastAsia"/>
                <w:bCs/>
                <w:sz w:val="24"/>
              </w:rPr>
              <w:t>根据《钦州市中心城区声环境功能区划》（钦政办规〔2023〕11号），项目评价区域声环境质量标准执行《声环境质量标准》（GB3096-2008）3类区标准。</w:t>
            </w:r>
          </w:p>
          <w:p w14:paraId="39A76DBF">
            <w:pPr>
              <w:spacing w:line="500" w:lineRule="atLeast"/>
              <w:ind w:firstLine="480" w:firstLineChars="200"/>
              <w:rPr>
                <w:bCs/>
                <w:sz w:val="24"/>
              </w:rPr>
            </w:pPr>
            <w:r>
              <w:rPr>
                <w:rFonts w:hint="eastAsia"/>
                <w:bCs/>
                <w:sz w:val="24"/>
              </w:rPr>
              <w:t>项目周边50m范围内无敏感点，根据建设项目环境影响报告表编制技术指南（污染影响类）（试行），项目不再进行声环境质量现状监测。</w:t>
            </w:r>
          </w:p>
          <w:p w14:paraId="25B2D8FF">
            <w:pPr>
              <w:spacing w:line="500" w:lineRule="atLeast"/>
              <w:ind w:firstLine="482" w:firstLineChars="200"/>
              <w:rPr>
                <w:b/>
                <w:bCs/>
                <w:sz w:val="24"/>
              </w:rPr>
            </w:pPr>
            <w:r>
              <w:rPr>
                <w:rFonts w:hint="eastAsia"/>
                <w:b/>
                <w:bCs/>
                <w:sz w:val="24"/>
              </w:rPr>
              <w:t>四、地下水、土壤环境质量状况</w:t>
            </w:r>
          </w:p>
          <w:p w14:paraId="347370A4">
            <w:pPr>
              <w:spacing w:line="500" w:lineRule="atLeast"/>
              <w:ind w:firstLine="480" w:firstLineChars="200"/>
              <w:rPr>
                <w:rFonts w:hint="eastAsia" w:eastAsia="宋体"/>
                <w:bCs/>
                <w:sz w:val="24"/>
                <w:lang w:val="en-US" w:eastAsia="zh-CN"/>
              </w:rPr>
            </w:pPr>
            <w:r>
              <w:rPr>
                <w:rFonts w:hint="eastAsia"/>
                <w:bCs/>
                <w:sz w:val="24"/>
              </w:rPr>
              <w:t>项目评价区域地下水环境质量执行《地下水质量标准》（GB/T14848-2017）Ⅲ类标准</w:t>
            </w:r>
            <w:r>
              <w:rPr>
                <w:rFonts w:hint="eastAsia"/>
                <w:bCs/>
                <w:sz w:val="24"/>
                <w:lang w:eastAsia="zh-CN"/>
              </w:rPr>
              <w:t>，</w:t>
            </w:r>
            <w:r>
              <w:rPr>
                <w:rFonts w:hint="eastAsia"/>
                <w:bCs/>
                <w:sz w:val="24"/>
              </w:rPr>
              <w:t>项目场地内土壤执行《土壤环境质量 建设用地土壤污染风险管控标准（试行）》（GB36600—2018），场地外土壤执行《土壤环境质量 农用地土壤污染风险管控标准》（GB15618-2018）表1中“其他”土壤类型标准限值</w:t>
            </w:r>
            <w:r>
              <w:rPr>
                <w:rFonts w:hint="eastAsia"/>
                <w:bCs/>
                <w:sz w:val="24"/>
                <w:lang w:val="en-US" w:eastAsia="zh-CN"/>
              </w:rPr>
              <w:t>。</w:t>
            </w:r>
          </w:p>
          <w:p w14:paraId="18522119">
            <w:pPr>
              <w:spacing w:line="500" w:lineRule="atLeast"/>
              <w:ind w:firstLine="480" w:firstLineChars="200"/>
              <w:rPr>
                <w:bCs/>
                <w:sz w:val="24"/>
              </w:rPr>
            </w:pPr>
            <w:r>
              <w:rPr>
                <w:rFonts w:hint="eastAsia"/>
                <w:bCs/>
                <w:sz w:val="24"/>
              </w:rPr>
              <w:t>根据《建设项目环境影响报告表编制技术指南》（污染影响类）（试行）中地下水、土壤环境质量现状调查的原则：原则上不开展环境质量现状调查。建设项目存在土壤、地下水环境污染途径的，应结合污染源、保护目标分布情况开展现状调查以留作背景值。</w:t>
            </w:r>
          </w:p>
          <w:p w14:paraId="0881D88D">
            <w:pPr>
              <w:spacing w:line="500" w:lineRule="atLeast"/>
              <w:ind w:firstLine="480" w:firstLineChars="200"/>
              <w:rPr>
                <w:rFonts w:hint="eastAsia"/>
                <w:bCs/>
                <w:sz w:val="24"/>
              </w:rPr>
            </w:pPr>
            <w:r>
              <w:rPr>
                <w:rFonts w:hint="eastAsia"/>
                <w:bCs/>
                <w:sz w:val="24"/>
              </w:rPr>
              <w:t>本项目在采取防渗措施后，无土壤、地下水环境污染途径，因此不开展土壤、地下水环境质量现状调查。</w:t>
            </w:r>
          </w:p>
          <w:p w14:paraId="31DCF43E">
            <w:pPr>
              <w:spacing w:line="500" w:lineRule="atLeast"/>
              <w:ind w:firstLine="482" w:firstLineChars="200"/>
              <w:rPr>
                <w:b/>
                <w:bCs/>
                <w:sz w:val="24"/>
              </w:rPr>
            </w:pPr>
            <w:r>
              <w:rPr>
                <w:rFonts w:hint="eastAsia"/>
                <w:b/>
                <w:bCs/>
                <w:sz w:val="24"/>
              </w:rPr>
              <w:t>五、生态环境现状</w:t>
            </w:r>
          </w:p>
          <w:p w14:paraId="603FEF4C">
            <w:pPr>
              <w:spacing w:line="500" w:lineRule="atLeast"/>
              <w:ind w:firstLine="480" w:firstLineChars="200"/>
              <w:rPr>
                <w:bCs/>
                <w:sz w:val="24"/>
              </w:rPr>
            </w:pPr>
            <w:r>
              <w:rPr>
                <w:rFonts w:hint="eastAsia"/>
                <w:bCs/>
                <w:sz w:val="24"/>
              </w:rPr>
              <w:t>根据规划环评和现场调查，项目用地范围内无生态环境保护目标，根据《建设项目环境影响报告表编制技术指南（污染影响类）（试行）》，不再做现状监测。</w:t>
            </w:r>
          </w:p>
        </w:tc>
      </w:tr>
      <w:tr w14:paraId="38D5C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Align w:val="center"/>
          </w:tcPr>
          <w:p w14:paraId="4BD93A49">
            <w:pPr>
              <w:adjustRightInd w:val="0"/>
              <w:snapToGrid w:val="0"/>
              <w:jc w:val="center"/>
              <w:rPr>
                <w:rFonts w:ascii="宋体" w:hAnsi="宋体" w:cs="宋体"/>
                <w:kern w:val="0"/>
                <w:szCs w:val="21"/>
              </w:rPr>
            </w:pPr>
            <w:r>
              <w:rPr>
                <w:rFonts w:hint="eastAsia" w:ascii="宋体" w:hAnsi="宋体" w:cs="宋体"/>
                <w:kern w:val="0"/>
                <w:szCs w:val="21"/>
              </w:rPr>
              <w:t>环境</w:t>
            </w:r>
          </w:p>
          <w:p w14:paraId="3CF8624E">
            <w:pPr>
              <w:adjustRightInd w:val="0"/>
              <w:snapToGrid w:val="0"/>
              <w:jc w:val="center"/>
              <w:rPr>
                <w:rFonts w:ascii="宋体" w:hAnsi="宋体" w:cs="宋体"/>
                <w:kern w:val="0"/>
                <w:szCs w:val="21"/>
              </w:rPr>
            </w:pPr>
            <w:r>
              <w:rPr>
                <w:rFonts w:hint="eastAsia" w:ascii="宋体" w:hAnsi="宋体" w:cs="宋体"/>
                <w:kern w:val="0"/>
                <w:szCs w:val="21"/>
              </w:rPr>
              <w:t>保护</w:t>
            </w:r>
          </w:p>
          <w:p w14:paraId="29DA54D9">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14:paraId="3AF098D6">
            <w:pPr>
              <w:spacing w:line="500" w:lineRule="atLeast"/>
              <w:ind w:firstLine="482" w:firstLineChars="200"/>
              <w:rPr>
                <w:b/>
                <w:bCs/>
                <w:sz w:val="24"/>
              </w:rPr>
            </w:pPr>
            <w:r>
              <w:rPr>
                <w:rFonts w:hint="eastAsia"/>
                <w:b/>
                <w:bCs/>
                <w:sz w:val="24"/>
              </w:rPr>
              <w:t>主要环境保护目标（列出名单及保护级别）：</w:t>
            </w:r>
          </w:p>
          <w:p w14:paraId="1EE7356D">
            <w:pPr>
              <w:spacing w:line="500" w:lineRule="atLeast"/>
              <w:ind w:firstLine="480" w:firstLineChars="200"/>
              <w:rPr>
                <w:rFonts w:hint="eastAsia"/>
                <w:bCs/>
                <w:sz w:val="24"/>
              </w:rPr>
            </w:pPr>
            <w:r>
              <w:rPr>
                <w:rFonts w:hint="eastAsia"/>
                <w:bCs/>
                <w:sz w:val="24"/>
              </w:rPr>
              <w:t>根据项目的现场踏勘，项目评价范围内无自然保护区、水源地保护区、森林公园、风景名胜区、国家生态公益林分布。环境保护目标见表3-</w:t>
            </w:r>
            <w:r>
              <w:rPr>
                <w:rFonts w:hint="eastAsia"/>
                <w:bCs/>
                <w:sz w:val="24"/>
                <w:lang w:val="en-US" w:eastAsia="zh-CN"/>
              </w:rPr>
              <w:t>4</w:t>
            </w:r>
            <w:r>
              <w:rPr>
                <w:rFonts w:hint="eastAsia"/>
                <w:bCs/>
                <w:sz w:val="24"/>
              </w:rPr>
              <w:t>。</w:t>
            </w:r>
          </w:p>
          <w:p w14:paraId="1FD9FACB">
            <w:pPr>
              <w:pStyle w:val="51"/>
              <w:numPr>
                <w:ilvl w:val="2"/>
                <w:numId w:val="6"/>
              </w:numPr>
              <w:spacing w:line="500" w:lineRule="atLeast"/>
              <w:ind w:firstLineChars="0"/>
              <w:jc w:val="center"/>
              <w:rPr>
                <w:b/>
                <w:sz w:val="24"/>
              </w:rPr>
            </w:pPr>
            <w:r>
              <w:rPr>
                <w:rFonts w:hint="eastAsia"/>
                <w:b/>
                <w:sz w:val="24"/>
              </w:rPr>
              <w:t>主要环境保护目标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81"/>
              <w:gridCol w:w="894"/>
              <w:gridCol w:w="944"/>
              <w:gridCol w:w="787"/>
              <w:gridCol w:w="1050"/>
              <w:gridCol w:w="2169"/>
            </w:tblGrid>
            <w:tr w14:paraId="0BAF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op w:val="single" w:color="auto" w:sz="4" w:space="0"/>
                    <w:left w:val="single" w:color="auto" w:sz="4" w:space="0"/>
                    <w:bottom w:val="single" w:color="auto" w:sz="4" w:space="0"/>
                    <w:right w:val="single" w:color="auto" w:sz="4" w:space="0"/>
                  </w:tcBorders>
                  <w:vAlign w:val="center"/>
                </w:tcPr>
                <w:p w14:paraId="4B3A382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类别</w:t>
                  </w:r>
                </w:p>
              </w:tc>
              <w:tc>
                <w:tcPr>
                  <w:tcW w:w="929" w:type="pct"/>
                  <w:tcBorders>
                    <w:top w:val="single" w:color="auto" w:sz="4" w:space="0"/>
                    <w:left w:val="single" w:color="auto" w:sz="4" w:space="0"/>
                    <w:bottom w:val="single" w:color="auto" w:sz="4" w:space="0"/>
                    <w:right w:val="single" w:color="auto" w:sz="4" w:space="0"/>
                  </w:tcBorders>
                  <w:vAlign w:val="center"/>
                </w:tcPr>
                <w:p w14:paraId="57ABF40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敏感目标名称</w:t>
                  </w:r>
                </w:p>
              </w:tc>
              <w:tc>
                <w:tcPr>
                  <w:tcW w:w="561" w:type="pct"/>
                  <w:tcBorders>
                    <w:top w:val="single" w:color="auto" w:sz="4" w:space="0"/>
                    <w:left w:val="single" w:color="auto" w:sz="4" w:space="0"/>
                    <w:bottom w:val="single" w:color="auto" w:sz="4" w:space="0"/>
                    <w:right w:val="single" w:color="auto" w:sz="4" w:space="0"/>
                  </w:tcBorders>
                  <w:vAlign w:val="center"/>
                </w:tcPr>
                <w:p w14:paraId="4406EE8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相对方位</w:t>
                  </w:r>
                </w:p>
              </w:tc>
              <w:tc>
                <w:tcPr>
                  <w:tcW w:w="592" w:type="pct"/>
                  <w:tcBorders>
                    <w:top w:val="single" w:color="auto" w:sz="4" w:space="0"/>
                    <w:left w:val="single" w:color="auto" w:sz="4" w:space="0"/>
                    <w:bottom w:val="single" w:color="auto" w:sz="4" w:space="0"/>
                    <w:right w:val="single" w:color="auto" w:sz="4" w:space="0"/>
                  </w:tcBorders>
                  <w:vAlign w:val="center"/>
                </w:tcPr>
                <w:p w14:paraId="389CAF6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距离（</w:t>
                  </w:r>
                  <w:r>
                    <w:rPr>
                      <w:rFonts w:hint="eastAsia"/>
                      <w:bCs/>
                      <w:color w:val="000000" w:themeColor="text1"/>
                      <w:szCs w:val="21"/>
                      <w:lang w:val="en-US" w:eastAsia="zh-CN"/>
                      <w14:textFill>
                        <w14:solidFill>
                          <w14:schemeClr w14:val="tx1"/>
                        </w14:solidFill>
                      </w14:textFill>
                    </w:rPr>
                    <w:t>km</w:t>
                  </w:r>
                  <w:r>
                    <w:rPr>
                      <w:rFonts w:hint="eastAsia"/>
                      <w:bCs/>
                      <w:color w:val="000000" w:themeColor="text1"/>
                      <w:szCs w:val="21"/>
                      <w14:textFill>
                        <w14:solidFill>
                          <w14:schemeClr w14:val="tx1"/>
                        </w14:solidFill>
                      </w14:textFill>
                    </w:rPr>
                    <w:t>）</w:t>
                  </w:r>
                </w:p>
              </w:tc>
              <w:tc>
                <w:tcPr>
                  <w:tcW w:w="494" w:type="pct"/>
                  <w:tcBorders>
                    <w:top w:val="single" w:color="auto" w:sz="4" w:space="0"/>
                    <w:left w:val="single" w:color="auto" w:sz="4" w:space="0"/>
                    <w:bottom w:val="single" w:color="auto" w:sz="4" w:space="0"/>
                    <w:right w:val="single" w:color="auto" w:sz="4" w:space="0"/>
                  </w:tcBorders>
                  <w:vAlign w:val="center"/>
                </w:tcPr>
                <w:p w14:paraId="7330820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饮用水</w:t>
                  </w:r>
                </w:p>
              </w:tc>
              <w:tc>
                <w:tcPr>
                  <w:tcW w:w="659" w:type="pct"/>
                  <w:tcBorders>
                    <w:top w:val="single" w:color="auto" w:sz="4" w:space="0"/>
                    <w:left w:val="single" w:color="auto" w:sz="4" w:space="0"/>
                    <w:bottom w:val="single" w:color="auto" w:sz="4" w:space="0"/>
                    <w:right w:val="single" w:color="auto" w:sz="4" w:space="0"/>
                  </w:tcBorders>
                  <w:vAlign w:val="center"/>
                </w:tcPr>
                <w:p w14:paraId="423CED7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人数（人）</w:t>
                  </w:r>
                </w:p>
              </w:tc>
              <w:tc>
                <w:tcPr>
                  <w:tcW w:w="1361" w:type="pct"/>
                  <w:tcBorders>
                    <w:top w:val="single" w:color="auto" w:sz="4" w:space="0"/>
                    <w:left w:val="single" w:color="auto" w:sz="4" w:space="0"/>
                    <w:bottom w:val="single" w:color="auto" w:sz="4" w:space="0"/>
                    <w:right w:val="single" w:color="auto" w:sz="4" w:space="0"/>
                  </w:tcBorders>
                  <w:vAlign w:val="center"/>
                </w:tcPr>
                <w:p w14:paraId="4508A41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执行标准</w:t>
                  </w:r>
                </w:p>
              </w:tc>
            </w:tr>
            <w:tr w14:paraId="7700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op w:val="single" w:color="auto" w:sz="4" w:space="0"/>
                    <w:left w:val="single" w:color="auto" w:sz="4" w:space="0"/>
                    <w:bottom w:val="single" w:color="auto" w:sz="4" w:space="0"/>
                    <w:right w:val="single" w:color="auto" w:sz="4" w:space="0"/>
                  </w:tcBorders>
                  <w:vAlign w:val="center"/>
                </w:tcPr>
                <w:p w14:paraId="1DD6E3D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空气环境</w:t>
                  </w:r>
                </w:p>
              </w:tc>
              <w:tc>
                <w:tcPr>
                  <w:tcW w:w="929" w:type="pct"/>
                  <w:tcBorders>
                    <w:top w:val="single" w:color="auto" w:sz="4" w:space="0"/>
                    <w:left w:val="single" w:color="auto" w:sz="4" w:space="0"/>
                    <w:bottom w:val="single" w:color="auto" w:sz="4" w:space="0"/>
                    <w:right w:val="single" w:color="auto" w:sz="4" w:space="0"/>
                  </w:tcBorders>
                  <w:vAlign w:val="center"/>
                </w:tcPr>
                <w:p w14:paraId="11BC04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厚福沙村</w:t>
                  </w:r>
                </w:p>
              </w:tc>
              <w:tc>
                <w:tcPr>
                  <w:tcW w:w="561" w:type="pct"/>
                  <w:tcBorders>
                    <w:top w:val="single" w:color="auto" w:sz="4" w:space="0"/>
                    <w:left w:val="single" w:color="auto" w:sz="4" w:space="0"/>
                    <w:bottom w:val="single" w:color="auto" w:sz="4" w:space="0"/>
                    <w:right w:val="single" w:color="auto" w:sz="4" w:space="0"/>
                  </w:tcBorders>
                  <w:vAlign w:val="center"/>
                </w:tcPr>
                <w:p w14:paraId="09865B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592" w:type="pct"/>
                  <w:tcBorders>
                    <w:top w:val="single" w:color="auto" w:sz="4" w:space="0"/>
                    <w:left w:val="single" w:color="auto" w:sz="4" w:space="0"/>
                    <w:bottom w:val="single" w:color="auto" w:sz="4" w:space="0"/>
                    <w:right w:val="single" w:color="auto" w:sz="4" w:space="0"/>
                  </w:tcBorders>
                  <w:vAlign w:val="center"/>
                </w:tcPr>
                <w:p w14:paraId="7471F334">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0.12</w:t>
                  </w:r>
                </w:p>
              </w:tc>
              <w:tc>
                <w:tcPr>
                  <w:tcW w:w="494" w:type="pct"/>
                  <w:tcBorders>
                    <w:top w:val="single" w:color="auto" w:sz="4" w:space="0"/>
                    <w:left w:val="single" w:color="auto" w:sz="4" w:space="0"/>
                    <w:bottom w:val="single" w:color="auto" w:sz="4" w:space="0"/>
                    <w:right w:val="single" w:color="auto" w:sz="4" w:space="0"/>
                  </w:tcBorders>
                  <w:vAlign w:val="center"/>
                </w:tcPr>
                <w:p w14:paraId="4D8000C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自来水</w:t>
                  </w:r>
                </w:p>
              </w:tc>
              <w:tc>
                <w:tcPr>
                  <w:tcW w:w="659" w:type="pct"/>
                  <w:tcBorders>
                    <w:top w:val="single" w:color="auto" w:sz="4" w:space="0"/>
                    <w:left w:val="single" w:color="auto" w:sz="4" w:space="0"/>
                    <w:bottom w:val="single" w:color="auto" w:sz="4" w:space="0"/>
                    <w:right w:val="single" w:color="auto" w:sz="4" w:space="0"/>
                  </w:tcBorders>
                  <w:vAlign w:val="center"/>
                </w:tcPr>
                <w:p w14:paraId="2AF1EF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130</w:t>
                  </w:r>
                </w:p>
              </w:tc>
              <w:tc>
                <w:tcPr>
                  <w:tcW w:w="1361" w:type="pct"/>
                  <w:tcBorders>
                    <w:top w:val="single" w:color="auto" w:sz="4" w:space="0"/>
                    <w:left w:val="single" w:color="auto" w:sz="4" w:space="0"/>
                    <w:bottom w:val="single" w:color="auto" w:sz="4" w:space="0"/>
                    <w:right w:val="single" w:color="auto" w:sz="4" w:space="0"/>
                  </w:tcBorders>
                  <w:vAlign w:val="center"/>
                </w:tcPr>
                <w:p w14:paraId="7BC330ED">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《环境空气质量标准》（</w:t>
                  </w:r>
                  <w:r>
                    <w:rPr>
                      <w:color w:val="000000" w:themeColor="text1"/>
                      <w:szCs w:val="21"/>
                      <w14:textFill>
                        <w14:solidFill>
                          <w14:schemeClr w14:val="tx1"/>
                        </w14:solidFill>
                      </w14:textFill>
                    </w:rPr>
                    <w:t>GB 3095-2012</w:t>
                  </w:r>
                  <w:r>
                    <w:rPr>
                      <w:rFonts w:hint="eastAsia"/>
                      <w:color w:val="000000" w:themeColor="text1"/>
                      <w:szCs w:val="21"/>
                      <w14:textFill>
                        <w14:solidFill>
                          <w14:schemeClr w14:val="tx1"/>
                        </w14:solidFill>
                      </w14:textFill>
                    </w:rPr>
                    <w:t>）中的二级标准</w:t>
                  </w:r>
                  <w:r>
                    <w:rPr>
                      <w:rFonts w:hint="eastAsia"/>
                      <w:color w:val="000000" w:themeColor="text1"/>
                      <w:szCs w:val="21"/>
                      <w:lang w:val="en-US" w:eastAsia="zh-CN"/>
                      <w14:textFill>
                        <w14:solidFill>
                          <w14:schemeClr w14:val="tx1"/>
                        </w14:solidFill>
                      </w14:textFill>
                    </w:rPr>
                    <w:t>及其修改单要求</w:t>
                  </w:r>
                </w:p>
              </w:tc>
            </w:tr>
            <w:tr w14:paraId="3526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restart"/>
                  <w:tcBorders>
                    <w:top w:val="single" w:color="auto" w:sz="4" w:space="0"/>
                    <w:left w:val="single" w:color="auto" w:sz="4" w:space="0"/>
                    <w:right w:val="single" w:color="auto" w:sz="4" w:space="0"/>
                  </w:tcBorders>
                  <w:vAlign w:val="center"/>
                </w:tcPr>
                <w:p w14:paraId="43198A1C">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地表水</w:t>
                  </w:r>
                </w:p>
              </w:tc>
              <w:tc>
                <w:tcPr>
                  <w:tcW w:w="929" w:type="pct"/>
                  <w:tcBorders>
                    <w:top w:val="single" w:color="auto" w:sz="4" w:space="0"/>
                    <w:left w:val="single" w:color="auto" w:sz="4" w:space="0"/>
                    <w:bottom w:val="single" w:color="auto" w:sz="4" w:space="0"/>
                    <w:right w:val="single" w:color="auto" w:sz="4" w:space="0"/>
                  </w:tcBorders>
                  <w:vAlign w:val="center"/>
                </w:tcPr>
                <w:p w14:paraId="03AFC36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GX054DⅣ</w:t>
                  </w:r>
                </w:p>
              </w:tc>
              <w:tc>
                <w:tcPr>
                  <w:tcW w:w="561" w:type="pct"/>
                  <w:tcBorders>
                    <w:top w:val="single" w:color="auto" w:sz="4" w:space="0"/>
                    <w:left w:val="single" w:color="auto" w:sz="4" w:space="0"/>
                    <w:bottom w:val="single" w:color="auto" w:sz="4" w:space="0"/>
                    <w:right w:val="single" w:color="auto" w:sz="4" w:space="0"/>
                  </w:tcBorders>
                  <w:vAlign w:val="center"/>
                </w:tcPr>
                <w:p w14:paraId="4AEF4AEF">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西南</w:t>
                  </w:r>
                </w:p>
              </w:tc>
              <w:tc>
                <w:tcPr>
                  <w:tcW w:w="592" w:type="pct"/>
                  <w:tcBorders>
                    <w:top w:val="single" w:color="auto" w:sz="4" w:space="0"/>
                    <w:left w:val="single" w:color="auto" w:sz="4" w:space="0"/>
                    <w:bottom w:val="single" w:color="auto" w:sz="4" w:space="0"/>
                    <w:right w:val="single" w:color="auto" w:sz="4" w:space="0"/>
                  </w:tcBorders>
                  <w:vAlign w:val="center"/>
                </w:tcPr>
                <w:p w14:paraId="0757B16F">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0.70</w:t>
                  </w:r>
                </w:p>
              </w:tc>
              <w:tc>
                <w:tcPr>
                  <w:tcW w:w="494" w:type="pct"/>
                  <w:tcBorders>
                    <w:top w:val="single" w:color="auto" w:sz="4" w:space="0"/>
                    <w:left w:val="single" w:color="auto" w:sz="4" w:space="0"/>
                    <w:bottom w:val="single" w:color="auto" w:sz="4" w:space="0"/>
                    <w:right w:val="single" w:color="auto" w:sz="4" w:space="0"/>
                  </w:tcBorders>
                  <w:vAlign w:val="center"/>
                </w:tcPr>
                <w:p w14:paraId="6DD85116">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59" w:type="pct"/>
                  <w:tcBorders>
                    <w:top w:val="single" w:color="auto" w:sz="4" w:space="0"/>
                    <w:left w:val="single" w:color="auto" w:sz="4" w:space="0"/>
                    <w:bottom w:val="single" w:color="auto" w:sz="4" w:space="0"/>
                    <w:right w:val="single" w:color="auto" w:sz="4" w:space="0"/>
                  </w:tcBorders>
                  <w:vAlign w:val="center"/>
                </w:tcPr>
                <w:p w14:paraId="7AAB6EE8">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61" w:type="pct"/>
                  <w:vMerge w:val="restart"/>
                  <w:tcBorders>
                    <w:top w:val="single" w:color="auto" w:sz="4" w:space="0"/>
                    <w:left w:val="single" w:color="auto" w:sz="4" w:space="0"/>
                    <w:right w:val="single" w:color="auto" w:sz="4" w:space="0"/>
                  </w:tcBorders>
                  <w:vAlign w:val="center"/>
                </w:tcPr>
                <w:p w14:paraId="0BD5E47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《海水水质标准》（GB3097-1997）</w:t>
                  </w:r>
                  <w:r>
                    <w:rPr>
                      <w:rFonts w:hint="eastAsia"/>
                      <w:color w:val="000000" w:themeColor="text1"/>
                      <w:szCs w:val="21"/>
                      <w:lang w:val="en-US" w:eastAsia="zh-CN"/>
                      <w14:textFill>
                        <w14:solidFill>
                          <w14:schemeClr w14:val="tx1"/>
                        </w14:solidFill>
                      </w14:textFill>
                    </w:rPr>
                    <w:t>第四类标准</w:t>
                  </w:r>
                </w:p>
              </w:tc>
            </w:tr>
            <w:tr w14:paraId="0F03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left w:val="single" w:color="auto" w:sz="4" w:space="0"/>
                    <w:right w:val="single" w:color="auto" w:sz="4" w:space="0"/>
                  </w:tcBorders>
                  <w:vAlign w:val="center"/>
                </w:tcPr>
                <w:p w14:paraId="45F149F6">
                  <w:pPr>
                    <w:jc w:val="center"/>
                    <w:rPr>
                      <w:rFonts w:hint="eastAsia"/>
                      <w:color w:val="000000" w:themeColor="text1"/>
                      <w:szCs w:val="21"/>
                      <w:lang w:val="en-US" w:eastAsia="zh-CN"/>
                      <w14:textFill>
                        <w14:solidFill>
                          <w14:schemeClr w14:val="tx1"/>
                        </w14:solidFill>
                      </w14:textFill>
                    </w:rPr>
                  </w:pPr>
                </w:p>
              </w:tc>
              <w:tc>
                <w:tcPr>
                  <w:tcW w:w="929" w:type="pct"/>
                  <w:tcBorders>
                    <w:top w:val="single" w:color="auto" w:sz="4" w:space="0"/>
                    <w:left w:val="single" w:color="auto" w:sz="4" w:space="0"/>
                    <w:bottom w:val="single" w:color="auto" w:sz="4" w:space="0"/>
                    <w:right w:val="single" w:color="auto" w:sz="4" w:space="0"/>
                  </w:tcBorders>
                  <w:vAlign w:val="center"/>
                </w:tcPr>
                <w:p w14:paraId="1D24079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GX055DⅣ</w:t>
                  </w:r>
                </w:p>
              </w:tc>
              <w:tc>
                <w:tcPr>
                  <w:tcW w:w="561" w:type="pct"/>
                  <w:tcBorders>
                    <w:top w:val="single" w:color="auto" w:sz="4" w:space="0"/>
                    <w:left w:val="single" w:color="auto" w:sz="4" w:space="0"/>
                    <w:bottom w:val="single" w:color="auto" w:sz="4" w:space="0"/>
                    <w:right w:val="single" w:color="auto" w:sz="4" w:space="0"/>
                  </w:tcBorders>
                  <w:vAlign w:val="center"/>
                </w:tcPr>
                <w:p w14:paraId="3D3F526A">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w:t>
                  </w:r>
                </w:p>
              </w:tc>
              <w:tc>
                <w:tcPr>
                  <w:tcW w:w="592" w:type="pct"/>
                  <w:tcBorders>
                    <w:top w:val="single" w:color="auto" w:sz="4" w:space="0"/>
                    <w:left w:val="single" w:color="auto" w:sz="4" w:space="0"/>
                    <w:bottom w:val="single" w:color="auto" w:sz="4" w:space="0"/>
                    <w:right w:val="single" w:color="auto" w:sz="4" w:space="0"/>
                  </w:tcBorders>
                  <w:vAlign w:val="center"/>
                </w:tcPr>
                <w:p w14:paraId="68DAA3FC">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1.60</w:t>
                  </w:r>
                </w:p>
              </w:tc>
              <w:tc>
                <w:tcPr>
                  <w:tcW w:w="494" w:type="pct"/>
                  <w:tcBorders>
                    <w:top w:val="single" w:color="auto" w:sz="4" w:space="0"/>
                    <w:left w:val="single" w:color="auto" w:sz="4" w:space="0"/>
                    <w:bottom w:val="single" w:color="auto" w:sz="4" w:space="0"/>
                    <w:right w:val="single" w:color="auto" w:sz="4" w:space="0"/>
                  </w:tcBorders>
                  <w:vAlign w:val="center"/>
                </w:tcPr>
                <w:p w14:paraId="5AE668AB">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59" w:type="pct"/>
                  <w:tcBorders>
                    <w:top w:val="single" w:color="auto" w:sz="4" w:space="0"/>
                    <w:left w:val="single" w:color="auto" w:sz="4" w:space="0"/>
                    <w:bottom w:val="single" w:color="auto" w:sz="4" w:space="0"/>
                    <w:right w:val="single" w:color="auto" w:sz="4" w:space="0"/>
                  </w:tcBorders>
                  <w:vAlign w:val="center"/>
                </w:tcPr>
                <w:p w14:paraId="22F89C51">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61" w:type="pct"/>
                  <w:vMerge w:val="continue"/>
                  <w:tcBorders>
                    <w:left w:val="single" w:color="auto" w:sz="4" w:space="0"/>
                    <w:right w:val="single" w:color="auto" w:sz="4" w:space="0"/>
                  </w:tcBorders>
                  <w:vAlign w:val="center"/>
                </w:tcPr>
                <w:p w14:paraId="68E26250">
                  <w:pPr>
                    <w:jc w:val="center"/>
                    <w:rPr>
                      <w:rFonts w:hint="eastAsia"/>
                      <w:color w:val="000000" w:themeColor="text1"/>
                      <w:szCs w:val="21"/>
                      <w14:textFill>
                        <w14:solidFill>
                          <w14:schemeClr w14:val="tx1"/>
                        </w14:solidFill>
                      </w14:textFill>
                    </w:rPr>
                  </w:pPr>
                </w:p>
              </w:tc>
            </w:tr>
            <w:tr w14:paraId="5017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left w:val="single" w:color="auto" w:sz="4" w:space="0"/>
                    <w:right w:val="single" w:color="auto" w:sz="4" w:space="0"/>
                  </w:tcBorders>
                  <w:vAlign w:val="center"/>
                </w:tcPr>
                <w:p w14:paraId="6E0D825E">
                  <w:pPr>
                    <w:jc w:val="center"/>
                    <w:rPr>
                      <w:rFonts w:hint="eastAsia"/>
                      <w:color w:val="000000" w:themeColor="text1"/>
                      <w:szCs w:val="21"/>
                      <w:lang w:val="en-US" w:eastAsia="zh-CN"/>
                      <w14:textFill>
                        <w14:solidFill>
                          <w14:schemeClr w14:val="tx1"/>
                        </w14:solidFill>
                      </w14:textFill>
                    </w:rPr>
                  </w:pPr>
                </w:p>
              </w:tc>
              <w:tc>
                <w:tcPr>
                  <w:tcW w:w="929" w:type="pct"/>
                  <w:tcBorders>
                    <w:top w:val="single" w:color="auto" w:sz="4" w:space="0"/>
                    <w:left w:val="single" w:color="auto" w:sz="4" w:space="0"/>
                    <w:bottom w:val="single" w:color="auto" w:sz="4" w:space="0"/>
                    <w:right w:val="single" w:color="auto" w:sz="4" w:space="0"/>
                  </w:tcBorders>
                  <w:vAlign w:val="center"/>
                </w:tcPr>
                <w:p w14:paraId="53A80EB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GX056DⅣ</w:t>
                  </w:r>
                </w:p>
              </w:tc>
              <w:tc>
                <w:tcPr>
                  <w:tcW w:w="561" w:type="pct"/>
                  <w:tcBorders>
                    <w:top w:val="single" w:color="auto" w:sz="4" w:space="0"/>
                    <w:left w:val="single" w:color="auto" w:sz="4" w:space="0"/>
                    <w:bottom w:val="single" w:color="auto" w:sz="4" w:space="0"/>
                    <w:right w:val="single" w:color="auto" w:sz="4" w:space="0"/>
                  </w:tcBorders>
                  <w:vAlign w:val="center"/>
                </w:tcPr>
                <w:p w14:paraId="08394899">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东南</w:t>
                  </w:r>
                </w:p>
              </w:tc>
              <w:tc>
                <w:tcPr>
                  <w:tcW w:w="592" w:type="pct"/>
                  <w:tcBorders>
                    <w:top w:val="single" w:color="auto" w:sz="4" w:space="0"/>
                    <w:left w:val="single" w:color="auto" w:sz="4" w:space="0"/>
                    <w:bottom w:val="single" w:color="auto" w:sz="4" w:space="0"/>
                    <w:right w:val="single" w:color="auto" w:sz="4" w:space="0"/>
                  </w:tcBorders>
                  <w:vAlign w:val="center"/>
                </w:tcPr>
                <w:p w14:paraId="300A93A7">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2.55</w:t>
                  </w:r>
                </w:p>
              </w:tc>
              <w:tc>
                <w:tcPr>
                  <w:tcW w:w="494" w:type="pct"/>
                  <w:tcBorders>
                    <w:top w:val="single" w:color="auto" w:sz="4" w:space="0"/>
                    <w:left w:val="single" w:color="auto" w:sz="4" w:space="0"/>
                    <w:bottom w:val="single" w:color="auto" w:sz="4" w:space="0"/>
                    <w:right w:val="single" w:color="auto" w:sz="4" w:space="0"/>
                  </w:tcBorders>
                  <w:vAlign w:val="center"/>
                </w:tcPr>
                <w:p w14:paraId="5C7DE483">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59" w:type="pct"/>
                  <w:tcBorders>
                    <w:top w:val="single" w:color="auto" w:sz="4" w:space="0"/>
                    <w:left w:val="single" w:color="auto" w:sz="4" w:space="0"/>
                    <w:bottom w:val="single" w:color="auto" w:sz="4" w:space="0"/>
                    <w:right w:val="single" w:color="auto" w:sz="4" w:space="0"/>
                  </w:tcBorders>
                  <w:vAlign w:val="center"/>
                </w:tcPr>
                <w:p w14:paraId="4982E184">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361" w:type="pct"/>
                  <w:vMerge w:val="continue"/>
                  <w:tcBorders>
                    <w:left w:val="single" w:color="auto" w:sz="4" w:space="0"/>
                    <w:bottom w:val="single" w:color="auto" w:sz="4" w:space="0"/>
                    <w:right w:val="single" w:color="auto" w:sz="4" w:space="0"/>
                  </w:tcBorders>
                  <w:vAlign w:val="center"/>
                </w:tcPr>
                <w:p w14:paraId="43E67014">
                  <w:pPr>
                    <w:jc w:val="center"/>
                    <w:rPr>
                      <w:rFonts w:hint="eastAsia"/>
                      <w:color w:val="000000" w:themeColor="text1"/>
                      <w:szCs w:val="21"/>
                      <w14:textFill>
                        <w14:solidFill>
                          <w14:schemeClr w14:val="tx1"/>
                        </w14:solidFill>
                      </w14:textFill>
                    </w:rPr>
                  </w:pPr>
                </w:p>
              </w:tc>
            </w:tr>
            <w:tr w14:paraId="171F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left w:val="single" w:color="auto" w:sz="4" w:space="0"/>
                    <w:bottom w:val="single" w:color="auto" w:sz="4" w:space="0"/>
                    <w:right w:val="single" w:color="auto" w:sz="4" w:space="0"/>
                  </w:tcBorders>
                  <w:vAlign w:val="center"/>
                </w:tcPr>
                <w:p w14:paraId="3949CB74">
                  <w:pPr>
                    <w:jc w:val="center"/>
                    <w:rPr>
                      <w:rFonts w:hint="eastAsia"/>
                      <w:color w:val="000000" w:themeColor="text1"/>
                      <w:szCs w:val="21"/>
                      <w14:textFill>
                        <w14:solidFill>
                          <w14:schemeClr w14:val="tx1"/>
                        </w14:solidFill>
                      </w14:textFill>
                    </w:rPr>
                  </w:pPr>
                </w:p>
              </w:tc>
              <w:tc>
                <w:tcPr>
                  <w:tcW w:w="3237" w:type="pct"/>
                  <w:gridSpan w:val="5"/>
                  <w:tcBorders>
                    <w:top w:val="single" w:color="auto" w:sz="4" w:space="0"/>
                    <w:left w:val="single" w:color="auto" w:sz="4" w:space="0"/>
                    <w:bottom w:val="single" w:color="auto" w:sz="4" w:space="0"/>
                    <w:right w:val="single" w:color="auto" w:sz="4" w:space="0"/>
                  </w:tcBorders>
                  <w:vAlign w:val="center"/>
                </w:tcPr>
                <w:p w14:paraId="220F3DA2">
                  <w:pPr>
                    <w:jc w:val="center"/>
                    <w:rPr>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GX054DⅣ、GX055DⅣ、GX056DⅣ</w:t>
                  </w:r>
                  <w:r>
                    <w:rPr>
                      <w:rFonts w:hint="eastAsia"/>
                      <w:color w:val="000000" w:themeColor="text1"/>
                      <w:szCs w:val="21"/>
                      <w14:textFill>
                        <w14:solidFill>
                          <w14:schemeClr w14:val="tx1"/>
                        </w14:solidFill>
                      </w14:textFill>
                    </w:rPr>
                    <w:t>周围设0.5公里水质过渡带</w:t>
                  </w:r>
                </w:p>
              </w:tc>
              <w:tc>
                <w:tcPr>
                  <w:tcW w:w="1361" w:type="pct"/>
                  <w:tcBorders>
                    <w:top w:val="single" w:color="auto" w:sz="4" w:space="0"/>
                    <w:left w:val="single" w:color="auto" w:sz="4" w:space="0"/>
                    <w:bottom w:val="single" w:color="auto" w:sz="4" w:space="0"/>
                    <w:right w:val="single" w:color="auto" w:sz="4" w:space="0"/>
                  </w:tcBorders>
                  <w:vAlign w:val="center"/>
                </w:tcPr>
                <w:p w14:paraId="637719FD">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《海水水质标准》（GB3097-1997）</w:t>
                  </w:r>
                  <w:r>
                    <w:rPr>
                      <w:rFonts w:hint="eastAsia"/>
                      <w:color w:val="000000" w:themeColor="text1"/>
                      <w:szCs w:val="21"/>
                      <w:lang w:val="en-US" w:eastAsia="zh-CN"/>
                      <w14:textFill>
                        <w14:solidFill>
                          <w14:schemeClr w14:val="tx1"/>
                        </w14:solidFill>
                      </w14:textFill>
                    </w:rPr>
                    <w:t>第三</w:t>
                  </w:r>
                  <w:r>
                    <w:rPr>
                      <w:rFonts w:hint="eastAsia"/>
                      <w:color w:val="000000" w:themeColor="text1"/>
                      <w:szCs w:val="21"/>
                      <w14:textFill>
                        <w14:solidFill>
                          <w14:schemeClr w14:val="tx1"/>
                        </w14:solidFill>
                      </w14:textFill>
                    </w:rPr>
                    <w:t>类</w:t>
                  </w:r>
                  <w:r>
                    <w:rPr>
                      <w:rFonts w:hint="eastAsia"/>
                      <w:color w:val="000000" w:themeColor="text1"/>
                      <w:szCs w:val="21"/>
                      <w:lang w:val="en-US" w:eastAsia="zh-CN"/>
                      <w14:textFill>
                        <w14:solidFill>
                          <w14:schemeClr w14:val="tx1"/>
                        </w14:solidFill>
                      </w14:textFill>
                    </w:rPr>
                    <w:t>标准</w:t>
                  </w:r>
                </w:p>
              </w:tc>
            </w:tr>
            <w:tr w14:paraId="636C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op w:val="single" w:color="auto" w:sz="4" w:space="0"/>
                    <w:left w:val="single" w:color="auto" w:sz="4" w:space="0"/>
                    <w:bottom w:val="single" w:color="auto" w:sz="4" w:space="0"/>
                    <w:right w:val="single" w:color="auto" w:sz="4" w:space="0"/>
                  </w:tcBorders>
                  <w:vAlign w:val="center"/>
                </w:tcPr>
                <w:p w14:paraId="5C599ED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4598" w:type="pct"/>
                  <w:gridSpan w:val="6"/>
                  <w:tcBorders>
                    <w:top w:val="single" w:color="auto" w:sz="4" w:space="0"/>
                    <w:left w:val="single" w:color="auto" w:sz="4" w:space="0"/>
                    <w:bottom w:val="single" w:color="auto" w:sz="4" w:space="0"/>
                    <w:right w:val="single" w:color="auto" w:sz="4" w:space="0"/>
                  </w:tcBorders>
                  <w:vAlign w:val="center"/>
                </w:tcPr>
                <w:p w14:paraId="051CE592">
                  <w:pPr>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厂址地下水流向下游没有敏感目标，水文单元内地下水执行《地下水质量标准》（</w:t>
                  </w:r>
                  <w:r>
                    <w:rPr>
                      <w:rFonts w:cs="宋体"/>
                      <w:color w:val="000000" w:themeColor="text1"/>
                      <w:szCs w:val="21"/>
                      <w14:textFill>
                        <w14:solidFill>
                          <w14:schemeClr w14:val="tx1"/>
                        </w14:solidFill>
                      </w14:textFill>
                    </w:rPr>
                    <w:t>GB/T 14848- 2017</w:t>
                  </w:r>
                  <w:r>
                    <w:rPr>
                      <w:rFonts w:hint="eastAsia" w:cs="宋体"/>
                      <w:color w:val="000000" w:themeColor="text1"/>
                      <w:szCs w:val="21"/>
                      <w14:textFill>
                        <w14:solidFill>
                          <w14:schemeClr w14:val="tx1"/>
                        </w14:solidFill>
                      </w14:textFill>
                    </w:rPr>
                    <w:t>）Ⅲ类标准</w:t>
                  </w:r>
                </w:p>
              </w:tc>
            </w:tr>
            <w:tr w14:paraId="1AFC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op w:val="single" w:color="auto" w:sz="4" w:space="0"/>
                    <w:left w:val="single" w:color="auto" w:sz="4" w:space="0"/>
                    <w:bottom w:val="single" w:color="auto" w:sz="4" w:space="0"/>
                    <w:right w:val="single" w:color="auto" w:sz="4" w:space="0"/>
                  </w:tcBorders>
                  <w:vAlign w:val="center"/>
                </w:tcPr>
                <w:p w14:paraId="482A49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4598" w:type="pct"/>
                  <w:gridSpan w:val="6"/>
                  <w:tcBorders>
                    <w:top w:val="single" w:color="auto" w:sz="4" w:space="0"/>
                    <w:left w:val="single" w:color="auto" w:sz="4" w:space="0"/>
                    <w:bottom w:val="single" w:color="auto" w:sz="4" w:space="0"/>
                    <w:right w:val="single" w:color="auto" w:sz="4" w:space="0"/>
                  </w:tcBorders>
                  <w:vAlign w:val="center"/>
                </w:tcPr>
                <w:p w14:paraId="207C8104">
                  <w:pPr>
                    <w:jc w:val="center"/>
                    <w:rPr>
                      <w:bCs/>
                      <w:color w:val="000000" w:themeColor="text1"/>
                      <w:szCs w:val="21"/>
                      <w14:textFill>
                        <w14:solidFill>
                          <w14:schemeClr w14:val="tx1"/>
                        </w14:solidFill>
                      </w14:textFill>
                    </w:rPr>
                  </w:pPr>
                  <w:r>
                    <w:rPr>
                      <w:rFonts w:hint="eastAsia"/>
                      <w:color w:val="000000" w:themeColor="text1"/>
                      <w:kern w:val="0"/>
                      <w:szCs w:val="21"/>
                      <w:lang w:val="zh-TW"/>
                      <w14:textFill>
                        <w14:solidFill>
                          <w14:schemeClr w14:val="tx1"/>
                        </w14:solidFill>
                      </w14:textFill>
                    </w:rPr>
                    <w:t>项目场区</w:t>
                  </w:r>
                  <w:r>
                    <w:rPr>
                      <w:color w:val="000000" w:themeColor="text1"/>
                      <w:kern w:val="0"/>
                      <w:szCs w:val="21"/>
                      <w14:textFill>
                        <w14:solidFill>
                          <w14:schemeClr w14:val="tx1"/>
                        </w14:solidFill>
                      </w14:textFill>
                    </w:rPr>
                    <w:t>50</w:t>
                  </w:r>
                  <w:r>
                    <w:rPr>
                      <w:rFonts w:hint="eastAsia"/>
                      <w:color w:val="000000" w:themeColor="text1"/>
                      <w:kern w:val="0"/>
                      <w:szCs w:val="21"/>
                      <w:lang w:val="zh-TW"/>
                      <w14:textFill>
                        <w14:solidFill>
                          <w14:schemeClr w14:val="tx1"/>
                        </w14:solidFill>
                      </w14:textFill>
                    </w:rPr>
                    <w:t>米范围内无声环境敏感点</w:t>
                  </w:r>
                </w:p>
              </w:tc>
            </w:tr>
            <w:tr w14:paraId="57C8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op w:val="single" w:color="auto" w:sz="4" w:space="0"/>
                    <w:left w:val="single" w:color="auto" w:sz="4" w:space="0"/>
                    <w:bottom w:val="single" w:color="auto" w:sz="4" w:space="0"/>
                    <w:right w:val="single" w:color="auto" w:sz="4" w:space="0"/>
                  </w:tcBorders>
                  <w:vAlign w:val="center"/>
                </w:tcPr>
                <w:p w14:paraId="2300348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生态环境</w:t>
                  </w:r>
                </w:p>
              </w:tc>
              <w:tc>
                <w:tcPr>
                  <w:tcW w:w="4598" w:type="pct"/>
                  <w:gridSpan w:val="6"/>
                  <w:tcBorders>
                    <w:top w:val="single" w:color="auto" w:sz="4" w:space="0"/>
                    <w:left w:val="single" w:color="auto" w:sz="4" w:space="0"/>
                    <w:bottom w:val="single" w:color="auto" w:sz="4" w:space="0"/>
                    <w:right w:val="single" w:color="auto" w:sz="4" w:space="0"/>
                  </w:tcBorders>
                  <w:vAlign w:val="center"/>
                </w:tcPr>
                <w:p w14:paraId="1FF3A202">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项目位于工业园区内，周边不涉及</w:t>
                  </w:r>
                  <w:r>
                    <w:rPr>
                      <w:rFonts w:hint="eastAsia"/>
                      <w:color w:val="000000" w:themeColor="text1"/>
                      <w:kern w:val="0"/>
                      <w:szCs w:val="21"/>
                      <w14:textFill>
                        <w14:solidFill>
                          <w14:schemeClr w14:val="tx1"/>
                        </w14:solidFill>
                      </w14:textFill>
                    </w:rPr>
                    <w:t>生态环境保护目标</w:t>
                  </w:r>
                </w:p>
              </w:tc>
            </w:tr>
          </w:tbl>
          <w:p w14:paraId="09910749">
            <w:pPr>
              <w:spacing w:line="360" w:lineRule="auto"/>
              <w:rPr>
                <w:color w:val="000000"/>
                <w:sz w:val="24"/>
              </w:rPr>
            </w:pPr>
          </w:p>
        </w:tc>
      </w:tr>
      <w:tr w14:paraId="632CE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tcMar>
              <w:left w:w="28" w:type="dxa"/>
              <w:right w:w="28" w:type="dxa"/>
            </w:tcMar>
            <w:vAlign w:val="center"/>
          </w:tcPr>
          <w:p w14:paraId="210D5999">
            <w:pPr>
              <w:adjustRightInd w:val="0"/>
              <w:snapToGrid w:val="0"/>
              <w:jc w:val="center"/>
              <w:rPr>
                <w:rFonts w:ascii="宋体" w:hAnsi="宋体" w:cs="宋体"/>
                <w:kern w:val="0"/>
                <w:szCs w:val="21"/>
              </w:rPr>
            </w:pPr>
            <w:r>
              <w:rPr>
                <w:rFonts w:hint="eastAsia" w:ascii="宋体" w:hAnsi="宋体" w:cs="宋体"/>
                <w:kern w:val="0"/>
                <w:szCs w:val="21"/>
              </w:rPr>
              <w:t>污染</w:t>
            </w:r>
          </w:p>
          <w:p w14:paraId="16E2560B">
            <w:pPr>
              <w:adjustRightInd w:val="0"/>
              <w:snapToGrid w:val="0"/>
              <w:jc w:val="center"/>
              <w:rPr>
                <w:rFonts w:ascii="宋体" w:hAnsi="宋体" w:cs="宋体"/>
                <w:kern w:val="0"/>
                <w:szCs w:val="21"/>
              </w:rPr>
            </w:pPr>
            <w:r>
              <w:rPr>
                <w:rFonts w:hint="eastAsia" w:ascii="宋体" w:hAnsi="宋体" w:cs="宋体"/>
                <w:kern w:val="0"/>
                <w:szCs w:val="21"/>
              </w:rPr>
              <w:t>物排</w:t>
            </w:r>
          </w:p>
          <w:p w14:paraId="21DEF435">
            <w:pPr>
              <w:adjustRightInd w:val="0"/>
              <w:snapToGrid w:val="0"/>
              <w:jc w:val="center"/>
              <w:rPr>
                <w:rFonts w:ascii="宋体" w:hAnsi="宋体" w:cs="宋体"/>
                <w:kern w:val="0"/>
                <w:szCs w:val="21"/>
              </w:rPr>
            </w:pPr>
            <w:r>
              <w:rPr>
                <w:rFonts w:hint="eastAsia" w:ascii="宋体" w:hAnsi="宋体" w:cs="宋体"/>
                <w:kern w:val="0"/>
                <w:szCs w:val="21"/>
              </w:rPr>
              <w:t>放控</w:t>
            </w:r>
          </w:p>
          <w:p w14:paraId="08F79B5F">
            <w:pPr>
              <w:adjustRightInd w:val="0"/>
              <w:snapToGrid w:val="0"/>
              <w:jc w:val="center"/>
              <w:rPr>
                <w:rFonts w:ascii="宋体" w:hAnsi="宋体" w:cs="宋体"/>
                <w:kern w:val="0"/>
                <w:szCs w:val="21"/>
              </w:rPr>
            </w:pPr>
            <w:r>
              <w:rPr>
                <w:rFonts w:hint="eastAsia" w:ascii="宋体" w:hAnsi="宋体" w:cs="宋体"/>
                <w:kern w:val="0"/>
                <w:szCs w:val="21"/>
              </w:rPr>
              <w:t>制标</w:t>
            </w:r>
          </w:p>
          <w:p w14:paraId="6E98371E">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14:paraId="2BB54041">
            <w:pPr>
              <w:spacing w:line="500" w:lineRule="atLeast"/>
              <w:ind w:firstLine="482" w:firstLineChars="200"/>
              <w:rPr>
                <w:b/>
                <w:bCs/>
                <w:sz w:val="24"/>
              </w:rPr>
            </w:pPr>
            <w:r>
              <w:rPr>
                <w:rFonts w:hint="eastAsia"/>
                <w:b/>
                <w:bCs/>
                <w:sz w:val="24"/>
              </w:rPr>
              <w:t>一、施工期</w:t>
            </w:r>
          </w:p>
          <w:p w14:paraId="63EE929F">
            <w:pPr>
              <w:spacing w:line="500" w:lineRule="atLeast"/>
              <w:ind w:firstLine="482" w:firstLineChars="200"/>
              <w:rPr>
                <w:bCs/>
                <w:sz w:val="24"/>
              </w:rPr>
            </w:pPr>
            <w:r>
              <w:rPr>
                <w:rFonts w:hint="eastAsia"/>
                <w:b/>
                <w:bCs/>
                <w:sz w:val="24"/>
              </w:rPr>
              <w:t>废气：</w:t>
            </w:r>
            <w:r>
              <w:rPr>
                <w:rFonts w:hint="eastAsia"/>
                <w:bCs/>
                <w:sz w:val="24"/>
              </w:rPr>
              <w:t>施工期废气排放执行《大气污染物综合排放标准》（GB16297-1996）中表2中无组织排放监测浓度限值标准。</w:t>
            </w:r>
          </w:p>
          <w:p w14:paraId="4DC347CB">
            <w:pPr>
              <w:pStyle w:val="51"/>
              <w:numPr>
                <w:ilvl w:val="2"/>
                <w:numId w:val="6"/>
              </w:numPr>
              <w:spacing w:line="500" w:lineRule="atLeast"/>
              <w:ind w:firstLineChars="0"/>
              <w:jc w:val="center"/>
              <w:rPr>
                <w:b/>
                <w:sz w:val="24"/>
              </w:rPr>
            </w:pPr>
            <w:r>
              <w:rPr>
                <w:rFonts w:hint="eastAsia"/>
                <w:b/>
                <w:sz w:val="24"/>
              </w:rPr>
              <w:t>大气污染物排放浓度限值</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126"/>
              <w:gridCol w:w="1843"/>
              <w:gridCol w:w="2992"/>
            </w:tblGrid>
            <w:tr w14:paraId="28DA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 w:type="dxa"/>
                  <w:vMerge w:val="restart"/>
                  <w:vAlign w:val="center"/>
                </w:tcPr>
                <w:p w14:paraId="4F6909A8">
                  <w:pPr>
                    <w:jc w:val="center"/>
                    <w:rPr>
                      <w:color w:val="000000"/>
                      <w:szCs w:val="21"/>
                    </w:rPr>
                  </w:pPr>
                  <w:r>
                    <w:rPr>
                      <w:rFonts w:hint="eastAsia"/>
                      <w:color w:val="000000"/>
                      <w:szCs w:val="21"/>
                    </w:rPr>
                    <w:t>污染物</w:t>
                  </w:r>
                </w:p>
              </w:tc>
              <w:tc>
                <w:tcPr>
                  <w:tcW w:w="3969" w:type="dxa"/>
                  <w:gridSpan w:val="2"/>
                  <w:vAlign w:val="center"/>
                </w:tcPr>
                <w:p w14:paraId="3C284F4C">
                  <w:pPr>
                    <w:jc w:val="center"/>
                    <w:rPr>
                      <w:color w:val="000000"/>
                      <w:szCs w:val="21"/>
                    </w:rPr>
                  </w:pPr>
                  <w:r>
                    <w:rPr>
                      <w:rFonts w:hint="eastAsia"/>
                      <w:color w:val="000000"/>
                      <w:szCs w:val="21"/>
                    </w:rPr>
                    <w:t>无组织排放监测浓度限值</w:t>
                  </w:r>
                </w:p>
              </w:tc>
              <w:tc>
                <w:tcPr>
                  <w:tcW w:w="2992" w:type="dxa"/>
                  <w:vMerge w:val="restart"/>
                  <w:vAlign w:val="center"/>
                </w:tcPr>
                <w:p w14:paraId="57E654E8">
                  <w:pPr>
                    <w:jc w:val="center"/>
                    <w:rPr>
                      <w:color w:val="000000"/>
                      <w:szCs w:val="21"/>
                    </w:rPr>
                  </w:pPr>
                  <w:r>
                    <w:rPr>
                      <w:rFonts w:hint="eastAsia"/>
                      <w:color w:val="000000"/>
                      <w:szCs w:val="21"/>
                    </w:rPr>
                    <w:t>执行标准</w:t>
                  </w:r>
                </w:p>
              </w:tc>
            </w:tr>
            <w:tr w14:paraId="3EE7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 w:type="dxa"/>
                  <w:vMerge w:val="continue"/>
                  <w:vAlign w:val="center"/>
                </w:tcPr>
                <w:p w14:paraId="75BB13ED">
                  <w:pPr>
                    <w:jc w:val="center"/>
                    <w:rPr>
                      <w:color w:val="000000"/>
                      <w:szCs w:val="21"/>
                    </w:rPr>
                  </w:pPr>
                </w:p>
              </w:tc>
              <w:tc>
                <w:tcPr>
                  <w:tcW w:w="2126" w:type="dxa"/>
                  <w:vAlign w:val="center"/>
                </w:tcPr>
                <w:p w14:paraId="6B8598FC">
                  <w:pPr>
                    <w:jc w:val="center"/>
                    <w:rPr>
                      <w:color w:val="000000"/>
                      <w:szCs w:val="21"/>
                    </w:rPr>
                  </w:pPr>
                  <w:r>
                    <w:rPr>
                      <w:rFonts w:hint="eastAsia"/>
                      <w:color w:val="000000"/>
                      <w:szCs w:val="21"/>
                    </w:rPr>
                    <w:t>监控点</w:t>
                  </w:r>
                </w:p>
              </w:tc>
              <w:tc>
                <w:tcPr>
                  <w:tcW w:w="1843" w:type="dxa"/>
                  <w:vAlign w:val="center"/>
                </w:tcPr>
                <w:p w14:paraId="297797C6">
                  <w:pPr>
                    <w:jc w:val="center"/>
                    <w:rPr>
                      <w:color w:val="000000"/>
                      <w:szCs w:val="21"/>
                    </w:rPr>
                  </w:pPr>
                  <w:r>
                    <w:rPr>
                      <w:rFonts w:hint="eastAsia"/>
                      <w:color w:val="000000"/>
                      <w:szCs w:val="21"/>
                    </w:rPr>
                    <w:t>浓度（mg/m</w:t>
                  </w:r>
                  <w:r>
                    <w:rPr>
                      <w:rFonts w:hint="eastAsia"/>
                      <w:color w:val="000000"/>
                      <w:szCs w:val="21"/>
                      <w:vertAlign w:val="superscript"/>
                    </w:rPr>
                    <w:t>3</w:t>
                  </w:r>
                  <w:r>
                    <w:rPr>
                      <w:rFonts w:hint="eastAsia"/>
                      <w:color w:val="000000"/>
                      <w:szCs w:val="21"/>
                    </w:rPr>
                    <w:t>）</w:t>
                  </w:r>
                </w:p>
              </w:tc>
              <w:tc>
                <w:tcPr>
                  <w:tcW w:w="2992" w:type="dxa"/>
                  <w:vMerge w:val="continue"/>
                  <w:vAlign w:val="center"/>
                </w:tcPr>
                <w:p w14:paraId="6E431A8D">
                  <w:pPr>
                    <w:jc w:val="center"/>
                    <w:rPr>
                      <w:color w:val="000000"/>
                      <w:szCs w:val="21"/>
                    </w:rPr>
                  </w:pPr>
                </w:p>
              </w:tc>
            </w:tr>
            <w:tr w14:paraId="3F5C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 w:type="dxa"/>
                  <w:vAlign w:val="center"/>
                </w:tcPr>
                <w:p w14:paraId="12994EAB">
                  <w:pPr>
                    <w:jc w:val="center"/>
                    <w:rPr>
                      <w:color w:val="000000"/>
                      <w:szCs w:val="21"/>
                    </w:rPr>
                  </w:pPr>
                  <w:r>
                    <w:rPr>
                      <w:rFonts w:hint="eastAsia"/>
                      <w:color w:val="000000"/>
                      <w:szCs w:val="21"/>
                    </w:rPr>
                    <w:t>颗粒物</w:t>
                  </w:r>
                </w:p>
              </w:tc>
              <w:tc>
                <w:tcPr>
                  <w:tcW w:w="2126" w:type="dxa"/>
                  <w:vAlign w:val="center"/>
                </w:tcPr>
                <w:p w14:paraId="649A7A15">
                  <w:pPr>
                    <w:jc w:val="center"/>
                    <w:rPr>
                      <w:color w:val="000000"/>
                      <w:szCs w:val="21"/>
                    </w:rPr>
                  </w:pPr>
                  <w:r>
                    <w:rPr>
                      <w:rFonts w:hint="eastAsia"/>
                      <w:color w:val="000000"/>
                      <w:szCs w:val="21"/>
                    </w:rPr>
                    <w:t>周界外浓度最高点</w:t>
                  </w:r>
                </w:p>
              </w:tc>
              <w:tc>
                <w:tcPr>
                  <w:tcW w:w="1843" w:type="dxa"/>
                  <w:vAlign w:val="center"/>
                </w:tcPr>
                <w:p w14:paraId="4EB4BA01">
                  <w:pPr>
                    <w:jc w:val="center"/>
                    <w:rPr>
                      <w:color w:val="000000"/>
                      <w:szCs w:val="21"/>
                    </w:rPr>
                  </w:pPr>
                  <w:r>
                    <w:rPr>
                      <w:rFonts w:hint="eastAsia"/>
                      <w:color w:val="000000"/>
                      <w:szCs w:val="21"/>
                    </w:rPr>
                    <w:t>1.0</w:t>
                  </w:r>
                </w:p>
              </w:tc>
              <w:tc>
                <w:tcPr>
                  <w:tcW w:w="2992" w:type="dxa"/>
                  <w:vAlign w:val="center"/>
                </w:tcPr>
                <w:p w14:paraId="3DBE5BD6">
                  <w:pPr>
                    <w:jc w:val="center"/>
                    <w:rPr>
                      <w:color w:val="000000"/>
                      <w:szCs w:val="21"/>
                    </w:rPr>
                  </w:pPr>
                  <w:r>
                    <w:rPr>
                      <w:rFonts w:hint="eastAsia"/>
                      <w:color w:val="000000"/>
                      <w:szCs w:val="21"/>
                    </w:rPr>
                    <w:t>《大气污染物综合排放标准》GB16297-1996）二级标准</w:t>
                  </w:r>
                </w:p>
              </w:tc>
            </w:tr>
          </w:tbl>
          <w:p w14:paraId="68938D9D">
            <w:pPr>
              <w:spacing w:line="500" w:lineRule="atLeast"/>
              <w:ind w:firstLine="482" w:firstLineChars="200"/>
              <w:rPr>
                <w:bCs/>
                <w:sz w:val="24"/>
                <w:u w:val="single"/>
              </w:rPr>
            </w:pPr>
            <w:r>
              <w:rPr>
                <w:rFonts w:hint="eastAsia"/>
                <w:b/>
                <w:bCs/>
                <w:sz w:val="24"/>
              </w:rPr>
              <w:t>废水：</w:t>
            </w:r>
            <w:r>
              <w:rPr>
                <w:rFonts w:hint="eastAsia"/>
                <w:b w:val="0"/>
                <w:bCs w:val="0"/>
                <w:sz w:val="24"/>
                <w:u w:val="single"/>
              </w:rPr>
              <w:t>施工废水主要施工现场清洗等产生的废水，量较少，废水中主要以SS污染为主，经沉淀后可用于施工场地洒水降尘，不外排。</w:t>
            </w:r>
            <w:r>
              <w:rPr>
                <w:rFonts w:hint="eastAsia"/>
                <w:bCs/>
                <w:sz w:val="24"/>
                <w:u w:val="single"/>
              </w:rPr>
              <w:t>施工期间的生活污水依托现有工程化粪池处理</w:t>
            </w:r>
            <w:r>
              <w:rPr>
                <w:rFonts w:hint="eastAsia"/>
                <w:bCs/>
                <w:sz w:val="24"/>
                <w:u w:val="single"/>
                <w:lang w:val="en-US" w:eastAsia="zh-CN"/>
              </w:rPr>
              <w:t>，废水经处理后</w:t>
            </w:r>
            <w:r>
              <w:rPr>
                <w:rFonts w:hint="eastAsia"/>
                <w:bCs/>
                <w:sz w:val="24"/>
                <w:u w:val="single"/>
              </w:rPr>
              <w:t>达到广西华谊能源化工有限公司与广西天宜环境科技有限公司签订的纳管协议后通过专管输送至天宜</w:t>
            </w:r>
            <w:r>
              <w:rPr>
                <w:rFonts w:hint="eastAsia"/>
                <w:bCs/>
                <w:sz w:val="24"/>
                <w:u w:val="single"/>
                <w:lang w:eastAsia="zh-CN"/>
              </w:rPr>
              <w:t>污水处理厂</w:t>
            </w:r>
            <w:r>
              <w:rPr>
                <w:rFonts w:hint="eastAsia"/>
                <w:bCs/>
                <w:sz w:val="24"/>
                <w:u w:val="single"/>
              </w:rPr>
              <w:t>（一期）进行处理。</w:t>
            </w:r>
          </w:p>
          <w:p w14:paraId="77E561F4">
            <w:pPr>
              <w:spacing w:line="500" w:lineRule="atLeast"/>
              <w:ind w:firstLine="482" w:firstLineChars="200"/>
              <w:rPr>
                <w:rFonts w:hint="eastAsia"/>
                <w:bCs/>
                <w:sz w:val="24"/>
              </w:rPr>
            </w:pPr>
            <w:r>
              <w:rPr>
                <w:rFonts w:hint="eastAsia"/>
                <w:b/>
                <w:bCs/>
                <w:sz w:val="24"/>
              </w:rPr>
              <w:t>噪声：</w:t>
            </w:r>
            <w:r>
              <w:rPr>
                <w:rFonts w:hint="eastAsia"/>
                <w:bCs/>
                <w:sz w:val="24"/>
              </w:rPr>
              <w:t>施工期噪声排放标准执行《建筑施工噪声排放标准》（GB12523-2025）。</w:t>
            </w:r>
          </w:p>
          <w:p w14:paraId="26212ED7">
            <w:pPr>
              <w:pStyle w:val="51"/>
              <w:numPr>
                <w:ilvl w:val="2"/>
                <w:numId w:val="6"/>
              </w:numPr>
              <w:spacing w:line="500" w:lineRule="atLeast"/>
              <w:ind w:firstLineChars="0"/>
              <w:jc w:val="center"/>
              <w:rPr>
                <w:b/>
                <w:sz w:val="24"/>
              </w:rPr>
            </w:pPr>
            <w:r>
              <w:rPr>
                <w:rFonts w:hint="eastAsia"/>
                <w:b/>
                <w:sz w:val="24"/>
              </w:rPr>
              <w:t>《建筑施工噪声排放标准》单位：等效声级 Leq[dB(A)]</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3405"/>
              <w:gridCol w:w="2952"/>
            </w:tblGrid>
            <w:tr w14:paraId="1393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 w:type="dxa"/>
                  <w:vAlign w:val="center"/>
                </w:tcPr>
                <w:p w14:paraId="4306E11E">
                  <w:pPr>
                    <w:jc w:val="center"/>
                    <w:rPr>
                      <w:color w:val="000000"/>
                      <w:szCs w:val="21"/>
                    </w:rPr>
                  </w:pPr>
                  <w:r>
                    <w:rPr>
                      <w:rFonts w:hint="eastAsia"/>
                      <w:color w:val="000000"/>
                      <w:szCs w:val="21"/>
                    </w:rPr>
                    <w:t>时段</w:t>
                  </w:r>
                </w:p>
              </w:tc>
              <w:tc>
                <w:tcPr>
                  <w:tcW w:w="2126" w:type="dxa"/>
                  <w:vAlign w:val="center"/>
                </w:tcPr>
                <w:p w14:paraId="49C0309D">
                  <w:pPr>
                    <w:jc w:val="center"/>
                    <w:rPr>
                      <w:color w:val="000000"/>
                      <w:szCs w:val="21"/>
                    </w:rPr>
                  </w:pPr>
                  <w:r>
                    <w:rPr>
                      <w:rFonts w:hint="eastAsia"/>
                      <w:color w:val="000000"/>
                      <w:szCs w:val="21"/>
                    </w:rPr>
                    <w:t>昼间</w:t>
                  </w:r>
                </w:p>
              </w:tc>
              <w:tc>
                <w:tcPr>
                  <w:tcW w:w="1843" w:type="dxa"/>
                  <w:vAlign w:val="center"/>
                </w:tcPr>
                <w:p w14:paraId="031297BE">
                  <w:pPr>
                    <w:jc w:val="center"/>
                    <w:rPr>
                      <w:color w:val="000000"/>
                      <w:szCs w:val="21"/>
                    </w:rPr>
                  </w:pPr>
                  <w:r>
                    <w:rPr>
                      <w:rFonts w:hint="eastAsia"/>
                      <w:color w:val="000000"/>
                      <w:szCs w:val="21"/>
                    </w:rPr>
                    <w:t>夜间</w:t>
                  </w:r>
                </w:p>
              </w:tc>
            </w:tr>
            <w:tr w14:paraId="09AC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 w:type="dxa"/>
                  <w:vAlign w:val="center"/>
                </w:tcPr>
                <w:p w14:paraId="64383B30">
                  <w:pPr>
                    <w:jc w:val="center"/>
                    <w:rPr>
                      <w:color w:val="000000"/>
                      <w:szCs w:val="21"/>
                    </w:rPr>
                  </w:pPr>
                  <w:r>
                    <w:rPr>
                      <w:rFonts w:hint="eastAsia"/>
                      <w:color w:val="000000"/>
                      <w:szCs w:val="21"/>
                    </w:rPr>
                    <w:t>标准限值</w:t>
                  </w:r>
                </w:p>
              </w:tc>
              <w:tc>
                <w:tcPr>
                  <w:tcW w:w="2126" w:type="dxa"/>
                  <w:vAlign w:val="center"/>
                </w:tcPr>
                <w:p w14:paraId="3745541B">
                  <w:pPr>
                    <w:jc w:val="center"/>
                    <w:rPr>
                      <w:color w:val="000000"/>
                      <w:szCs w:val="21"/>
                    </w:rPr>
                  </w:pPr>
                  <w:r>
                    <w:rPr>
                      <w:rFonts w:hint="eastAsia"/>
                      <w:color w:val="000000"/>
                      <w:szCs w:val="21"/>
                    </w:rPr>
                    <w:t>70</w:t>
                  </w:r>
                </w:p>
              </w:tc>
              <w:tc>
                <w:tcPr>
                  <w:tcW w:w="1843" w:type="dxa"/>
                  <w:vAlign w:val="center"/>
                </w:tcPr>
                <w:p w14:paraId="78DBD651">
                  <w:pPr>
                    <w:jc w:val="center"/>
                    <w:rPr>
                      <w:color w:val="000000"/>
                      <w:szCs w:val="21"/>
                    </w:rPr>
                  </w:pPr>
                  <w:r>
                    <w:rPr>
                      <w:rFonts w:hint="eastAsia"/>
                      <w:color w:val="000000"/>
                      <w:szCs w:val="21"/>
                    </w:rPr>
                    <w:t>55</w:t>
                  </w:r>
                </w:p>
              </w:tc>
            </w:tr>
          </w:tbl>
          <w:p w14:paraId="43CF7842">
            <w:pPr>
              <w:spacing w:line="500" w:lineRule="atLeast"/>
              <w:ind w:firstLine="482" w:firstLineChars="200"/>
              <w:rPr>
                <w:rFonts w:hint="eastAsia"/>
                <w:b/>
                <w:bCs/>
                <w:sz w:val="24"/>
                <w:lang w:val="en-US" w:eastAsia="zh-CN"/>
              </w:rPr>
            </w:pPr>
            <w:r>
              <w:rPr>
                <w:rFonts w:hint="eastAsia"/>
                <w:b/>
                <w:bCs/>
                <w:sz w:val="24"/>
                <w:lang w:val="en-US" w:eastAsia="zh-CN"/>
              </w:rPr>
              <w:t>固体废物：</w:t>
            </w:r>
            <w:r>
              <w:rPr>
                <w:rFonts w:hint="eastAsia"/>
                <w:b w:val="0"/>
                <w:bCs w:val="0"/>
                <w:sz w:val="24"/>
                <w:lang w:val="en-US" w:eastAsia="zh-CN"/>
              </w:rPr>
              <w:t>施工期产生的一般固废参照《一般工业固体废物贮存和填埋污染控制标准》（GB18599-2020）采取防渗漏、防雨淋、防扬尘以及其他防止污染环境的措施，严禁擅自倾倒、堆放、丢弃、遗撒一般工业固体废物。危险废物贮存执行《危险废物贮存污染控制标准》（GB18597-2023）的有关规定。</w:t>
            </w:r>
          </w:p>
          <w:p w14:paraId="1823AA83">
            <w:pPr>
              <w:spacing w:line="500" w:lineRule="atLeast"/>
              <w:ind w:firstLine="482" w:firstLineChars="200"/>
              <w:rPr>
                <w:b/>
                <w:bCs/>
                <w:sz w:val="24"/>
              </w:rPr>
            </w:pPr>
            <w:r>
              <w:rPr>
                <w:rFonts w:hint="eastAsia"/>
                <w:b/>
                <w:bCs/>
                <w:sz w:val="24"/>
              </w:rPr>
              <w:t>二、运营期</w:t>
            </w:r>
          </w:p>
          <w:p w14:paraId="38588261">
            <w:pPr>
              <w:spacing w:line="500" w:lineRule="atLeast"/>
              <w:ind w:firstLine="482" w:firstLineChars="200"/>
              <w:rPr>
                <w:b/>
                <w:bCs/>
                <w:sz w:val="24"/>
              </w:rPr>
            </w:pPr>
            <w:r>
              <w:rPr>
                <w:rFonts w:hint="eastAsia"/>
                <w:b/>
                <w:bCs/>
                <w:sz w:val="24"/>
              </w:rPr>
              <w:t>1、废水</w:t>
            </w:r>
          </w:p>
          <w:p w14:paraId="45B1FBA8">
            <w:pPr>
              <w:spacing w:line="500" w:lineRule="atLeast"/>
              <w:ind w:firstLine="480" w:firstLineChars="200"/>
              <w:rPr>
                <w:rFonts w:hint="eastAsia"/>
                <w:bCs/>
                <w:sz w:val="24"/>
                <w:lang w:val="en-US" w:eastAsia="zh-CN"/>
              </w:rPr>
            </w:pPr>
            <w:r>
              <w:rPr>
                <w:rFonts w:hint="eastAsia"/>
                <w:bCs/>
                <w:sz w:val="24"/>
              </w:rPr>
              <w:t>本项目运营期间，</w:t>
            </w:r>
            <w:r>
              <w:rPr>
                <w:rFonts w:hint="eastAsia"/>
                <w:bCs/>
                <w:sz w:val="24"/>
                <w:lang w:val="en-US" w:eastAsia="zh-CN"/>
              </w:rPr>
              <w:t>无废水产生，因此无废水污染物执行标准。</w:t>
            </w:r>
          </w:p>
          <w:p w14:paraId="585C2A19">
            <w:pPr>
              <w:spacing w:line="500" w:lineRule="atLeast"/>
              <w:ind w:firstLine="482" w:firstLineChars="200"/>
              <w:rPr>
                <w:b/>
                <w:bCs/>
                <w:sz w:val="24"/>
              </w:rPr>
            </w:pPr>
            <w:r>
              <w:rPr>
                <w:rFonts w:hint="eastAsia"/>
                <w:b/>
                <w:bCs/>
                <w:sz w:val="24"/>
              </w:rPr>
              <w:t>2、废气</w:t>
            </w:r>
          </w:p>
          <w:p w14:paraId="6323EC7B">
            <w:pPr>
              <w:spacing w:line="500" w:lineRule="atLeast"/>
              <w:ind w:firstLine="480" w:firstLineChars="200"/>
              <w:rPr>
                <w:rFonts w:hint="eastAsia"/>
                <w:bCs/>
                <w:sz w:val="24"/>
                <w:lang w:val="en-US" w:eastAsia="zh-CN"/>
              </w:rPr>
            </w:pPr>
            <w:r>
              <w:rPr>
                <w:rFonts w:hint="eastAsia"/>
                <w:bCs/>
                <w:sz w:val="24"/>
                <w:lang w:val="en-US" w:eastAsia="zh-CN"/>
              </w:rPr>
              <w:t>本</w:t>
            </w:r>
            <w:r>
              <w:rPr>
                <w:rFonts w:hint="eastAsia"/>
                <w:bCs/>
                <w:sz w:val="24"/>
              </w:rPr>
              <w:t>项目</w:t>
            </w:r>
            <w:r>
              <w:rPr>
                <w:rFonts w:hint="eastAsia"/>
                <w:bCs/>
                <w:sz w:val="24"/>
                <w:lang w:val="en-US" w:eastAsia="zh-CN"/>
              </w:rPr>
              <w:t>运营期产生的废气主要为产品贮存过程产生的呼吸废气，主要为少量挥发性有机物（以非甲烷总烃计），做无组织排放。厂界挥发性有机物执行《石油化学工业污染物排放标准》（GB31571-2015）中表7企业边界大气污染物浓度限值；厂区内挥发性有机物无组织排放执行《挥发性有机物无组织排放控制标准》（GB37822-2019）中表A.1中厂区内VOCs无组织排放限值，具体标准值详见表3-7、表3-8。</w:t>
            </w:r>
          </w:p>
          <w:p w14:paraId="123A4783">
            <w:pPr>
              <w:pStyle w:val="51"/>
              <w:numPr>
                <w:ilvl w:val="2"/>
                <w:numId w:val="6"/>
              </w:numPr>
              <w:spacing w:line="500" w:lineRule="atLeast"/>
              <w:ind w:firstLineChars="0"/>
              <w:jc w:val="center"/>
              <w:rPr>
                <w:rFonts w:hint="eastAsia"/>
                <w:bCs/>
                <w:sz w:val="24"/>
                <w:lang w:val="en-US" w:eastAsia="zh-CN"/>
              </w:rPr>
            </w:pPr>
            <w:r>
              <w:rPr>
                <w:rFonts w:hint="eastAsia"/>
                <w:b/>
                <w:sz w:val="24"/>
                <w:lang w:val="en-US" w:eastAsia="zh-CN"/>
              </w:rPr>
              <w:t>厂界无组织废气排放标准</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07"/>
              <w:gridCol w:w="1255"/>
              <w:gridCol w:w="1381"/>
              <w:gridCol w:w="3096"/>
            </w:tblGrid>
            <w:tr w14:paraId="0FBE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noWrap w:val="0"/>
                  <w:vAlign w:val="center"/>
                </w:tcPr>
                <w:p w14:paraId="123FCD68">
                  <w:pPr>
                    <w:pStyle w:val="70"/>
                    <w:snapToGrid w:val="0"/>
                    <w:spacing w:before="0" w:line="240" w:lineRule="exact"/>
                    <w:rPr>
                      <w:rFonts w:ascii="Times New Roman"/>
                      <w:sz w:val="21"/>
                      <w:szCs w:val="21"/>
                    </w:rPr>
                  </w:pPr>
                  <w:r>
                    <w:rPr>
                      <w:rFonts w:hint="eastAsia" w:ascii="Times New Roman"/>
                      <w:sz w:val="21"/>
                      <w:szCs w:val="21"/>
                    </w:rPr>
                    <w:t>序号</w:t>
                  </w:r>
                </w:p>
              </w:tc>
              <w:tc>
                <w:tcPr>
                  <w:tcW w:w="946" w:type="pct"/>
                  <w:noWrap w:val="0"/>
                  <w:vAlign w:val="center"/>
                </w:tcPr>
                <w:p w14:paraId="5EBD81A9">
                  <w:pPr>
                    <w:pStyle w:val="70"/>
                    <w:snapToGrid w:val="0"/>
                    <w:spacing w:before="0" w:line="240" w:lineRule="exact"/>
                    <w:rPr>
                      <w:rFonts w:ascii="Times New Roman"/>
                      <w:sz w:val="21"/>
                      <w:szCs w:val="21"/>
                    </w:rPr>
                  </w:pPr>
                  <w:r>
                    <w:rPr>
                      <w:rFonts w:hint="eastAsia" w:ascii="Times New Roman"/>
                      <w:sz w:val="21"/>
                      <w:szCs w:val="21"/>
                    </w:rPr>
                    <w:t>污染物</w:t>
                  </w:r>
                </w:p>
              </w:tc>
              <w:tc>
                <w:tcPr>
                  <w:tcW w:w="787" w:type="pct"/>
                  <w:noWrap w:val="0"/>
                  <w:vAlign w:val="center"/>
                </w:tcPr>
                <w:p w14:paraId="4C85DCD3">
                  <w:pPr>
                    <w:pStyle w:val="70"/>
                    <w:snapToGrid w:val="0"/>
                    <w:spacing w:before="0" w:line="240" w:lineRule="exact"/>
                    <w:rPr>
                      <w:rFonts w:ascii="Times New Roman"/>
                      <w:sz w:val="21"/>
                      <w:szCs w:val="21"/>
                    </w:rPr>
                  </w:pPr>
                  <w:r>
                    <w:rPr>
                      <w:rFonts w:hint="eastAsia" w:ascii="Times New Roman"/>
                      <w:sz w:val="21"/>
                      <w:szCs w:val="21"/>
                    </w:rPr>
                    <w:t>标准值</w:t>
                  </w:r>
                  <w:r>
                    <w:rPr>
                      <w:rFonts w:ascii="Times New Roman"/>
                      <w:sz w:val="21"/>
                      <w:szCs w:val="21"/>
                    </w:rPr>
                    <w:t>（mg/m</w:t>
                  </w:r>
                  <w:r>
                    <w:rPr>
                      <w:rFonts w:ascii="Times New Roman"/>
                      <w:sz w:val="21"/>
                      <w:szCs w:val="21"/>
                      <w:vertAlign w:val="superscript"/>
                    </w:rPr>
                    <w:t>3</w:t>
                  </w:r>
                  <w:r>
                    <w:rPr>
                      <w:rFonts w:ascii="Times New Roman"/>
                      <w:sz w:val="21"/>
                      <w:szCs w:val="21"/>
                    </w:rPr>
                    <w:t>）</w:t>
                  </w:r>
                </w:p>
              </w:tc>
              <w:tc>
                <w:tcPr>
                  <w:tcW w:w="867" w:type="pct"/>
                  <w:noWrap w:val="0"/>
                  <w:vAlign w:val="center"/>
                </w:tcPr>
                <w:p w14:paraId="2AAD6267">
                  <w:pPr>
                    <w:pStyle w:val="70"/>
                    <w:snapToGrid w:val="0"/>
                    <w:spacing w:line="240" w:lineRule="exact"/>
                    <w:rPr>
                      <w:rFonts w:ascii="Times New Roman"/>
                      <w:sz w:val="21"/>
                      <w:szCs w:val="21"/>
                    </w:rPr>
                  </w:pPr>
                  <w:r>
                    <w:rPr>
                      <w:rFonts w:hint="eastAsia" w:ascii="Times New Roman"/>
                      <w:sz w:val="21"/>
                      <w:szCs w:val="21"/>
                    </w:rPr>
                    <w:t>无组织</w:t>
                  </w:r>
                </w:p>
                <w:p w14:paraId="629ABD88">
                  <w:pPr>
                    <w:pStyle w:val="70"/>
                    <w:snapToGrid w:val="0"/>
                    <w:spacing w:before="0" w:line="240" w:lineRule="exact"/>
                    <w:rPr>
                      <w:rFonts w:ascii="Times New Roman"/>
                      <w:sz w:val="21"/>
                      <w:szCs w:val="21"/>
                    </w:rPr>
                  </w:pPr>
                  <w:r>
                    <w:rPr>
                      <w:rFonts w:hint="eastAsia" w:ascii="Times New Roman"/>
                      <w:sz w:val="21"/>
                      <w:szCs w:val="21"/>
                    </w:rPr>
                    <w:t>排放监控位置</w:t>
                  </w:r>
                </w:p>
              </w:tc>
              <w:tc>
                <w:tcPr>
                  <w:tcW w:w="1943" w:type="pct"/>
                  <w:noWrap w:val="0"/>
                  <w:vAlign w:val="center"/>
                </w:tcPr>
                <w:p w14:paraId="230C1A0B">
                  <w:pPr>
                    <w:pStyle w:val="70"/>
                    <w:snapToGrid w:val="0"/>
                    <w:spacing w:before="0" w:line="240" w:lineRule="exact"/>
                    <w:rPr>
                      <w:rFonts w:ascii="Times New Roman"/>
                      <w:sz w:val="21"/>
                      <w:szCs w:val="21"/>
                    </w:rPr>
                  </w:pPr>
                  <w:r>
                    <w:rPr>
                      <w:rFonts w:hint="eastAsia" w:ascii="Times New Roman"/>
                      <w:sz w:val="21"/>
                      <w:szCs w:val="21"/>
                    </w:rPr>
                    <w:t>执行标准</w:t>
                  </w:r>
                </w:p>
              </w:tc>
            </w:tr>
            <w:tr w14:paraId="26EA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noWrap w:val="0"/>
                  <w:vAlign w:val="center"/>
                </w:tcPr>
                <w:p w14:paraId="73CAC52B">
                  <w:pPr>
                    <w:pStyle w:val="70"/>
                    <w:snapToGrid w:val="0"/>
                    <w:spacing w:before="0" w:line="240" w:lineRule="exact"/>
                    <w:rPr>
                      <w:rFonts w:ascii="Times New Roman"/>
                      <w:sz w:val="21"/>
                      <w:szCs w:val="21"/>
                    </w:rPr>
                  </w:pPr>
                  <w:r>
                    <w:rPr>
                      <w:rFonts w:hint="eastAsia" w:ascii="Times New Roman"/>
                      <w:sz w:val="21"/>
                      <w:szCs w:val="21"/>
                    </w:rPr>
                    <w:t>1</w:t>
                  </w:r>
                </w:p>
              </w:tc>
              <w:tc>
                <w:tcPr>
                  <w:tcW w:w="946" w:type="pct"/>
                  <w:shd w:val="clear" w:color="auto" w:fill="auto"/>
                  <w:noWrap w:val="0"/>
                  <w:vAlign w:val="center"/>
                </w:tcPr>
                <w:p w14:paraId="06FC0EF9">
                  <w:pPr>
                    <w:pStyle w:val="70"/>
                    <w:snapToGrid w:val="0"/>
                    <w:spacing w:before="0" w:line="240" w:lineRule="exact"/>
                    <w:ind w:right="0" w:rightChars="0" w:firstLine="0" w:firstLineChars="0"/>
                    <w:rPr>
                      <w:rFonts w:ascii="Times New Roman" w:hAnsi="宋体" w:eastAsia="宋体" w:cs="Times New Roman"/>
                      <w:kern w:val="28"/>
                      <w:sz w:val="21"/>
                      <w:szCs w:val="21"/>
                      <w:lang w:val="en-US" w:eastAsia="zh-CN" w:bidi="ar-SA"/>
                    </w:rPr>
                  </w:pPr>
                  <w:r>
                    <w:rPr>
                      <w:rFonts w:hint="eastAsia" w:ascii="Times New Roman"/>
                      <w:sz w:val="21"/>
                      <w:szCs w:val="21"/>
                    </w:rPr>
                    <w:t>非甲烷总烃</w:t>
                  </w:r>
                </w:p>
              </w:tc>
              <w:tc>
                <w:tcPr>
                  <w:tcW w:w="787" w:type="pct"/>
                  <w:shd w:val="clear" w:color="auto" w:fill="auto"/>
                  <w:noWrap w:val="0"/>
                  <w:vAlign w:val="center"/>
                </w:tcPr>
                <w:p w14:paraId="46418FE1">
                  <w:pPr>
                    <w:pStyle w:val="70"/>
                    <w:snapToGrid w:val="0"/>
                    <w:spacing w:before="0" w:line="240" w:lineRule="exact"/>
                    <w:ind w:right="0" w:rightChars="0" w:firstLine="0" w:firstLineChars="0"/>
                    <w:rPr>
                      <w:rFonts w:ascii="Times New Roman" w:hAnsi="宋体" w:eastAsia="宋体" w:cs="Times New Roman"/>
                      <w:kern w:val="28"/>
                      <w:sz w:val="21"/>
                      <w:szCs w:val="21"/>
                      <w:lang w:val="en-US" w:eastAsia="zh-CN" w:bidi="ar-SA"/>
                    </w:rPr>
                  </w:pPr>
                  <w:r>
                    <w:rPr>
                      <w:rFonts w:hint="eastAsia" w:ascii="Times New Roman"/>
                      <w:sz w:val="21"/>
                      <w:szCs w:val="21"/>
                    </w:rPr>
                    <w:t>4.0</w:t>
                  </w:r>
                </w:p>
              </w:tc>
              <w:tc>
                <w:tcPr>
                  <w:tcW w:w="867" w:type="pct"/>
                  <w:noWrap w:val="0"/>
                  <w:vAlign w:val="center"/>
                </w:tcPr>
                <w:p w14:paraId="4E1D18E3">
                  <w:pPr>
                    <w:pStyle w:val="70"/>
                    <w:snapToGrid w:val="0"/>
                    <w:spacing w:before="0" w:line="240" w:lineRule="exact"/>
                    <w:rPr>
                      <w:rFonts w:ascii="Times New Roman"/>
                      <w:sz w:val="21"/>
                      <w:szCs w:val="21"/>
                    </w:rPr>
                  </w:pPr>
                  <w:r>
                    <w:rPr>
                      <w:rFonts w:hint="eastAsia" w:ascii="Times New Roman"/>
                      <w:sz w:val="21"/>
                      <w:szCs w:val="21"/>
                    </w:rPr>
                    <w:t>企业厂界边界</w:t>
                  </w:r>
                </w:p>
              </w:tc>
              <w:tc>
                <w:tcPr>
                  <w:tcW w:w="1943" w:type="pct"/>
                  <w:noWrap w:val="0"/>
                  <w:vAlign w:val="center"/>
                </w:tcPr>
                <w:p w14:paraId="050C7634">
                  <w:pPr>
                    <w:pStyle w:val="70"/>
                    <w:snapToGrid w:val="0"/>
                    <w:spacing w:before="0" w:line="240" w:lineRule="exact"/>
                    <w:rPr>
                      <w:rFonts w:ascii="Times New Roman"/>
                      <w:sz w:val="21"/>
                      <w:szCs w:val="21"/>
                    </w:rPr>
                  </w:pPr>
                  <w:r>
                    <w:rPr>
                      <w:rFonts w:hint="eastAsia" w:ascii="Times New Roman"/>
                      <w:kern w:val="0"/>
                    </w:rPr>
                    <w:t>《</w:t>
                  </w:r>
                  <w:r>
                    <w:rPr>
                      <w:rFonts w:hint="eastAsia" w:ascii="Times New Roman"/>
                      <w:kern w:val="2"/>
                      <w:sz w:val="21"/>
                      <w:szCs w:val="21"/>
                    </w:rPr>
                    <w:t>石油化学工业污染物排放标准》（GB31571-2015，含2024年修改单）</w:t>
                  </w:r>
                </w:p>
              </w:tc>
            </w:tr>
          </w:tbl>
          <w:p w14:paraId="3B8CE31E">
            <w:pPr>
              <w:pStyle w:val="51"/>
              <w:numPr>
                <w:ilvl w:val="2"/>
                <w:numId w:val="6"/>
              </w:numPr>
              <w:spacing w:line="500" w:lineRule="atLeast"/>
              <w:ind w:firstLineChars="0"/>
              <w:jc w:val="center"/>
              <w:rPr>
                <w:rFonts w:hint="eastAsia"/>
                <w:bCs/>
                <w:sz w:val="24"/>
                <w:lang w:val="en-US" w:eastAsia="zh-CN"/>
              </w:rPr>
            </w:pPr>
            <w:r>
              <w:rPr>
                <w:rFonts w:hint="eastAsia"/>
                <w:b/>
                <w:sz w:val="24"/>
                <w:lang w:val="en-US" w:eastAsia="zh-CN"/>
              </w:rPr>
              <w:t>厂区内无组织废气排放标准</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811"/>
              <w:gridCol w:w="1005"/>
              <w:gridCol w:w="2490"/>
              <w:gridCol w:w="1285"/>
              <w:gridCol w:w="1454"/>
            </w:tblGrid>
            <w:tr w14:paraId="14AD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pct"/>
                  <w:noWrap w:val="0"/>
                  <w:vAlign w:val="center"/>
                </w:tcPr>
                <w:p w14:paraId="4B86AE7A">
                  <w:pPr>
                    <w:pStyle w:val="70"/>
                    <w:snapToGrid w:val="0"/>
                    <w:spacing w:before="0" w:line="240" w:lineRule="exact"/>
                    <w:rPr>
                      <w:rFonts w:ascii="Times New Roman"/>
                      <w:sz w:val="21"/>
                      <w:szCs w:val="21"/>
                    </w:rPr>
                  </w:pPr>
                  <w:r>
                    <w:rPr>
                      <w:rFonts w:ascii="Times New Roman"/>
                      <w:sz w:val="21"/>
                      <w:szCs w:val="21"/>
                    </w:rPr>
                    <w:t>污染物项目</w:t>
                  </w:r>
                </w:p>
              </w:tc>
              <w:tc>
                <w:tcPr>
                  <w:tcW w:w="509" w:type="pct"/>
                  <w:noWrap w:val="0"/>
                  <w:vAlign w:val="center"/>
                </w:tcPr>
                <w:p w14:paraId="79EAA5E1">
                  <w:pPr>
                    <w:pStyle w:val="70"/>
                    <w:snapToGrid w:val="0"/>
                    <w:spacing w:before="0" w:line="240" w:lineRule="exact"/>
                    <w:rPr>
                      <w:rFonts w:ascii="Times New Roman"/>
                      <w:sz w:val="21"/>
                      <w:szCs w:val="21"/>
                    </w:rPr>
                  </w:pPr>
                  <w:r>
                    <w:rPr>
                      <w:rFonts w:ascii="Times New Roman"/>
                      <w:sz w:val="21"/>
                      <w:szCs w:val="21"/>
                    </w:rPr>
                    <w:t>排放限值</w:t>
                  </w:r>
                </w:p>
              </w:tc>
              <w:tc>
                <w:tcPr>
                  <w:tcW w:w="630" w:type="pct"/>
                  <w:noWrap w:val="0"/>
                  <w:vAlign w:val="center"/>
                </w:tcPr>
                <w:p w14:paraId="75B279A4">
                  <w:pPr>
                    <w:pStyle w:val="70"/>
                    <w:snapToGrid w:val="0"/>
                    <w:spacing w:before="0" w:line="240" w:lineRule="exact"/>
                    <w:rPr>
                      <w:rFonts w:ascii="Times New Roman"/>
                      <w:sz w:val="21"/>
                      <w:szCs w:val="21"/>
                    </w:rPr>
                  </w:pPr>
                  <w:r>
                    <w:rPr>
                      <w:rFonts w:ascii="Times New Roman"/>
                      <w:sz w:val="21"/>
                      <w:szCs w:val="21"/>
                    </w:rPr>
                    <w:t>特别排放限值</w:t>
                  </w:r>
                </w:p>
              </w:tc>
              <w:tc>
                <w:tcPr>
                  <w:tcW w:w="1563" w:type="pct"/>
                  <w:noWrap w:val="0"/>
                  <w:vAlign w:val="center"/>
                </w:tcPr>
                <w:p w14:paraId="5968BF1A">
                  <w:pPr>
                    <w:pStyle w:val="70"/>
                    <w:snapToGrid w:val="0"/>
                    <w:spacing w:before="0" w:line="240" w:lineRule="exact"/>
                    <w:rPr>
                      <w:rFonts w:ascii="Times New Roman"/>
                      <w:sz w:val="21"/>
                      <w:szCs w:val="21"/>
                    </w:rPr>
                  </w:pPr>
                  <w:r>
                    <w:rPr>
                      <w:rFonts w:ascii="Times New Roman"/>
                      <w:sz w:val="21"/>
                      <w:szCs w:val="21"/>
                    </w:rPr>
                    <w:t>限值含义</w:t>
                  </w:r>
                </w:p>
              </w:tc>
              <w:tc>
                <w:tcPr>
                  <w:tcW w:w="806" w:type="pct"/>
                  <w:noWrap w:val="0"/>
                  <w:vAlign w:val="center"/>
                </w:tcPr>
                <w:p w14:paraId="65D63D9A">
                  <w:pPr>
                    <w:pStyle w:val="70"/>
                    <w:snapToGrid w:val="0"/>
                    <w:spacing w:before="0" w:line="240" w:lineRule="exact"/>
                    <w:rPr>
                      <w:rFonts w:ascii="Times New Roman"/>
                      <w:sz w:val="21"/>
                      <w:szCs w:val="21"/>
                    </w:rPr>
                  </w:pPr>
                  <w:r>
                    <w:rPr>
                      <w:rFonts w:ascii="Times New Roman"/>
                      <w:sz w:val="21"/>
                      <w:szCs w:val="21"/>
                    </w:rPr>
                    <w:t>无组织排放监控位置</w:t>
                  </w:r>
                </w:p>
              </w:tc>
              <w:tc>
                <w:tcPr>
                  <w:tcW w:w="912" w:type="pct"/>
                  <w:noWrap w:val="0"/>
                  <w:vAlign w:val="center"/>
                </w:tcPr>
                <w:p w14:paraId="1D60B9D3">
                  <w:pPr>
                    <w:pStyle w:val="70"/>
                    <w:snapToGrid w:val="0"/>
                    <w:spacing w:before="0" w:line="240" w:lineRule="exact"/>
                    <w:rPr>
                      <w:rFonts w:ascii="Times New Roman"/>
                      <w:sz w:val="21"/>
                      <w:szCs w:val="21"/>
                    </w:rPr>
                  </w:pPr>
                  <w:r>
                    <w:rPr>
                      <w:rFonts w:hint="eastAsia" w:ascii="Times New Roman"/>
                      <w:sz w:val="21"/>
                      <w:szCs w:val="21"/>
                    </w:rPr>
                    <w:t>执行标准</w:t>
                  </w:r>
                </w:p>
              </w:tc>
            </w:tr>
            <w:tr w14:paraId="72D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pct"/>
                  <w:vMerge w:val="restart"/>
                  <w:noWrap w:val="0"/>
                  <w:vAlign w:val="center"/>
                </w:tcPr>
                <w:p w14:paraId="63311FA7">
                  <w:pPr>
                    <w:pStyle w:val="70"/>
                    <w:snapToGrid w:val="0"/>
                    <w:spacing w:before="0" w:line="240" w:lineRule="exact"/>
                    <w:rPr>
                      <w:rFonts w:ascii="Times New Roman"/>
                      <w:sz w:val="21"/>
                      <w:szCs w:val="21"/>
                    </w:rPr>
                  </w:pPr>
                  <w:r>
                    <w:rPr>
                      <w:rFonts w:ascii="Times New Roman"/>
                      <w:sz w:val="21"/>
                      <w:szCs w:val="21"/>
                    </w:rPr>
                    <w:t>NMHC</w:t>
                  </w:r>
                </w:p>
              </w:tc>
              <w:tc>
                <w:tcPr>
                  <w:tcW w:w="509" w:type="pct"/>
                  <w:noWrap w:val="0"/>
                  <w:vAlign w:val="center"/>
                </w:tcPr>
                <w:p w14:paraId="6C40EE6B">
                  <w:pPr>
                    <w:pStyle w:val="70"/>
                    <w:snapToGrid w:val="0"/>
                    <w:spacing w:before="0" w:line="240" w:lineRule="exact"/>
                    <w:rPr>
                      <w:rFonts w:ascii="Times New Roman"/>
                      <w:sz w:val="21"/>
                      <w:szCs w:val="21"/>
                    </w:rPr>
                  </w:pPr>
                  <w:r>
                    <w:rPr>
                      <w:rFonts w:ascii="Times New Roman"/>
                      <w:sz w:val="21"/>
                      <w:szCs w:val="21"/>
                    </w:rPr>
                    <w:t>10</w:t>
                  </w:r>
                </w:p>
              </w:tc>
              <w:tc>
                <w:tcPr>
                  <w:tcW w:w="630" w:type="pct"/>
                  <w:noWrap w:val="0"/>
                  <w:vAlign w:val="center"/>
                </w:tcPr>
                <w:p w14:paraId="78CEC8AA">
                  <w:pPr>
                    <w:pStyle w:val="70"/>
                    <w:snapToGrid w:val="0"/>
                    <w:spacing w:before="0" w:line="240" w:lineRule="exact"/>
                    <w:rPr>
                      <w:rFonts w:ascii="Times New Roman"/>
                      <w:sz w:val="21"/>
                      <w:szCs w:val="21"/>
                    </w:rPr>
                  </w:pPr>
                  <w:r>
                    <w:rPr>
                      <w:rFonts w:ascii="Times New Roman"/>
                      <w:sz w:val="21"/>
                      <w:szCs w:val="21"/>
                    </w:rPr>
                    <w:t>6</w:t>
                  </w:r>
                </w:p>
              </w:tc>
              <w:tc>
                <w:tcPr>
                  <w:tcW w:w="1563" w:type="pct"/>
                  <w:noWrap w:val="0"/>
                  <w:vAlign w:val="center"/>
                </w:tcPr>
                <w:p w14:paraId="721E5D4C">
                  <w:pPr>
                    <w:pStyle w:val="70"/>
                    <w:snapToGrid w:val="0"/>
                    <w:spacing w:before="0" w:line="240" w:lineRule="exact"/>
                    <w:rPr>
                      <w:rFonts w:ascii="Times New Roman"/>
                      <w:sz w:val="21"/>
                      <w:szCs w:val="21"/>
                    </w:rPr>
                  </w:pPr>
                  <w:r>
                    <w:rPr>
                      <w:rFonts w:ascii="Times New Roman"/>
                      <w:sz w:val="21"/>
                      <w:szCs w:val="21"/>
                    </w:rPr>
                    <w:t>监控点处1h平均浓度值</w:t>
                  </w:r>
                </w:p>
              </w:tc>
              <w:tc>
                <w:tcPr>
                  <w:tcW w:w="806" w:type="pct"/>
                  <w:vMerge w:val="restart"/>
                  <w:noWrap w:val="0"/>
                  <w:vAlign w:val="center"/>
                </w:tcPr>
                <w:p w14:paraId="6C722CFA">
                  <w:pPr>
                    <w:pStyle w:val="70"/>
                    <w:snapToGrid w:val="0"/>
                    <w:spacing w:before="0" w:line="240" w:lineRule="exact"/>
                    <w:rPr>
                      <w:rFonts w:ascii="Times New Roman"/>
                      <w:sz w:val="21"/>
                      <w:szCs w:val="21"/>
                    </w:rPr>
                  </w:pPr>
                  <w:r>
                    <w:rPr>
                      <w:rFonts w:ascii="Times New Roman"/>
                      <w:sz w:val="21"/>
                      <w:szCs w:val="21"/>
                    </w:rPr>
                    <w:t>在厂房外设置监控点</w:t>
                  </w:r>
                </w:p>
              </w:tc>
              <w:tc>
                <w:tcPr>
                  <w:tcW w:w="912" w:type="pct"/>
                  <w:vMerge w:val="restart"/>
                  <w:noWrap w:val="0"/>
                  <w:vAlign w:val="center"/>
                </w:tcPr>
                <w:p w14:paraId="13421263">
                  <w:pPr>
                    <w:pStyle w:val="70"/>
                    <w:snapToGrid w:val="0"/>
                    <w:spacing w:before="0" w:line="240" w:lineRule="exact"/>
                    <w:rPr>
                      <w:rFonts w:ascii="Times New Roman"/>
                      <w:sz w:val="21"/>
                      <w:szCs w:val="21"/>
                    </w:rPr>
                  </w:pPr>
                  <w:r>
                    <w:rPr>
                      <w:rFonts w:hint="eastAsia" w:ascii="Times New Roman"/>
                      <w:sz w:val="21"/>
                      <w:szCs w:val="21"/>
                      <w:lang w:val="en-US" w:eastAsia="zh-CN"/>
                    </w:rPr>
                    <w:t>《挥发性有机物无组织排放控制标准》（GB37822-2019）</w:t>
                  </w:r>
                </w:p>
              </w:tc>
            </w:tr>
            <w:tr w14:paraId="162A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6" w:type="pct"/>
                  <w:vMerge w:val="continue"/>
                  <w:noWrap w:val="0"/>
                  <w:vAlign w:val="center"/>
                </w:tcPr>
                <w:p w14:paraId="6F7DC134">
                  <w:pPr>
                    <w:spacing w:line="240" w:lineRule="exact"/>
                    <w:jc w:val="center"/>
                    <w:rPr>
                      <w:rFonts w:eastAsia="宋体"/>
                      <w:sz w:val="21"/>
                      <w:szCs w:val="24"/>
                    </w:rPr>
                  </w:pPr>
                </w:p>
              </w:tc>
              <w:tc>
                <w:tcPr>
                  <w:tcW w:w="509" w:type="pct"/>
                  <w:noWrap w:val="0"/>
                  <w:vAlign w:val="center"/>
                </w:tcPr>
                <w:p w14:paraId="3300109D">
                  <w:pPr>
                    <w:spacing w:line="240" w:lineRule="exact"/>
                    <w:jc w:val="center"/>
                    <w:rPr>
                      <w:rFonts w:eastAsia="宋体"/>
                      <w:sz w:val="21"/>
                      <w:szCs w:val="24"/>
                    </w:rPr>
                  </w:pPr>
                  <w:r>
                    <w:rPr>
                      <w:rFonts w:eastAsia="宋体"/>
                      <w:sz w:val="21"/>
                      <w:szCs w:val="24"/>
                    </w:rPr>
                    <w:t>30</w:t>
                  </w:r>
                </w:p>
              </w:tc>
              <w:tc>
                <w:tcPr>
                  <w:tcW w:w="630" w:type="pct"/>
                  <w:noWrap w:val="0"/>
                  <w:vAlign w:val="center"/>
                </w:tcPr>
                <w:p w14:paraId="14107421">
                  <w:pPr>
                    <w:spacing w:line="240" w:lineRule="exact"/>
                    <w:jc w:val="center"/>
                    <w:rPr>
                      <w:rFonts w:eastAsia="宋体"/>
                      <w:sz w:val="21"/>
                      <w:szCs w:val="24"/>
                    </w:rPr>
                  </w:pPr>
                  <w:r>
                    <w:rPr>
                      <w:rFonts w:eastAsia="宋体"/>
                      <w:sz w:val="21"/>
                      <w:szCs w:val="24"/>
                    </w:rPr>
                    <w:t>20</w:t>
                  </w:r>
                </w:p>
              </w:tc>
              <w:tc>
                <w:tcPr>
                  <w:tcW w:w="1563" w:type="pct"/>
                  <w:noWrap w:val="0"/>
                  <w:vAlign w:val="center"/>
                </w:tcPr>
                <w:p w14:paraId="00B2B924">
                  <w:pPr>
                    <w:pStyle w:val="70"/>
                    <w:snapToGrid w:val="0"/>
                    <w:spacing w:before="0" w:line="240" w:lineRule="exact"/>
                    <w:rPr>
                      <w:rFonts w:ascii="Times New Roman"/>
                      <w:sz w:val="21"/>
                      <w:szCs w:val="21"/>
                    </w:rPr>
                  </w:pPr>
                  <w:r>
                    <w:rPr>
                      <w:rFonts w:ascii="Times New Roman"/>
                      <w:sz w:val="21"/>
                      <w:szCs w:val="21"/>
                    </w:rPr>
                    <w:t>监控点处在任意一次浓度值</w:t>
                  </w:r>
                </w:p>
              </w:tc>
              <w:tc>
                <w:tcPr>
                  <w:tcW w:w="806" w:type="pct"/>
                  <w:vMerge w:val="continue"/>
                  <w:noWrap w:val="0"/>
                  <w:vAlign w:val="top"/>
                </w:tcPr>
                <w:p w14:paraId="10F82498">
                  <w:pPr>
                    <w:spacing w:line="240" w:lineRule="exact"/>
                    <w:rPr>
                      <w:rFonts w:eastAsia="宋体"/>
                      <w:sz w:val="21"/>
                      <w:szCs w:val="24"/>
                    </w:rPr>
                  </w:pPr>
                </w:p>
              </w:tc>
              <w:tc>
                <w:tcPr>
                  <w:tcW w:w="912" w:type="pct"/>
                  <w:vMerge w:val="continue"/>
                  <w:noWrap w:val="0"/>
                  <w:vAlign w:val="top"/>
                </w:tcPr>
                <w:p w14:paraId="14AC9D7C">
                  <w:pPr>
                    <w:spacing w:line="240" w:lineRule="exact"/>
                    <w:rPr>
                      <w:rFonts w:eastAsia="宋体"/>
                      <w:sz w:val="21"/>
                      <w:szCs w:val="24"/>
                    </w:rPr>
                  </w:pPr>
                </w:p>
              </w:tc>
            </w:tr>
          </w:tbl>
          <w:p w14:paraId="63EDE10D">
            <w:pPr>
              <w:spacing w:line="500" w:lineRule="atLeast"/>
              <w:ind w:firstLine="482" w:firstLineChars="200"/>
              <w:rPr>
                <w:b/>
                <w:bCs/>
                <w:sz w:val="24"/>
              </w:rPr>
            </w:pPr>
            <w:r>
              <w:rPr>
                <w:rFonts w:hint="eastAsia"/>
                <w:b/>
                <w:bCs/>
                <w:sz w:val="24"/>
              </w:rPr>
              <w:t>3、噪声</w:t>
            </w:r>
          </w:p>
          <w:p w14:paraId="408269BE">
            <w:pPr>
              <w:spacing w:line="500" w:lineRule="atLeast"/>
              <w:ind w:firstLine="480" w:firstLineChars="200"/>
              <w:rPr>
                <w:rFonts w:hint="eastAsia"/>
                <w:bCs/>
                <w:sz w:val="24"/>
              </w:rPr>
            </w:pPr>
            <w:r>
              <w:rPr>
                <w:rFonts w:hint="eastAsia"/>
                <w:bCs/>
                <w:sz w:val="24"/>
              </w:rPr>
              <w:t>运营期厂界噪声执行《工业企业厂界环境噪声排放标准》（GB 12348-2008）3类标准，标准限值详见下表。</w:t>
            </w:r>
          </w:p>
          <w:p w14:paraId="40DA1C48">
            <w:pPr>
              <w:pStyle w:val="51"/>
              <w:numPr>
                <w:ilvl w:val="2"/>
                <w:numId w:val="6"/>
              </w:numPr>
              <w:spacing w:line="500" w:lineRule="atLeast"/>
              <w:ind w:firstLineChars="0"/>
              <w:jc w:val="center"/>
              <w:rPr>
                <w:b/>
                <w:sz w:val="24"/>
              </w:rPr>
            </w:pPr>
            <w:r>
              <w:rPr>
                <w:rFonts w:hint="eastAsia"/>
                <w:b/>
                <w:sz w:val="24"/>
              </w:rPr>
              <w:t>《工业企业厂界环境噪声排放标准》（GB12348-2008）</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2"/>
              <w:gridCol w:w="2719"/>
              <w:gridCol w:w="2623"/>
            </w:tblGrid>
            <w:tr w14:paraId="7754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2" w:type="dxa"/>
                  <w:vMerge w:val="restart"/>
                  <w:vAlign w:val="center"/>
                </w:tcPr>
                <w:p w14:paraId="07350F6B">
                  <w:pPr>
                    <w:spacing w:line="0" w:lineRule="atLeast"/>
                    <w:jc w:val="center"/>
                  </w:pPr>
                  <w:r>
                    <w:rPr>
                      <w:rFonts w:hint="eastAsia"/>
                    </w:rPr>
                    <w:t>标准类别</w:t>
                  </w:r>
                </w:p>
              </w:tc>
              <w:tc>
                <w:tcPr>
                  <w:tcW w:w="5342" w:type="dxa"/>
                  <w:gridSpan w:val="2"/>
                  <w:vAlign w:val="center"/>
                </w:tcPr>
                <w:p w14:paraId="5B653613">
                  <w:pPr>
                    <w:spacing w:line="0" w:lineRule="atLeast"/>
                    <w:jc w:val="center"/>
                  </w:pPr>
                  <w:r>
                    <w:rPr>
                      <w:rFonts w:hint="eastAsia"/>
                    </w:rPr>
                    <w:t>标准值db（A）</w:t>
                  </w:r>
                </w:p>
              </w:tc>
            </w:tr>
            <w:tr w14:paraId="01DD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2" w:type="dxa"/>
                  <w:vMerge w:val="continue"/>
                  <w:vAlign w:val="center"/>
                </w:tcPr>
                <w:p w14:paraId="36291A5A">
                  <w:pPr>
                    <w:spacing w:line="0" w:lineRule="atLeast"/>
                    <w:jc w:val="center"/>
                  </w:pPr>
                </w:p>
              </w:tc>
              <w:tc>
                <w:tcPr>
                  <w:tcW w:w="2719" w:type="dxa"/>
                  <w:vAlign w:val="center"/>
                </w:tcPr>
                <w:p w14:paraId="4C4EEBD7">
                  <w:pPr>
                    <w:spacing w:line="0" w:lineRule="atLeast"/>
                    <w:jc w:val="center"/>
                  </w:pPr>
                  <w:r>
                    <w:rPr>
                      <w:rFonts w:hint="eastAsia"/>
                    </w:rPr>
                    <w:t>昼间</w:t>
                  </w:r>
                </w:p>
              </w:tc>
              <w:tc>
                <w:tcPr>
                  <w:tcW w:w="2623" w:type="dxa"/>
                  <w:vAlign w:val="center"/>
                </w:tcPr>
                <w:p w14:paraId="59E4B53A">
                  <w:pPr>
                    <w:spacing w:line="0" w:lineRule="atLeast"/>
                    <w:jc w:val="center"/>
                  </w:pPr>
                  <w:r>
                    <w:rPr>
                      <w:rFonts w:hint="eastAsia"/>
                    </w:rPr>
                    <w:t>夜间</w:t>
                  </w:r>
                </w:p>
              </w:tc>
            </w:tr>
            <w:tr w14:paraId="2631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2" w:type="dxa"/>
                  <w:vAlign w:val="center"/>
                </w:tcPr>
                <w:p w14:paraId="7D1E55E6">
                  <w:pPr>
                    <w:spacing w:line="0" w:lineRule="atLeast"/>
                    <w:jc w:val="center"/>
                  </w:pPr>
                  <w:r>
                    <w:rPr>
                      <w:rFonts w:hint="eastAsia"/>
                    </w:rPr>
                    <w:t>3类</w:t>
                  </w:r>
                </w:p>
              </w:tc>
              <w:tc>
                <w:tcPr>
                  <w:tcW w:w="2719" w:type="dxa"/>
                  <w:vAlign w:val="center"/>
                </w:tcPr>
                <w:p w14:paraId="11ECDC65">
                  <w:pPr>
                    <w:spacing w:line="0" w:lineRule="atLeast"/>
                    <w:jc w:val="center"/>
                  </w:pPr>
                  <w:r>
                    <w:rPr>
                      <w:rFonts w:hint="eastAsia"/>
                    </w:rPr>
                    <w:t>65</w:t>
                  </w:r>
                </w:p>
              </w:tc>
              <w:tc>
                <w:tcPr>
                  <w:tcW w:w="2623" w:type="dxa"/>
                  <w:vAlign w:val="center"/>
                </w:tcPr>
                <w:p w14:paraId="450E082B">
                  <w:pPr>
                    <w:spacing w:line="0" w:lineRule="atLeast"/>
                    <w:jc w:val="center"/>
                  </w:pPr>
                  <w:r>
                    <w:rPr>
                      <w:rFonts w:hint="eastAsia"/>
                    </w:rPr>
                    <w:t>55</w:t>
                  </w:r>
                </w:p>
              </w:tc>
            </w:tr>
          </w:tbl>
          <w:p w14:paraId="32CA96F0">
            <w:pPr>
              <w:spacing w:line="500" w:lineRule="atLeast"/>
              <w:ind w:firstLine="482" w:firstLineChars="200"/>
              <w:rPr>
                <w:b/>
                <w:bCs/>
                <w:sz w:val="24"/>
              </w:rPr>
            </w:pPr>
            <w:r>
              <w:rPr>
                <w:rFonts w:hint="eastAsia"/>
                <w:b/>
                <w:bCs/>
                <w:sz w:val="24"/>
              </w:rPr>
              <w:t>4、</w:t>
            </w:r>
            <w:r>
              <w:rPr>
                <w:b/>
                <w:bCs/>
                <w:sz w:val="24"/>
              </w:rPr>
              <w:t xml:space="preserve"> 固体废物</w:t>
            </w:r>
          </w:p>
          <w:p w14:paraId="046E0610">
            <w:pPr>
              <w:spacing w:line="500" w:lineRule="atLeast"/>
              <w:ind w:firstLine="480" w:firstLineChars="200"/>
              <w:rPr>
                <w:bCs/>
                <w:sz w:val="24"/>
              </w:rPr>
            </w:pPr>
            <w:r>
              <w:rPr>
                <w:rFonts w:hint="eastAsia"/>
                <w:bCs/>
                <w:sz w:val="24"/>
              </w:rPr>
              <w:t>本项目运营过程中</w:t>
            </w:r>
            <w:r>
              <w:rPr>
                <w:rFonts w:hint="eastAsia"/>
                <w:bCs/>
                <w:sz w:val="24"/>
                <w:lang w:val="en-US" w:eastAsia="zh-CN"/>
              </w:rPr>
              <w:t>无一般固废产生，</w:t>
            </w:r>
            <w:r>
              <w:rPr>
                <w:rFonts w:hint="eastAsia"/>
                <w:bCs/>
                <w:sz w:val="24"/>
              </w:rPr>
              <w:t>产生</w:t>
            </w:r>
            <w:r>
              <w:rPr>
                <w:rFonts w:hint="eastAsia"/>
                <w:bCs/>
                <w:sz w:val="24"/>
                <w:lang w:val="en-US" w:eastAsia="zh-CN"/>
              </w:rPr>
              <w:t>的</w:t>
            </w:r>
            <w:r>
              <w:rPr>
                <w:rFonts w:hint="eastAsia"/>
                <w:bCs/>
                <w:sz w:val="24"/>
              </w:rPr>
              <w:t>危险废物贮存执行《危险废物贮存污染控制标准》（GB18597-2023）的有关规定。</w:t>
            </w:r>
          </w:p>
        </w:tc>
      </w:tr>
      <w:tr w14:paraId="0B901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vAlign w:val="center"/>
          </w:tcPr>
          <w:p w14:paraId="58067BF3">
            <w:pPr>
              <w:adjustRightInd w:val="0"/>
              <w:snapToGrid w:val="0"/>
              <w:jc w:val="center"/>
              <w:rPr>
                <w:rFonts w:ascii="宋体" w:hAnsi="宋体" w:cs="宋体"/>
                <w:kern w:val="0"/>
                <w:szCs w:val="21"/>
              </w:rPr>
            </w:pPr>
            <w:r>
              <w:rPr>
                <w:rFonts w:hint="eastAsia" w:ascii="宋体" w:hAnsi="宋体" w:cs="宋体"/>
                <w:kern w:val="0"/>
                <w:szCs w:val="21"/>
              </w:rPr>
              <w:t>总量</w:t>
            </w:r>
          </w:p>
          <w:p w14:paraId="5ECE7D32">
            <w:pPr>
              <w:adjustRightInd w:val="0"/>
              <w:snapToGrid w:val="0"/>
              <w:jc w:val="center"/>
              <w:rPr>
                <w:rFonts w:ascii="宋体" w:hAnsi="宋体" w:cs="宋体"/>
                <w:kern w:val="0"/>
                <w:szCs w:val="21"/>
              </w:rPr>
            </w:pPr>
            <w:r>
              <w:rPr>
                <w:rFonts w:hint="eastAsia" w:ascii="宋体" w:hAnsi="宋体" w:cs="宋体"/>
                <w:kern w:val="0"/>
                <w:szCs w:val="21"/>
              </w:rPr>
              <w:t>控制</w:t>
            </w:r>
          </w:p>
          <w:p w14:paraId="79233D82">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14:paraId="225D38CA">
            <w:pPr>
              <w:spacing w:line="500" w:lineRule="exact"/>
              <w:ind w:firstLine="480" w:firstLineChars="200"/>
              <w:rPr>
                <w:kern w:val="0"/>
                <w:sz w:val="24"/>
              </w:rPr>
            </w:pPr>
            <w:r>
              <w:rPr>
                <w:rFonts w:hint="eastAsia"/>
                <w:kern w:val="0"/>
                <w:sz w:val="24"/>
                <w:highlight w:val="none"/>
              </w:rPr>
              <w:t>结合项目工艺及排污特点：</w:t>
            </w:r>
            <w:r>
              <w:rPr>
                <w:rFonts w:hint="eastAsia"/>
                <w:kern w:val="0"/>
                <w:sz w:val="24"/>
                <w:highlight w:val="none"/>
                <w:lang w:val="en-US" w:eastAsia="zh-CN"/>
              </w:rPr>
              <w:t>本项目运营过程无废水排放，无废水总量控制指标，废气建议总量控制指标为非甲烷总烃：0.092 t/a</w:t>
            </w:r>
            <w:r>
              <w:rPr>
                <w:rFonts w:hint="eastAsia"/>
                <w:kern w:val="0"/>
                <w:sz w:val="24"/>
                <w:highlight w:val="none"/>
              </w:rPr>
              <w:t>。</w:t>
            </w:r>
          </w:p>
        </w:tc>
      </w:tr>
    </w:tbl>
    <w:p w14:paraId="209F858F">
      <w:pPr>
        <w:tabs>
          <w:tab w:val="left" w:pos="3225"/>
        </w:tabs>
        <w:spacing w:line="500" w:lineRule="exact"/>
        <w:outlineLvl w:val="0"/>
        <w:rPr>
          <w:rFonts w:ascii="Calibri" w:hAnsi="Calibri" w:cs="Arial"/>
          <w:b/>
          <w:kern w:val="44"/>
          <w:sz w:val="28"/>
          <w:szCs w:val="28"/>
        </w:rPr>
      </w:pPr>
      <w:r>
        <w:rPr>
          <w:rFonts w:ascii="黑体" w:hAnsi="黑体" w:eastAsia="黑体"/>
          <w:snapToGrid w:val="0"/>
          <w:sz w:val="36"/>
          <w:szCs w:val="36"/>
        </w:rPr>
        <w:br w:type="page"/>
      </w:r>
      <w:bookmarkStart w:id="19" w:name="_Toc19228"/>
      <w:bookmarkStart w:id="20" w:name="_Toc22830"/>
      <w:bookmarkStart w:id="21" w:name="_Toc12066"/>
      <w:r>
        <w:rPr>
          <w:rFonts w:hint="eastAsia" w:ascii="Calibri" w:hAnsi="Calibri" w:cs="Arial"/>
          <w:b/>
          <w:kern w:val="44"/>
          <w:sz w:val="28"/>
          <w:szCs w:val="28"/>
        </w:rPr>
        <w:t>四、主要环境影响和保护措施</w:t>
      </w:r>
      <w:bookmarkEnd w:id="19"/>
      <w:bookmarkEnd w:id="20"/>
      <w:bookmarkEnd w:id="21"/>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101"/>
      </w:tblGrid>
      <w:tr w14:paraId="16A6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259444D">
            <w:pPr>
              <w:adjustRightInd w:val="0"/>
              <w:snapToGrid w:val="0"/>
              <w:jc w:val="center"/>
              <w:rPr>
                <w:rFonts w:ascii="宋体" w:hAnsi="宋体" w:cs="宋体"/>
                <w:bCs/>
                <w:szCs w:val="21"/>
              </w:rPr>
            </w:pPr>
            <w:r>
              <w:rPr>
                <w:rFonts w:hint="eastAsia" w:ascii="宋体" w:hAnsi="宋体" w:cs="宋体"/>
                <w:bCs/>
                <w:szCs w:val="21"/>
              </w:rPr>
              <w:t>施工</w:t>
            </w:r>
          </w:p>
          <w:p w14:paraId="1B97F811">
            <w:pPr>
              <w:adjustRightInd w:val="0"/>
              <w:snapToGrid w:val="0"/>
              <w:jc w:val="center"/>
              <w:rPr>
                <w:rFonts w:ascii="宋体" w:hAnsi="宋体" w:cs="宋体"/>
                <w:bCs/>
                <w:szCs w:val="21"/>
              </w:rPr>
            </w:pPr>
            <w:r>
              <w:rPr>
                <w:rFonts w:hint="eastAsia" w:ascii="宋体" w:hAnsi="宋体" w:cs="宋体"/>
                <w:bCs/>
                <w:szCs w:val="21"/>
              </w:rPr>
              <w:t>期环</w:t>
            </w:r>
          </w:p>
          <w:p w14:paraId="6976F0A2">
            <w:pPr>
              <w:adjustRightInd w:val="0"/>
              <w:snapToGrid w:val="0"/>
              <w:jc w:val="center"/>
              <w:rPr>
                <w:rFonts w:ascii="宋体" w:hAnsi="宋体" w:cs="宋体"/>
                <w:bCs/>
                <w:szCs w:val="21"/>
              </w:rPr>
            </w:pPr>
            <w:r>
              <w:rPr>
                <w:rFonts w:hint="eastAsia" w:ascii="宋体" w:hAnsi="宋体" w:cs="宋体"/>
                <w:bCs/>
                <w:szCs w:val="21"/>
              </w:rPr>
              <w:t>境保</w:t>
            </w:r>
          </w:p>
          <w:p w14:paraId="3330D2AC">
            <w:pPr>
              <w:adjustRightInd w:val="0"/>
              <w:snapToGrid w:val="0"/>
              <w:jc w:val="center"/>
              <w:rPr>
                <w:rFonts w:ascii="宋体" w:hAnsi="宋体" w:cs="宋体"/>
                <w:bCs/>
                <w:szCs w:val="21"/>
              </w:rPr>
            </w:pPr>
            <w:r>
              <w:rPr>
                <w:rFonts w:hint="eastAsia" w:ascii="宋体" w:hAnsi="宋体" w:cs="宋体"/>
                <w:bCs/>
                <w:szCs w:val="21"/>
              </w:rPr>
              <w:t>护措</w:t>
            </w:r>
          </w:p>
          <w:p w14:paraId="6771BE57">
            <w:pPr>
              <w:adjustRightInd w:val="0"/>
              <w:snapToGrid w:val="0"/>
              <w:jc w:val="center"/>
              <w:rPr>
                <w:rFonts w:ascii="Calibri" w:hAnsi="Calibri" w:cs="Arial"/>
                <w:kern w:val="44"/>
                <w:sz w:val="24"/>
              </w:rPr>
            </w:pPr>
            <w:r>
              <w:rPr>
                <w:rFonts w:hint="eastAsia" w:ascii="宋体" w:hAnsi="宋体" w:cs="宋体"/>
                <w:bCs/>
                <w:szCs w:val="21"/>
              </w:rPr>
              <w:t>施</w:t>
            </w:r>
          </w:p>
        </w:tc>
        <w:tc>
          <w:tcPr>
            <w:tcW w:w="8101" w:type="dxa"/>
            <w:vAlign w:val="center"/>
          </w:tcPr>
          <w:p w14:paraId="5EA90D32">
            <w:pPr>
              <w:spacing w:line="500" w:lineRule="exact"/>
              <w:ind w:firstLine="470" w:firstLineChars="196"/>
            </w:pPr>
            <w:r>
              <w:rPr>
                <w:rFonts w:hint="eastAsia"/>
                <w:sz w:val="24"/>
              </w:rPr>
              <w:t>项目施工期</w:t>
            </w:r>
            <w:r>
              <w:rPr>
                <w:rFonts w:hint="eastAsia"/>
                <w:sz w:val="24"/>
                <w:lang w:val="en-US" w:eastAsia="zh-CN"/>
              </w:rPr>
              <w:t>建设</w:t>
            </w:r>
            <w:r>
              <w:rPr>
                <w:rFonts w:hint="eastAsia"/>
                <w:sz w:val="24"/>
              </w:rPr>
              <w:t>内容主要为罐体基础工程</w:t>
            </w:r>
            <w:r>
              <w:rPr>
                <w:rFonts w:hint="eastAsia"/>
                <w:sz w:val="24"/>
                <w:lang w:eastAsia="zh-CN"/>
              </w:rPr>
              <w:t>（</w:t>
            </w:r>
            <w:r>
              <w:rPr>
                <w:rFonts w:hint="eastAsia"/>
                <w:sz w:val="24"/>
                <w:lang w:val="en-US" w:eastAsia="zh-CN"/>
              </w:rPr>
              <w:t>储罐底座、罐区防渗结构、围堰等</w:t>
            </w:r>
            <w:r>
              <w:rPr>
                <w:rFonts w:hint="eastAsia"/>
                <w:sz w:val="24"/>
                <w:lang w:eastAsia="zh-CN"/>
              </w:rPr>
              <w:t>）</w:t>
            </w:r>
            <w:r>
              <w:rPr>
                <w:rFonts w:hint="eastAsia"/>
                <w:sz w:val="24"/>
                <w:lang w:val="en-US" w:eastAsia="zh-CN"/>
              </w:rPr>
              <w:t>以及60醋酸分离装置</w:t>
            </w:r>
            <w:r>
              <w:rPr>
                <w:rFonts w:hint="eastAsia"/>
                <w:sz w:val="24"/>
              </w:rPr>
              <w:t>设备安装</w:t>
            </w:r>
            <w:r>
              <w:rPr>
                <w:rFonts w:hint="eastAsia"/>
                <w:sz w:val="24"/>
                <w:lang w:eastAsia="zh-CN"/>
              </w:rPr>
              <w:t>，</w:t>
            </w:r>
            <w:r>
              <w:rPr>
                <w:rFonts w:hint="eastAsia"/>
                <w:sz w:val="24"/>
                <w:lang w:val="en-US" w:eastAsia="zh-CN"/>
              </w:rPr>
              <w:t>施工内容较简单，</w:t>
            </w:r>
            <w:r>
              <w:rPr>
                <w:rFonts w:hint="eastAsia"/>
                <w:sz w:val="24"/>
                <w:lang w:eastAsia="zh-CN"/>
              </w:rPr>
              <w:t>施工期污染物采取措施后各污染物经处理后对周边环境影响不大，施工期主要环保措施见表4-1。</w:t>
            </w:r>
          </w:p>
          <w:p w14:paraId="2A40249C">
            <w:pPr>
              <w:pStyle w:val="51"/>
              <w:numPr>
                <w:ilvl w:val="2"/>
                <w:numId w:val="7"/>
              </w:numPr>
              <w:spacing w:line="500" w:lineRule="atLeast"/>
              <w:ind w:firstLineChars="0"/>
              <w:jc w:val="center"/>
            </w:pPr>
            <w:r>
              <w:rPr>
                <w:rFonts w:hint="eastAsia"/>
                <w:b/>
                <w:sz w:val="24"/>
              </w:rPr>
              <w:t>施工期环境保护措施一览表</w:t>
            </w:r>
          </w:p>
          <w:tbl>
            <w:tblPr>
              <w:tblStyle w:val="26"/>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4"/>
              <w:gridCol w:w="6990"/>
            </w:tblGrid>
            <w:tr w14:paraId="4043B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5" w:type="pct"/>
                  <w:vAlign w:val="center"/>
                </w:tcPr>
                <w:p w14:paraId="2BE409FB">
                  <w:pPr>
                    <w:overflowPunct w:val="0"/>
                    <w:autoSpaceDE w:val="0"/>
                    <w:autoSpaceDN w:val="0"/>
                    <w:jc w:val="center"/>
                    <w:textAlignment w:val="baseline"/>
                    <w:rPr>
                      <w:b/>
                      <w:bCs/>
                      <w:szCs w:val="21"/>
                    </w:rPr>
                  </w:pPr>
                  <w:r>
                    <w:rPr>
                      <w:b/>
                      <w:bCs/>
                      <w:szCs w:val="21"/>
                    </w:rPr>
                    <w:t>污染物</w:t>
                  </w:r>
                </w:p>
              </w:tc>
              <w:tc>
                <w:tcPr>
                  <w:tcW w:w="4444" w:type="pct"/>
                  <w:vAlign w:val="center"/>
                </w:tcPr>
                <w:p w14:paraId="2CD9749D">
                  <w:pPr>
                    <w:overflowPunct w:val="0"/>
                    <w:autoSpaceDE w:val="0"/>
                    <w:autoSpaceDN w:val="0"/>
                    <w:jc w:val="center"/>
                    <w:textAlignment w:val="baseline"/>
                    <w:rPr>
                      <w:b/>
                      <w:bCs/>
                      <w:szCs w:val="21"/>
                    </w:rPr>
                  </w:pPr>
                  <w:r>
                    <w:rPr>
                      <w:b/>
                      <w:bCs/>
                      <w:szCs w:val="21"/>
                    </w:rPr>
                    <w:t>采取环保措施</w:t>
                  </w:r>
                </w:p>
              </w:tc>
            </w:tr>
            <w:tr w14:paraId="630EB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5" w:type="pct"/>
                  <w:vAlign w:val="center"/>
                </w:tcPr>
                <w:p w14:paraId="49BBE93B">
                  <w:pPr>
                    <w:jc w:val="center"/>
                    <w:rPr>
                      <w:bCs/>
                      <w:spacing w:val="-6"/>
                      <w:szCs w:val="21"/>
                    </w:rPr>
                  </w:pPr>
                  <w:r>
                    <w:rPr>
                      <w:bCs/>
                      <w:spacing w:val="-6"/>
                      <w:szCs w:val="21"/>
                    </w:rPr>
                    <w:t>废水</w:t>
                  </w:r>
                </w:p>
              </w:tc>
              <w:tc>
                <w:tcPr>
                  <w:tcW w:w="4444" w:type="pct"/>
                  <w:vAlign w:val="center"/>
                </w:tcPr>
                <w:p w14:paraId="7C24CED5">
                  <w:pPr>
                    <w:pStyle w:val="57"/>
                    <w:spacing w:beforeLines="0"/>
                    <w:jc w:val="both"/>
                    <w:rPr>
                      <w:rFonts w:eastAsia="宋体"/>
                      <w:szCs w:val="21"/>
                    </w:rPr>
                  </w:pPr>
                  <w:r>
                    <w:rPr>
                      <w:rFonts w:hint="eastAsia" w:eastAsia="宋体"/>
                      <w:szCs w:val="21"/>
                    </w:rPr>
                    <w:t>①生活污水依托现有化粪池处理后由专管直接排至天宜</w:t>
                  </w:r>
                  <w:r>
                    <w:rPr>
                      <w:rFonts w:hint="eastAsia" w:eastAsia="宋体"/>
                      <w:szCs w:val="21"/>
                      <w:lang w:eastAsia="zh-CN"/>
                    </w:rPr>
                    <w:t>污水处理厂</w:t>
                  </w:r>
                  <w:r>
                    <w:rPr>
                      <w:rFonts w:hint="eastAsia" w:eastAsia="宋体"/>
                      <w:szCs w:val="21"/>
                    </w:rPr>
                    <w:t>（一期）处理达标后排放。</w:t>
                  </w:r>
                </w:p>
                <w:p w14:paraId="39144FAE">
                  <w:pPr>
                    <w:pStyle w:val="57"/>
                    <w:spacing w:beforeLines="0"/>
                    <w:jc w:val="both"/>
                    <w:rPr>
                      <w:rFonts w:eastAsia="宋体"/>
                      <w:szCs w:val="21"/>
                    </w:rPr>
                  </w:pPr>
                  <w:r>
                    <w:rPr>
                      <w:rFonts w:hint="eastAsia" w:eastAsia="宋体"/>
                      <w:szCs w:val="21"/>
                    </w:rPr>
                    <w:t>②临时搭建沉淀池，将施工废水沉淀后回用于场地除尘及施工时进出车辆冲洗。</w:t>
                  </w:r>
                </w:p>
              </w:tc>
            </w:tr>
            <w:tr w14:paraId="3D777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5" w:type="pct"/>
                  <w:vAlign w:val="center"/>
                </w:tcPr>
                <w:p w14:paraId="327B94C6">
                  <w:pPr>
                    <w:jc w:val="center"/>
                    <w:rPr>
                      <w:bCs/>
                      <w:spacing w:val="-6"/>
                      <w:szCs w:val="21"/>
                    </w:rPr>
                  </w:pPr>
                  <w:r>
                    <w:rPr>
                      <w:bCs/>
                      <w:spacing w:val="-6"/>
                      <w:szCs w:val="21"/>
                    </w:rPr>
                    <w:t>废气</w:t>
                  </w:r>
                </w:p>
              </w:tc>
              <w:tc>
                <w:tcPr>
                  <w:tcW w:w="4444" w:type="pct"/>
                  <w:vAlign w:val="center"/>
                </w:tcPr>
                <w:p w14:paraId="202D439B">
                  <w:pPr>
                    <w:pStyle w:val="57"/>
                    <w:spacing w:beforeLines="0"/>
                    <w:jc w:val="both"/>
                    <w:rPr>
                      <w:rFonts w:eastAsia="宋体"/>
                      <w:szCs w:val="21"/>
                    </w:rPr>
                  </w:pPr>
                  <w:r>
                    <w:rPr>
                      <w:rFonts w:eastAsia="宋体"/>
                      <w:szCs w:val="21"/>
                    </w:rPr>
                    <w:t>根据《广西壮族自治区大气污染防治条例》相关要求，项目施工</w:t>
                  </w:r>
                  <w:r>
                    <w:rPr>
                      <w:rFonts w:hint="eastAsia" w:eastAsia="宋体"/>
                      <w:szCs w:val="21"/>
                    </w:rPr>
                    <w:t>时</w:t>
                  </w:r>
                  <w:r>
                    <w:rPr>
                      <w:rFonts w:eastAsia="宋体"/>
                      <w:szCs w:val="21"/>
                    </w:rPr>
                    <w:t>废气采取以下措施：</w:t>
                  </w:r>
                </w:p>
                <w:p w14:paraId="3BF7DE64">
                  <w:pPr>
                    <w:pStyle w:val="57"/>
                    <w:spacing w:beforeLines="0"/>
                    <w:jc w:val="both"/>
                    <w:rPr>
                      <w:rFonts w:eastAsia="宋体"/>
                      <w:szCs w:val="21"/>
                    </w:rPr>
                  </w:pPr>
                  <w:r>
                    <w:rPr>
                      <w:rFonts w:hint="eastAsia" w:ascii="宋体" w:hAnsi="宋体" w:eastAsia="宋体"/>
                      <w:szCs w:val="21"/>
                    </w:rPr>
                    <w:t>①</w:t>
                  </w:r>
                  <w:r>
                    <w:rPr>
                      <w:rFonts w:eastAsia="宋体"/>
                      <w:szCs w:val="21"/>
                    </w:rPr>
                    <w:t>湿法作业，定时对施工现场进行洒水处理</w:t>
                  </w:r>
                  <w:r>
                    <w:rPr>
                      <w:rFonts w:hint="eastAsia" w:eastAsia="宋体"/>
                      <w:szCs w:val="21"/>
                    </w:rPr>
                    <w:t>，</w:t>
                  </w:r>
                  <w:r>
                    <w:rPr>
                      <w:rFonts w:eastAsia="宋体"/>
                      <w:szCs w:val="21"/>
                    </w:rPr>
                    <w:t>施工区域附近道路均需清洁、湿润，并加强管理，使运输车辆尽可能减缓行驶速度；</w:t>
                  </w:r>
                  <w:r>
                    <w:rPr>
                      <w:rFonts w:hint="eastAsia" w:eastAsia="宋体"/>
                      <w:szCs w:val="21"/>
                    </w:rPr>
                    <w:t>规划好运输车辆的运行路线与时间，尽量避免在繁华区、交通集中区和居民住宅等敏感区行驶；</w:t>
                  </w:r>
                </w:p>
                <w:p w14:paraId="42BA4C95">
                  <w:pPr>
                    <w:pStyle w:val="57"/>
                    <w:spacing w:beforeLines="0"/>
                    <w:jc w:val="both"/>
                    <w:rPr>
                      <w:rFonts w:eastAsia="宋体"/>
                      <w:szCs w:val="21"/>
                    </w:rPr>
                  </w:pPr>
                  <w:r>
                    <w:rPr>
                      <w:rFonts w:hint="eastAsia" w:ascii="宋体" w:hAnsi="宋体" w:eastAsia="宋体"/>
                      <w:szCs w:val="21"/>
                    </w:rPr>
                    <w:t>②</w:t>
                  </w:r>
                  <w:r>
                    <w:rPr>
                      <w:rFonts w:eastAsia="宋体"/>
                      <w:szCs w:val="21"/>
                    </w:rPr>
                    <w:t>合理安排并尽量减少运输车次，减少扬尘。运输车辆装车不宜过满，且采用封闭车辆，用帆布覆盖，在运输过程中</w:t>
                  </w:r>
                  <w:r>
                    <w:rPr>
                      <w:rFonts w:hint="eastAsia" w:eastAsia="宋体"/>
                      <w:szCs w:val="21"/>
                    </w:rPr>
                    <w:t>尽量减少</w:t>
                  </w:r>
                  <w:r>
                    <w:rPr>
                      <w:rFonts w:eastAsia="宋体"/>
                      <w:szCs w:val="21"/>
                    </w:rPr>
                    <w:t>洒落尘土；</w:t>
                  </w:r>
                </w:p>
                <w:p w14:paraId="267F5C77">
                  <w:pPr>
                    <w:pStyle w:val="57"/>
                    <w:spacing w:beforeLines="0"/>
                    <w:jc w:val="both"/>
                    <w:rPr>
                      <w:rFonts w:eastAsia="宋体"/>
                      <w:szCs w:val="21"/>
                    </w:rPr>
                  </w:pPr>
                  <w:r>
                    <w:rPr>
                      <w:rFonts w:hint="eastAsia" w:ascii="宋体" w:hAnsi="宋体" w:eastAsia="宋体"/>
                      <w:szCs w:val="21"/>
                    </w:rPr>
                    <w:t>③</w:t>
                  </w:r>
                  <w:r>
                    <w:rPr>
                      <w:rFonts w:eastAsia="宋体"/>
                      <w:szCs w:val="21"/>
                    </w:rPr>
                    <w:t>使用污染物排放符合国家标准的运输车辆，严禁使用报废车辆；</w:t>
                  </w:r>
                </w:p>
                <w:p w14:paraId="5C6DD158">
                  <w:pPr>
                    <w:pStyle w:val="57"/>
                    <w:spacing w:beforeLines="0"/>
                    <w:jc w:val="both"/>
                    <w:rPr>
                      <w:rFonts w:eastAsia="宋体"/>
                      <w:szCs w:val="21"/>
                    </w:rPr>
                  </w:pPr>
                  <w:r>
                    <w:rPr>
                      <w:rFonts w:hint="eastAsia" w:ascii="宋体" w:hAnsi="宋体" w:eastAsia="宋体"/>
                      <w:szCs w:val="21"/>
                    </w:rPr>
                    <w:t>④</w:t>
                  </w:r>
                  <w:r>
                    <w:rPr>
                      <w:rFonts w:eastAsia="宋体"/>
                      <w:szCs w:val="21"/>
                    </w:rPr>
                    <w:t>裸露土方和堆放原料必须实施覆盖</w:t>
                  </w:r>
                  <w:r>
                    <w:rPr>
                      <w:rFonts w:hint="eastAsia" w:eastAsia="宋体"/>
                      <w:szCs w:val="21"/>
                    </w:rPr>
                    <w:t>，</w:t>
                  </w:r>
                  <w:r>
                    <w:rPr>
                      <w:rFonts w:eastAsia="宋体"/>
                      <w:szCs w:val="21"/>
                    </w:rPr>
                    <w:t>有专人负责逸散性材料、垃圾、渣土、裸地等密闭、覆盖、洒水作业以及车辆清洗作业等；</w:t>
                  </w:r>
                </w:p>
                <w:p w14:paraId="2314BA7A">
                  <w:pPr>
                    <w:pStyle w:val="57"/>
                    <w:spacing w:beforeLines="0"/>
                    <w:jc w:val="both"/>
                    <w:rPr>
                      <w:rFonts w:eastAsia="宋体"/>
                      <w:szCs w:val="21"/>
                    </w:rPr>
                  </w:pPr>
                  <w:r>
                    <w:rPr>
                      <w:rFonts w:hint="eastAsia" w:ascii="宋体" w:hAnsi="宋体" w:eastAsia="宋体"/>
                      <w:szCs w:val="21"/>
                    </w:rPr>
                    <w:t>⑤</w:t>
                  </w:r>
                  <w:r>
                    <w:rPr>
                      <w:rFonts w:eastAsia="宋体"/>
                      <w:szCs w:val="21"/>
                    </w:rPr>
                    <w:t>装修时选择环保建筑材料；</w:t>
                  </w:r>
                </w:p>
                <w:p w14:paraId="0FD79C28">
                  <w:pPr>
                    <w:pStyle w:val="57"/>
                    <w:spacing w:beforeLines="0"/>
                    <w:jc w:val="both"/>
                    <w:rPr>
                      <w:rFonts w:eastAsia="宋体"/>
                      <w:szCs w:val="21"/>
                    </w:rPr>
                  </w:pPr>
                  <w:r>
                    <w:rPr>
                      <w:rFonts w:hint="eastAsia" w:ascii="宋体" w:hAnsi="宋体" w:eastAsia="宋体"/>
                      <w:szCs w:val="21"/>
                    </w:rPr>
                    <w:t>⑥</w:t>
                  </w:r>
                  <w:r>
                    <w:rPr>
                      <w:rFonts w:eastAsia="宋体"/>
                      <w:szCs w:val="21"/>
                    </w:rPr>
                    <w:t>加强机械设备的维护</w:t>
                  </w:r>
                  <w:r>
                    <w:rPr>
                      <w:rFonts w:hint="eastAsia" w:eastAsia="宋体"/>
                      <w:szCs w:val="21"/>
                    </w:rPr>
                    <w:t>。</w:t>
                  </w:r>
                  <w:r>
                    <w:rPr>
                      <w:rFonts w:eastAsia="宋体"/>
                      <w:szCs w:val="21"/>
                    </w:rPr>
                    <w:t>对受施工扬尘影响最严重的施工人员，应配备戴防尘口罩、头盔等劳保用品，并适当缩短工作时间</w:t>
                  </w:r>
                  <w:r>
                    <w:rPr>
                      <w:rFonts w:hint="eastAsia" w:eastAsia="宋体"/>
                      <w:szCs w:val="21"/>
                    </w:rPr>
                    <w:t>；</w:t>
                  </w:r>
                </w:p>
                <w:p w14:paraId="5766032E">
                  <w:pPr>
                    <w:pStyle w:val="57"/>
                    <w:spacing w:beforeLines="0"/>
                    <w:jc w:val="both"/>
                    <w:rPr>
                      <w:rFonts w:eastAsia="宋体"/>
                      <w:szCs w:val="21"/>
                    </w:rPr>
                  </w:pPr>
                  <w:r>
                    <w:rPr>
                      <w:rFonts w:hint="eastAsia" w:eastAsia="宋体"/>
                      <w:szCs w:val="21"/>
                    </w:rPr>
                    <w:t>⑦运输车辆在出场前进行清洗，避免车轮带土上路，行驶至敏感点附近减速慢行，运输物料车辆采用篷布进行覆盖，对进场道路定期进行清扫，保持路面清洁，通过采取上述措施，可有效控制运输扬尘对敏感点的影响；</w:t>
                  </w:r>
                </w:p>
                <w:p w14:paraId="67EA02F2">
                  <w:pPr>
                    <w:pStyle w:val="57"/>
                    <w:spacing w:beforeLines="0"/>
                    <w:jc w:val="both"/>
                    <w:rPr>
                      <w:rFonts w:eastAsia="宋体"/>
                      <w:szCs w:val="21"/>
                    </w:rPr>
                  </w:pPr>
                  <w:r>
                    <w:rPr>
                      <w:rFonts w:hint="eastAsia" w:eastAsia="宋体"/>
                      <w:szCs w:val="21"/>
                    </w:rPr>
                    <w:t>⑧加强建设项目施工期扬尘控制的环境监理，落实施工现场封闭围挡、设置冲洗设施、道路硬底化等扬尘防治措施。</w:t>
                  </w:r>
                </w:p>
              </w:tc>
            </w:tr>
            <w:tr w14:paraId="50B28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5" w:type="pct"/>
                  <w:vAlign w:val="center"/>
                </w:tcPr>
                <w:p w14:paraId="6D11C41F">
                  <w:pPr>
                    <w:jc w:val="center"/>
                    <w:rPr>
                      <w:bCs/>
                      <w:spacing w:val="-6"/>
                      <w:szCs w:val="21"/>
                    </w:rPr>
                  </w:pPr>
                  <w:r>
                    <w:rPr>
                      <w:bCs/>
                      <w:spacing w:val="-6"/>
                      <w:szCs w:val="21"/>
                    </w:rPr>
                    <w:t>噪声</w:t>
                  </w:r>
                </w:p>
              </w:tc>
              <w:tc>
                <w:tcPr>
                  <w:tcW w:w="4444" w:type="pct"/>
                  <w:vAlign w:val="center"/>
                </w:tcPr>
                <w:p w14:paraId="68A97474">
                  <w:pPr>
                    <w:rPr>
                      <w:szCs w:val="21"/>
                    </w:rPr>
                  </w:pPr>
                  <w:r>
                    <w:rPr>
                      <w:rFonts w:hint="eastAsia" w:ascii="宋体" w:hAnsi="宋体"/>
                      <w:bCs/>
                      <w:szCs w:val="21"/>
                    </w:rPr>
                    <w:t>①</w:t>
                  </w:r>
                  <w:r>
                    <w:rPr>
                      <w:szCs w:val="21"/>
                    </w:rPr>
                    <w:t>对施工噪声进行必要的控制，选用高效低噪声施工机械，加强机械设备的维护，保证施工机械设备在良好的状态下运行；</w:t>
                  </w:r>
                </w:p>
                <w:p w14:paraId="3548047E">
                  <w:pPr>
                    <w:pStyle w:val="57"/>
                    <w:spacing w:beforeLines="0"/>
                    <w:jc w:val="both"/>
                    <w:rPr>
                      <w:rFonts w:eastAsia="宋体"/>
                      <w:szCs w:val="21"/>
                    </w:rPr>
                  </w:pPr>
                  <w:r>
                    <w:rPr>
                      <w:rFonts w:hint="eastAsia" w:ascii="宋体" w:hAnsi="宋体" w:eastAsia="宋体"/>
                      <w:szCs w:val="21"/>
                    </w:rPr>
                    <w:t>②</w:t>
                  </w:r>
                  <w:r>
                    <w:rPr>
                      <w:rFonts w:eastAsia="宋体"/>
                      <w:szCs w:val="21"/>
                    </w:rPr>
                    <w:t>施工单位要严格遵守环保部门规定，合理安排施工时间，严格控制施工时段，除工程必须外，严禁在22:00～次日6:00期间施工。</w:t>
                  </w:r>
                </w:p>
                <w:p w14:paraId="2F6F3968">
                  <w:pPr>
                    <w:pStyle w:val="57"/>
                    <w:spacing w:before="12"/>
                    <w:jc w:val="both"/>
                    <w:rPr>
                      <w:rFonts w:eastAsia="宋体"/>
                      <w:szCs w:val="21"/>
                    </w:rPr>
                  </w:pPr>
                  <w:r>
                    <w:rPr>
                      <w:rFonts w:hint="eastAsia" w:eastAsia="宋体"/>
                      <w:szCs w:val="21"/>
                    </w:rPr>
                    <w:t>③合理安排施工机械安放位置，施工机械应尽可能放置于场地中间或对厂界外造成影响最小的地点。尽量选用低噪声机械设备或带隔声、消声的设备，从源头减少噪声的产生。</w:t>
                  </w:r>
                </w:p>
                <w:p w14:paraId="5683C388">
                  <w:pPr>
                    <w:pStyle w:val="57"/>
                    <w:spacing w:beforeLines="0"/>
                    <w:jc w:val="both"/>
                    <w:rPr>
                      <w:rFonts w:ascii="宋体" w:hAnsi="宋体" w:eastAsia="宋体" w:cs="宋体"/>
                    </w:rPr>
                  </w:pPr>
                  <w:r>
                    <w:rPr>
                      <w:rFonts w:hint="eastAsia" w:eastAsia="宋体"/>
                      <w:szCs w:val="21"/>
                    </w:rPr>
                    <w:t>④</w:t>
                  </w:r>
                  <w:r>
                    <w:rPr>
                      <w:rFonts w:hint="eastAsia" w:ascii="宋体" w:hAnsi="宋体" w:eastAsia="宋体" w:cs="宋体"/>
                    </w:rPr>
                    <w:t>过往车辆在途经环境敏感点时减速慢行、禁止鸣喇叭，尽量不在休息时间运送材料的车辆途径环境敏感点。车辆夜间运输时应限制车辆数量，规定行车时间，避免车辆集中到来。</w:t>
                  </w:r>
                </w:p>
                <w:p w14:paraId="69A9E0FA">
                  <w:pPr>
                    <w:pStyle w:val="57"/>
                    <w:spacing w:beforeLines="0"/>
                    <w:jc w:val="both"/>
                    <w:rPr>
                      <w:rFonts w:ascii="宋体" w:hAnsi="宋体" w:eastAsia="宋体" w:cs="宋体"/>
                    </w:rPr>
                  </w:pPr>
                  <w:r>
                    <w:rPr>
                      <w:rFonts w:hint="eastAsia" w:ascii="宋体" w:hAnsi="宋体" w:eastAsia="宋体" w:cs="宋体"/>
                    </w:rPr>
                    <w:t>⑤施工运输车辆进出场地应减速慢行，禁止鸣笛。</w:t>
                  </w:r>
                </w:p>
                <w:p w14:paraId="22137176">
                  <w:pPr>
                    <w:pStyle w:val="57"/>
                    <w:spacing w:beforeLines="0"/>
                    <w:jc w:val="both"/>
                    <w:rPr>
                      <w:rFonts w:eastAsia="宋体"/>
                      <w:szCs w:val="21"/>
                    </w:rPr>
                  </w:pPr>
                  <w:r>
                    <w:rPr>
                      <w:rFonts w:hint="eastAsia" w:ascii="宋体" w:hAnsi="宋体" w:eastAsia="宋体" w:cs="宋体"/>
                    </w:rPr>
                    <w:t>⑥在大型考试阶段（如中考、高考等）禁止施工。</w:t>
                  </w:r>
                </w:p>
              </w:tc>
            </w:tr>
            <w:tr w14:paraId="6B089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5" w:type="pct"/>
                  <w:vAlign w:val="center"/>
                </w:tcPr>
                <w:p w14:paraId="3C5C5282">
                  <w:pPr>
                    <w:jc w:val="center"/>
                    <w:rPr>
                      <w:bCs/>
                      <w:spacing w:val="-6"/>
                      <w:szCs w:val="21"/>
                    </w:rPr>
                  </w:pPr>
                  <w:r>
                    <w:rPr>
                      <w:bCs/>
                      <w:spacing w:val="-6"/>
                      <w:szCs w:val="21"/>
                    </w:rPr>
                    <w:t>固废</w:t>
                  </w:r>
                </w:p>
              </w:tc>
              <w:tc>
                <w:tcPr>
                  <w:tcW w:w="4444" w:type="pct"/>
                  <w:vAlign w:val="center"/>
                </w:tcPr>
                <w:p w14:paraId="1940E278">
                  <w:pPr>
                    <w:rPr>
                      <w:szCs w:val="21"/>
                    </w:rPr>
                  </w:pPr>
                  <w:r>
                    <w:rPr>
                      <w:rFonts w:hint="eastAsia" w:ascii="宋体" w:hAnsi="宋体"/>
                      <w:szCs w:val="21"/>
                    </w:rPr>
                    <w:t>①</w:t>
                  </w:r>
                  <w:r>
                    <w:rPr>
                      <w:bCs/>
                      <w:szCs w:val="21"/>
                    </w:rPr>
                    <w:t>建筑垃圾运到政府部门指定场所填埋；</w:t>
                  </w:r>
                  <w:r>
                    <w:rPr>
                      <w:szCs w:val="21"/>
                    </w:rPr>
                    <w:t>生活垃圾由环卫部门统一清运处理</w:t>
                  </w:r>
                  <w:r>
                    <w:rPr>
                      <w:rFonts w:hint="eastAsia"/>
                      <w:szCs w:val="21"/>
                    </w:rPr>
                    <w:t>；</w:t>
                  </w:r>
                </w:p>
                <w:p w14:paraId="0A68E6C8">
                  <w:pPr>
                    <w:pStyle w:val="57"/>
                    <w:spacing w:beforeLines="0"/>
                    <w:jc w:val="both"/>
                    <w:rPr>
                      <w:rFonts w:eastAsia="宋体"/>
                      <w:szCs w:val="21"/>
                    </w:rPr>
                  </w:pPr>
                  <w:r>
                    <w:rPr>
                      <w:rFonts w:hint="eastAsia" w:ascii="宋体" w:hAnsi="宋体" w:eastAsia="宋体"/>
                      <w:szCs w:val="21"/>
                    </w:rPr>
                    <w:t>②</w:t>
                  </w:r>
                  <w:r>
                    <w:rPr>
                      <w:rFonts w:hint="eastAsia" w:ascii="宋体" w:hAnsi="宋体" w:eastAsia="宋体" w:cs="宋体"/>
                    </w:rPr>
                    <w:t>禁止将废弃物丢弃附近道路，施工现场设立警示牌，并由公司人员进行监督检查</w:t>
                  </w:r>
                  <w:r>
                    <w:rPr>
                      <w:rFonts w:eastAsia="宋体"/>
                      <w:szCs w:val="21"/>
                    </w:rPr>
                    <w:t>。</w:t>
                  </w:r>
                </w:p>
              </w:tc>
            </w:tr>
          </w:tbl>
          <w:p w14:paraId="771268BE">
            <w:pPr>
              <w:spacing w:line="500" w:lineRule="exact"/>
              <w:ind w:firstLine="411" w:firstLineChars="196"/>
            </w:pPr>
          </w:p>
        </w:tc>
      </w:tr>
      <w:tr w14:paraId="70A4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75E2AC8">
            <w:pPr>
              <w:adjustRightInd w:val="0"/>
              <w:snapToGrid w:val="0"/>
              <w:jc w:val="center"/>
              <w:rPr>
                <w:rFonts w:ascii="宋体" w:hAnsi="宋体" w:cs="宋体"/>
                <w:bCs/>
                <w:szCs w:val="21"/>
              </w:rPr>
            </w:pPr>
            <w:r>
              <w:rPr>
                <w:rFonts w:hint="eastAsia" w:ascii="宋体" w:hAnsi="宋体" w:cs="宋体"/>
                <w:bCs/>
                <w:szCs w:val="21"/>
              </w:rPr>
              <w:t>运营</w:t>
            </w:r>
          </w:p>
          <w:p w14:paraId="6AD9A11E">
            <w:pPr>
              <w:adjustRightInd w:val="0"/>
              <w:snapToGrid w:val="0"/>
              <w:jc w:val="center"/>
              <w:rPr>
                <w:rFonts w:ascii="宋体" w:hAnsi="宋体" w:cs="宋体"/>
                <w:bCs/>
                <w:szCs w:val="21"/>
              </w:rPr>
            </w:pPr>
            <w:r>
              <w:rPr>
                <w:rFonts w:hint="eastAsia" w:ascii="宋体" w:hAnsi="宋体" w:cs="宋体"/>
                <w:bCs/>
                <w:szCs w:val="21"/>
              </w:rPr>
              <w:t>期环</w:t>
            </w:r>
          </w:p>
          <w:p w14:paraId="08FA4358">
            <w:pPr>
              <w:adjustRightInd w:val="0"/>
              <w:snapToGrid w:val="0"/>
              <w:jc w:val="center"/>
              <w:rPr>
                <w:rFonts w:ascii="宋体" w:hAnsi="宋体" w:cs="宋体"/>
                <w:bCs/>
                <w:szCs w:val="21"/>
              </w:rPr>
            </w:pPr>
            <w:r>
              <w:rPr>
                <w:rFonts w:hint="eastAsia" w:ascii="宋体" w:hAnsi="宋体" w:cs="宋体"/>
                <w:bCs/>
                <w:szCs w:val="21"/>
              </w:rPr>
              <w:t>境影</w:t>
            </w:r>
          </w:p>
          <w:p w14:paraId="127EA22F">
            <w:pPr>
              <w:adjustRightInd w:val="0"/>
              <w:snapToGrid w:val="0"/>
              <w:jc w:val="center"/>
              <w:rPr>
                <w:rFonts w:ascii="宋体" w:hAnsi="宋体" w:cs="宋体"/>
                <w:bCs/>
                <w:szCs w:val="21"/>
              </w:rPr>
            </w:pPr>
            <w:r>
              <w:rPr>
                <w:rFonts w:hint="eastAsia" w:ascii="宋体" w:hAnsi="宋体" w:cs="宋体"/>
                <w:bCs/>
                <w:szCs w:val="21"/>
              </w:rPr>
              <w:t>响和</w:t>
            </w:r>
          </w:p>
          <w:p w14:paraId="42A4074F">
            <w:pPr>
              <w:adjustRightInd w:val="0"/>
              <w:snapToGrid w:val="0"/>
              <w:jc w:val="center"/>
              <w:rPr>
                <w:rFonts w:ascii="宋体" w:hAnsi="宋体" w:cs="宋体"/>
                <w:bCs/>
                <w:szCs w:val="21"/>
              </w:rPr>
            </w:pPr>
            <w:r>
              <w:rPr>
                <w:rFonts w:hint="eastAsia" w:ascii="宋体" w:hAnsi="宋体" w:cs="宋体"/>
                <w:bCs/>
                <w:szCs w:val="21"/>
              </w:rPr>
              <w:t>保护</w:t>
            </w:r>
          </w:p>
          <w:p w14:paraId="6191532D">
            <w:pPr>
              <w:adjustRightInd w:val="0"/>
              <w:snapToGrid w:val="0"/>
              <w:jc w:val="center"/>
              <w:rPr>
                <w:rFonts w:ascii="宋体" w:hAnsi="宋体" w:cs="宋体"/>
                <w:bCs/>
                <w:szCs w:val="21"/>
              </w:rPr>
            </w:pPr>
            <w:r>
              <w:rPr>
                <w:rFonts w:hint="eastAsia" w:ascii="宋体" w:hAnsi="宋体" w:cs="宋体"/>
                <w:bCs/>
                <w:szCs w:val="21"/>
              </w:rPr>
              <w:t>措施</w:t>
            </w:r>
          </w:p>
        </w:tc>
        <w:tc>
          <w:tcPr>
            <w:tcW w:w="8101" w:type="dxa"/>
          </w:tcPr>
          <w:p w14:paraId="4A2C1E5D">
            <w:pPr>
              <w:spacing w:line="500" w:lineRule="exact"/>
              <w:ind w:firstLine="472" w:firstLineChars="196"/>
              <w:rPr>
                <w:b/>
                <w:kern w:val="0"/>
                <w:sz w:val="24"/>
              </w:rPr>
            </w:pPr>
            <w:r>
              <w:rPr>
                <w:rFonts w:hint="eastAsia"/>
                <w:b/>
                <w:kern w:val="0"/>
                <w:sz w:val="24"/>
              </w:rPr>
              <w:t>一、废水环境影响和保护措施</w:t>
            </w:r>
          </w:p>
          <w:p w14:paraId="22BDF1C4">
            <w:pPr>
              <w:spacing w:line="500" w:lineRule="exact"/>
              <w:ind w:firstLine="472" w:firstLineChars="196"/>
              <w:rPr>
                <w:rFonts w:hint="eastAsia"/>
                <w:b/>
                <w:bCs/>
                <w:sz w:val="24"/>
                <w:lang w:val="en-US" w:eastAsia="zh-CN"/>
              </w:rPr>
            </w:pPr>
            <w:r>
              <w:rPr>
                <w:rFonts w:hint="eastAsia"/>
                <w:b/>
                <w:bCs/>
                <w:sz w:val="24"/>
                <w:lang w:val="en-US" w:eastAsia="zh-CN"/>
              </w:rPr>
              <w:t>1、废水源强</w:t>
            </w:r>
          </w:p>
          <w:p w14:paraId="2740FA17">
            <w:pPr>
              <w:spacing w:line="500" w:lineRule="exact"/>
              <w:ind w:firstLine="470" w:firstLineChars="196"/>
              <w:rPr>
                <w:sz w:val="24"/>
              </w:rPr>
            </w:pPr>
            <w:r>
              <w:rPr>
                <w:rFonts w:hint="eastAsia"/>
                <w:sz w:val="24"/>
              </w:rPr>
              <w:t>（1）生产废水</w:t>
            </w:r>
          </w:p>
          <w:p w14:paraId="0DC4354C">
            <w:pPr>
              <w:spacing w:line="500" w:lineRule="exact"/>
              <w:ind w:firstLine="470" w:firstLineChars="196"/>
              <w:rPr>
                <w:rFonts w:hint="eastAsia"/>
                <w:sz w:val="24"/>
              </w:rPr>
            </w:pPr>
            <w:r>
              <w:rPr>
                <w:rFonts w:hint="eastAsia"/>
                <w:sz w:val="24"/>
                <w:u w:val="none"/>
                <w:lang w:val="en-US" w:eastAsia="zh-CN"/>
              </w:rPr>
              <w:t>本项目生产运营过程无新增生产废水</w:t>
            </w:r>
            <w:r>
              <w:rPr>
                <w:rFonts w:hint="eastAsia"/>
                <w:sz w:val="24"/>
                <w:u w:val="none"/>
              </w:rPr>
              <w:t>。</w:t>
            </w:r>
          </w:p>
          <w:p w14:paraId="269A0E3B">
            <w:pPr>
              <w:spacing w:line="500" w:lineRule="exact"/>
              <w:ind w:firstLine="470" w:firstLineChars="196"/>
              <w:rPr>
                <w:bCs/>
                <w:sz w:val="24"/>
              </w:rPr>
            </w:pPr>
            <w:r>
              <w:rPr>
                <w:rFonts w:hint="eastAsia"/>
                <w:bCs/>
                <w:sz w:val="24"/>
              </w:rPr>
              <w:t>（2）生活污水</w:t>
            </w:r>
          </w:p>
          <w:p w14:paraId="38FE9B93">
            <w:pPr>
              <w:spacing w:line="500" w:lineRule="exact"/>
              <w:ind w:firstLine="470" w:firstLineChars="196"/>
              <w:rPr>
                <w:sz w:val="24"/>
              </w:rPr>
            </w:pPr>
            <w:r>
              <w:rPr>
                <w:rFonts w:hint="eastAsia"/>
                <w:sz w:val="24"/>
              </w:rPr>
              <w:t>本项目不新增劳动定员，无新增生活污水。</w:t>
            </w:r>
          </w:p>
          <w:p w14:paraId="117E24EE">
            <w:pPr>
              <w:spacing w:line="500" w:lineRule="exact"/>
              <w:ind w:firstLine="470" w:firstLineChars="196"/>
              <w:rPr>
                <w:sz w:val="24"/>
              </w:rPr>
            </w:pPr>
            <w:r>
              <w:rPr>
                <w:rFonts w:hint="eastAsia"/>
                <w:sz w:val="24"/>
              </w:rPr>
              <w:t>（3）初期雨水</w:t>
            </w:r>
          </w:p>
          <w:p w14:paraId="666203D0">
            <w:pPr>
              <w:spacing w:line="500" w:lineRule="exact"/>
              <w:ind w:firstLine="470" w:firstLineChars="196"/>
              <w:rPr>
                <w:rFonts w:hint="eastAsia"/>
                <w:sz w:val="24"/>
              </w:rPr>
            </w:pPr>
            <w:r>
              <w:rPr>
                <w:rFonts w:hint="eastAsia"/>
                <w:sz w:val="24"/>
              </w:rPr>
              <w:t>本项目不涉及厂区外的新增用地，无新增初期雨水量。</w:t>
            </w:r>
          </w:p>
          <w:p w14:paraId="3757462E">
            <w:pPr>
              <w:spacing w:line="500" w:lineRule="exact"/>
              <w:ind w:firstLine="482" w:firstLineChars="200"/>
              <w:rPr>
                <w:b/>
                <w:kern w:val="0"/>
                <w:sz w:val="24"/>
              </w:rPr>
            </w:pPr>
            <w:r>
              <w:rPr>
                <w:rFonts w:hint="eastAsia"/>
                <w:b/>
                <w:kern w:val="0"/>
                <w:sz w:val="24"/>
              </w:rPr>
              <w:t>二、大气环境影响和保护措施</w:t>
            </w:r>
          </w:p>
          <w:p w14:paraId="4D78C14C">
            <w:pPr>
              <w:spacing w:line="500" w:lineRule="exact"/>
              <w:ind w:firstLine="480" w:firstLineChars="200"/>
              <w:rPr>
                <w:rFonts w:hint="default" w:eastAsia="宋体"/>
                <w:sz w:val="24"/>
                <w:lang w:val="en-US" w:eastAsia="zh-CN"/>
              </w:rPr>
            </w:pPr>
            <w:r>
              <w:rPr>
                <w:rFonts w:hint="eastAsia"/>
                <w:sz w:val="24"/>
                <w:lang w:val="en-US" w:eastAsia="zh-CN"/>
              </w:rPr>
              <w:t>本项目运营过程产生的废气主要为醋酸、丙酸在贮存过程产生的呼吸废气。</w:t>
            </w:r>
          </w:p>
          <w:p w14:paraId="208377F1">
            <w:pPr>
              <w:spacing w:line="500" w:lineRule="exact"/>
              <w:ind w:firstLine="482" w:firstLineChars="200"/>
              <w:rPr>
                <w:rFonts w:hint="default" w:eastAsia="宋体"/>
                <w:b/>
                <w:bCs/>
                <w:sz w:val="24"/>
                <w:lang w:val="en-US" w:eastAsia="zh-CN"/>
              </w:rPr>
            </w:pPr>
            <w:r>
              <w:rPr>
                <w:rFonts w:hint="eastAsia"/>
                <w:b/>
                <w:bCs/>
                <w:sz w:val="24"/>
                <w:lang w:val="en-US" w:eastAsia="zh-CN"/>
              </w:rPr>
              <w:t>1、废气源强</w:t>
            </w:r>
          </w:p>
          <w:p w14:paraId="34B0DAF9">
            <w:pPr>
              <w:spacing w:line="500" w:lineRule="exact"/>
              <w:ind w:firstLine="480" w:firstLineChars="200"/>
              <w:rPr>
                <w:rFonts w:hint="eastAsia" w:asciiTheme="minorEastAsia" w:hAnsiTheme="minorEastAsia" w:eastAsiaTheme="minorEastAsia" w:cstheme="minorEastAsia"/>
                <w:sz w:val="24"/>
                <w:lang w:val="en-US" w:eastAsia="zh-CN"/>
              </w:rPr>
            </w:pPr>
            <w:r>
              <w:rPr>
                <w:rFonts w:hint="default"/>
                <w:sz w:val="24"/>
                <w:lang w:val="en-US" w:eastAsia="zh-CN"/>
              </w:rPr>
              <w:t>本项目</w:t>
            </w:r>
            <w:r>
              <w:rPr>
                <w:rFonts w:hint="eastAsia"/>
                <w:sz w:val="24"/>
                <w:lang w:val="en-US" w:eastAsia="zh-CN"/>
              </w:rPr>
              <w:t>新建1个50m</w:t>
            </w:r>
            <w:r>
              <w:rPr>
                <w:rFonts w:hint="eastAsia"/>
                <w:sz w:val="24"/>
                <w:vertAlign w:val="superscript"/>
                <w:lang w:val="en-US" w:eastAsia="zh-CN"/>
              </w:rPr>
              <w:t>3</w:t>
            </w:r>
            <w:r>
              <w:rPr>
                <w:rFonts w:hint="eastAsia"/>
                <w:sz w:val="24"/>
                <w:lang w:val="en-US" w:eastAsia="zh-CN"/>
              </w:rPr>
              <w:t>的丙酸缓冲储罐用于贮存丙酸产品，醋酸产品依托现有工程1个1500m</w:t>
            </w:r>
            <w:r>
              <w:rPr>
                <w:rFonts w:hint="eastAsia"/>
                <w:sz w:val="24"/>
                <w:vertAlign w:val="superscript"/>
                <w:lang w:val="en-US" w:eastAsia="zh-CN"/>
              </w:rPr>
              <w:t>3</w:t>
            </w:r>
            <w:r>
              <w:rPr>
                <w:rFonts w:hint="eastAsia"/>
                <w:sz w:val="24"/>
                <w:vertAlign w:val="baseline"/>
                <w:lang w:val="en-US" w:eastAsia="zh-CN"/>
              </w:rPr>
              <w:t>的</w:t>
            </w:r>
            <w:r>
              <w:rPr>
                <w:rFonts w:hint="eastAsia"/>
                <w:sz w:val="24"/>
                <w:lang w:val="en-US" w:eastAsia="zh-CN"/>
              </w:rPr>
              <w:t>醋酸储罐贮存</w:t>
            </w:r>
            <w:r>
              <w:rPr>
                <w:rFonts w:hint="default"/>
                <w:sz w:val="24"/>
                <w:lang w:val="en-US" w:eastAsia="zh-CN"/>
              </w:rPr>
              <w:t>，均为固定顶储罐。固定顶储罐一般装有压力和排气口，它使储罐能在极低或真空下操作，压力和真空阀仅在温度、压力或液面变化微小的情况下阻止蒸汽释放。</w:t>
            </w:r>
            <w:r>
              <w:rPr>
                <w:rFonts w:hint="eastAsia" w:asciiTheme="minorEastAsia" w:hAnsiTheme="minorEastAsia" w:eastAsiaTheme="minorEastAsia" w:cstheme="minorEastAsia"/>
                <w:sz w:val="24"/>
                <w:lang w:val="en-US" w:eastAsia="zh-CN"/>
              </w:rPr>
              <w:t>固定顶罐的呼吸废气主要是“小呼吸”排放和“大呼吸”排放两种排放方式。</w:t>
            </w:r>
          </w:p>
          <w:p w14:paraId="6D92D3A5">
            <w:pPr>
              <w:spacing w:line="500" w:lineRule="exact"/>
              <w:ind w:firstLine="482" w:firstLineChars="200"/>
              <w:rPr>
                <w:rFonts w:hint="eastAsia"/>
                <w:sz w:val="24"/>
              </w:rPr>
            </w:pPr>
            <w:r>
              <w:rPr>
                <w:rFonts w:hint="eastAsia"/>
                <w:b/>
                <w:bCs/>
                <w:sz w:val="24"/>
              </w:rPr>
              <w:t xml:space="preserve">（1）“小呼吸”排放 </w:t>
            </w:r>
          </w:p>
          <w:p w14:paraId="48EEC310">
            <w:pPr>
              <w:spacing w:line="500" w:lineRule="exact"/>
              <w:ind w:firstLine="480" w:firstLineChars="200"/>
              <w:rPr>
                <w:rFonts w:hint="default" w:eastAsia="宋体"/>
                <w:sz w:val="24"/>
                <w:lang w:val="en-US" w:eastAsia="zh-CN"/>
              </w:rPr>
            </w:pPr>
            <w:r>
              <w:rPr>
                <w:rFonts w:hint="eastAsia"/>
                <w:sz w:val="24"/>
              </w:rPr>
              <w:t>“小呼吸”排放是由于温度和大气压力的变化引起蒸气的膨胀和收缩而产生的蒸气排出，它出现在罐内液面无任何变化的情况，是非人为干扰的自然排放方式</w:t>
            </w:r>
            <w:r>
              <w:rPr>
                <w:rFonts w:hint="eastAsia"/>
                <w:sz w:val="24"/>
                <w:lang w:eastAsia="zh-CN"/>
              </w:rPr>
              <w:t>。</w:t>
            </w:r>
            <w:r>
              <w:rPr>
                <w:rFonts w:hint="eastAsia"/>
                <w:sz w:val="24"/>
                <w:lang w:val="en-US" w:eastAsia="zh-CN"/>
              </w:rPr>
              <w:t>本项目醋酸依托现有工程储罐，因此无新增醋酸“小呼吸”废气。</w:t>
            </w:r>
          </w:p>
          <w:p w14:paraId="448D06BA">
            <w:pPr>
              <w:spacing w:line="500" w:lineRule="exact"/>
              <w:ind w:firstLine="480" w:firstLineChars="200"/>
              <w:rPr>
                <w:rFonts w:hint="eastAsia"/>
                <w:sz w:val="24"/>
              </w:rPr>
            </w:pPr>
            <w:r>
              <w:rPr>
                <w:rFonts w:hint="eastAsia"/>
                <w:sz w:val="24"/>
              </w:rPr>
              <w:t>固定顶罐的“小呼吸”排放可采用下式估算其污染物的排放量：</w:t>
            </w:r>
          </w:p>
          <w:p w14:paraId="474BE2F7">
            <w:pPr>
              <w:spacing w:line="500" w:lineRule="exact"/>
              <w:ind w:left="0" w:leftChars="0" w:right="0" w:rightChars="0" w:firstLine="0" w:firstLineChars="0"/>
              <w:jc w:val="center"/>
              <w:rPr>
                <w:rFonts w:hint="eastAsia"/>
                <w:sz w:val="24"/>
              </w:rPr>
            </w:pPr>
            <w:r>
              <w:rPr>
                <w:rFonts w:hint="eastAsia"/>
                <w:sz w:val="24"/>
              </w:rPr>
              <w:drawing>
                <wp:inline distT="0" distB="0" distL="0" distR="0">
                  <wp:extent cx="4272915" cy="228600"/>
                  <wp:effectExtent l="0" t="0" r="13335" b="0"/>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24" cstate="print"/>
                          <a:stretch>
                            <a:fillRect/>
                          </a:stretch>
                        </pic:blipFill>
                        <pic:spPr>
                          <a:xfrm>
                            <a:off x="0" y="0"/>
                            <a:ext cx="4273447" cy="228600"/>
                          </a:xfrm>
                          <a:prstGeom prst="rect">
                            <a:avLst/>
                          </a:prstGeom>
                        </pic:spPr>
                      </pic:pic>
                    </a:graphicData>
                  </a:graphic>
                </wp:inline>
              </w:drawing>
            </w:r>
          </w:p>
          <w:p w14:paraId="5997E71C">
            <w:pPr>
              <w:spacing w:line="500" w:lineRule="exact"/>
              <w:ind w:firstLine="480" w:firstLineChars="200"/>
              <w:rPr>
                <w:rFonts w:hint="eastAsia"/>
                <w:sz w:val="24"/>
              </w:rPr>
            </w:pPr>
            <w:r>
              <w:rPr>
                <w:rFonts w:hint="eastAsia"/>
                <w:sz w:val="24"/>
              </w:rPr>
              <w:t>式中：</w:t>
            </w:r>
          </w:p>
          <w:p w14:paraId="2708F374">
            <w:pPr>
              <w:spacing w:line="500" w:lineRule="exact"/>
              <w:ind w:firstLine="480" w:firstLineChars="200"/>
              <w:rPr>
                <w:rFonts w:hint="eastAsia"/>
                <w:sz w:val="24"/>
              </w:rPr>
            </w:pPr>
            <w:r>
              <w:rPr>
                <w:rFonts w:hint="eastAsia"/>
                <w:sz w:val="24"/>
              </w:rPr>
              <w:t xml:space="preserve">LB—固定顶罐的呼吸排放量，kg/a； </w:t>
            </w:r>
          </w:p>
          <w:p w14:paraId="6B24BA3A">
            <w:pPr>
              <w:spacing w:line="500" w:lineRule="exact"/>
              <w:ind w:firstLine="480" w:firstLineChars="200"/>
              <w:rPr>
                <w:rFonts w:hint="eastAsia"/>
                <w:sz w:val="24"/>
              </w:rPr>
            </w:pPr>
            <w:r>
              <w:rPr>
                <w:rFonts w:hint="eastAsia"/>
                <w:sz w:val="24"/>
              </w:rPr>
              <w:t>M—储罐内蒸汽的分子量；</w:t>
            </w:r>
          </w:p>
          <w:p w14:paraId="24210312">
            <w:pPr>
              <w:spacing w:line="500" w:lineRule="exact"/>
              <w:ind w:firstLine="480" w:firstLineChars="200"/>
              <w:rPr>
                <w:rFonts w:hint="eastAsia"/>
                <w:sz w:val="24"/>
              </w:rPr>
            </w:pPr>
            <w:r>
              <w:rPr>
                <w:rFonts w:hint="eastAsia"/>
                <w:sz w:val="24"/>
              </w:rPr>
              <w:t xml:space="preserve">P—储罐内平均温度下液体的真实蒸气压，Pa； </w:t>
            </w:r>
          </w:p>
          <w:p w14:paraId="11F80FEE">
            <w:pPr>
              <w:spacing w:line="500" w:lineRule="exact"/>
              <w:ind w:firstLine="480" w:firstLineChars="200"/>
              <w:rPr>
                <w:rFonts w:hint="eastAsia"/>
                <w:sz w:val="24"/>
              </w:rPr>
            </w:pPr>
            <w:r>
              <w:rPr>
                <w:rFonts w:hint="eastAsia"/>
                <w:sz w:val="24"/>
              </w:rPr>
              <w:t xml:space="preserve">D—储罐的直径，m； </w:t>
            </w:r>
          </w:p>
          <w:p w14:paraId="7757313D">
            <w:pPr>
              <w:spacing w:line="500" w:lineRule="exact"/>
              <w:ind w:firstLine="480" w:firstLineChars="200"/>
              <w:rPr>
                <w:rFonts w:hint="eastAsia"/>
                <w:sz w:val="24"/>
              </w:rPr>
            </w:pPr>
            <w:r>
              <w:rPr>
                <w:rFonts w:hint="eastAsia"/>
                <w:sz w:val="24"/>
              </w:rPr>
              <w:t xml:space="preserve">H—平均蒸汽空间高度，m； </w:t>
            </w:r>
          </w:p>
          <w:p w14:paraId="1F2D564E">
            <w:pPr>
              <w:spacing w:line="500" w:lineRule="exact"/>
              <w:ind w:firstLine="480" w:firstLineChars="200"/>
              <w:rPr>
                <w:rFonts w:hint="eastAsia"/>
                <w:sz w:val="24"/>
              </w:rPr>
            </w:pPr>
            <w:r>
              <w:rPr>
                <w:rFonts w:hint="eastAsia"/>
                <w:sz w:val="24"/>
              </w:rPr>
              <w:t xml:space="preserve">∆T—一天之内的平均温度差，℃； </w:t>
            </w:r>
          </w:p>
          <w:p w14:paraId="5E87D3E6">
            <w:pPr>
              <w:spacing w:line="500" w:lineRule="exact"/>
              <w:ind w:firstLine="480" w:firstLineChars="200"/>
              <w:rPr>
                <w:rFonts w:hint="eastAsia"/>
                <w:sz w:val="24"/>
              </w:rPr>
            </w:pPr>
            <w:r>
              <w:rPr>
                <w:rFonts w:hint="eastAsia"/>
                <w:sz w:val="24"/>
              </w:rPr>
              <w:t xml:space="preserve">Fp—涂层因子，无量纲；根据状况取值在 1~1.5 之间； </w:t>
            </w:r>
          </w:p>
          <w:p w14:paraId="6D2C38BA">
            <w:pPr>
              <w:spacing w:line="500" w:lineRule="exact"/>
              <w:ind w:firstLine="480" w:firstLineChars="200"/>
              <w:rPr>
                <w:rFonts w:hint="eastAsia"/>
                <w:sz w:val="24"/>
              </w:rPr>
            </w:pPr>
            <w:r>
              <w:rPr>
                <w:rFonts w:hint="eastAsia"/>
                <w:sz w:val="24"/>
              </w:rPr>
              <w:t xml:space="preserve">C—用于小直径罐的调节因子，无量纲；当 1.83m＜D＜9.14m 时， </w:t>
            </w:r>
          </w:p>
          <w:p w14:paraId="65B13E96">
            <w:pPr>
              <w:spacing w:line="500" w:lineRule="exact"/>
              <w:ind w:firstLine="480" w:firstLineChars="200"/>
              <w:rPr>
                <w:rFonts w:hint="eastAsia"/>
                <w:sz w:val="24"/>
              </w:rPr>
            </w:pPr>
            <w:r>
              <w:rPr>
                <w:rFonts w:hint="eastAsia"/>
                <w:sz w:val="24"/>
              </w:rPr>
              <w:t>C=1-0.0123×</w:t>
            </w:r>
            <w:r>
              <w:rPr>
                <w:rFonts w:hint="eastAsia" w:asciiTheme="minorEastAsia" w:hAnsiTheme="minorEastAsia" w:eastAsiaTheme="minorEastAsia" w:cstheme="minorEastAsia"/>
                <w:sz w:val="24"/>
              </w:rPr>
              <w:t>(</w:t>
            </w:r>
            <w:r>
              <w:rPr>
                <w:rFonts w:hint="eastAsia"/>
                <w:sz w:val="24"/>
              </w:rPr>
              <w:t>D-9</w:t>
            </w:r>
            <w:r>
              <w:rPr>
                <w:rFonts w:hint="eastAsia" w:asciiTheme="minorEastAsia" w:hAnsiTheme="minorEastAsia" w:eastAsiaTheme="minorEastAsia" w:cstheme="minorEastAsia"/>
                <w:sz w:val="24"/>
              </w:rPr>
              <w:t>)</w:t>
            </w:r>
            <w:r>
              <w:rPr>
                <w:rFonts w:hint="eastAsia"/>
                <w:sz w:val="24"/>
                <w:vertAlign w:val="superscript"/>
              </w:rPr>
              <w:t>2</w:t>
            </w:r>
            <w:r>
              <w:rPr>
                <w:rFonts w:hint="eastAsia"/>
                <w:sz w:val="24"/>
              </w:rPr>
              <w:t>或查图确定，当 D＞9.14m 时，C=1；</w:t>
            </w:r>
          </w:p>
          <w:p w14:paraId="33FD07DB">
            <w:pPr>
              <w:spacing w:line="500" w:lineRule="exact"/>
              <w:ind w:firstLine="480" w:firstLineChars="200"/>
              <w:rPr>
                <w:rFonts w:hint="eastAsia"/>
                <w:sz w:val="24"/>
              </w:rPr>
            </w:pPr>
            <w:r>
              <w:rPr>
                <w:rFonts w:hint="eastAsia"/>
                <w:sz w:val="24"/>
              </w:rPr>
              <w:t>KC—产品因子，无量纲；石油原油取0.65，其他取 1.0。</w:t>
            </w:r>
          </w:p>
          <w:p w14:paraId="07242193">
            <w:pPr>
              <w:pStyle w:val="51"/>
              <w:numPr>
                <w:ilvl w:val="2"/>
                <w:numId w:val="7"/>
              </w:numPr>
              <w:spacing w:line="500" w:lineRule="atLeast"/>
              <w:ind w:firstLineChars="0"/>
              <w:jc w:val="center"/>
              <w:rPr>
                <w:rFonts w:hint="eastAsia"/>
                <w:sz w:val="24"/>
              </w:rPr>
            </w:pPr>
            <w:r>
              <w:rPr>
                <w:rFonts w:hint="eastAsia"/>
                <w:b/>
                <w:sz w:val="24"/>
              </w:rPr>
              <w:t>罐区“小呼吸”排放计算参数及结果一览表</w:t>
            </w:r>
          </w:p>
          <w:tbl>
            <w:tblPr>
              <w:tblStyle w:val="26"/>
              <w:tblpPr w:leftFromText="181" w:rightFromText="181" w:vertAnchor="text" w:horzAnchor="page" w:tblpXSpec="center" w:tblpY="1"/>
              <w:tblOverlap w:val="never"/>
              <w:tblW w:w="7885" w:type="dxa"/>
              <w:jc w:val="center"/>
              <w:tblLayout w:type="fixed"/>
              <w:tblCellMar>
                <w:top w:w="0" w:type="dxa"/>
                <w:left w:w="108" w:type="dxa"/>
                <w:bottom w:w="0" w:type="dxa"/>
                <w:right w:w="108" w:type="dxa"/>
              </w:tblCellMar>
            </w:tblPr>
            <w:tblGrid>
              <w:gridCol w:w="1042"/>
              <w:gridCol w:w="873"/>
              <w:gridCol w:w="743"/>
              <w:gridCol w:w="669"/>
              <w:gridCol w:w="613"/>
              <w:gridCol w:w="423"/>
              <w:gridCol w:w="702"/>
              <w:gridCol w:w="668"/>
              <w:gridCol w:w="729"/>
              <w:gridCol w:w="766"/>
              <w:gridCol w:w="657"/>
            </w:tblGrid>
            <w:tr w14:paraId="3CD43944">
              <w:tblPrEx>
                <w:tblCellMar>
                  <w:top w:w="0" w:type="dxa"/>
                  <w:left w:w="108" w:type="dxa"/>
                  <w:bottom w:w="0" w:type="dxa"/>
                  <w:right w:w="108" w:type="dxa"/>
                </w:tblCellMar>
              </w:tblPrEx>
              <w:trPr>
                <w:cantSplit/>
                <w:trHeight w:val="340" w:hRule="atLeast"/>
                <w:jc w:val="center"/>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7B1D">
                  <w:pPr>
                    <w:spacing w:line="0" w:lineRule="atLeast"/>
                    <w:jc w:val="center"/>
                    <w:rPr>
                      <w:rFonts w:hint="eastAsia"/>
                    </w:rPr>
                  </w:pPr>
                  <w:r>
                    <w:rPr>
                      <w:rFonts w:hint="eastAsia"/>
                    </w:rPr>
                    <w:t>储罐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F3E1">
                  <w:pPr>
                    <w:spacing w:line="0" w:lineRule="atLeast"/>
                    <w:jc w:val="center"/>
                    <w:rPr>
                      <w:rFonts w:hint="eastAsia"/>
                    </w:rPr>
                  </w:pPr>
                  <w:r>
                    <w:rPr>
                      <w:rFonts w:hint="eastAsia"/>
                    </w:rPr>
                    <w:t>储存介质</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D576">
                  <w:pPr>
                    <w:spacing w:line="0" w:lineRule="atLeast"/>
                    <w:jc w:val="center"/>
                    <w:rPr>
                      <w:rFonts w:hint="eastAsia"/>
                    </w:rPr>
                  </w:pPr>
                  <w:r>
                    <w:rPr>
                      <w:rFonts w:hint="eastAsia"/>
                    </w:rPr>
                    <w:t>Mg/mol</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E808">
                  <w:pPr>
                    <w:spacing w:line="0" w:lineRule="atLeast"/>
                    <w:jc w:val="center"/>
                    <w:rPr>
                      <w:rFonts w:hint="eastAsia"/>
                    </w:rPr>
                  </w:pPr>
                  <w:r>
                    <w:rPr>
                      <w:rFonts w:hint="eastAsia"/>
                    </w:rPr>
                    <w:t>P（Pa）</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6B15">
                  <w:pPr>
                    <w:spacing w:line="0" w:lineRule="atLeast"/>
                    <w:jc w:val="center"/>
                    <w:rPr>
                      <w:rFonts w:hint="eastAsia"/>
                    </w:rPr>
                  </w:pPr>
                  <w:r>
                    <w:rPr>
                      <w:rFonts w:hint="eastAsia"/>
                    </w:rPr>
                    <w:t>Fp</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B0B2">
                  <w:pPr>
                    <w:spacing w:line="0" w:lineRule="atLeast"/>
                    <w:jc w:val="center"/>
                    <w:rPr>
                      <w:rFonts w:hint="eastAsia"/>
                    </w:rPr>
                  </w:pPr>
                  <w:r>
                    <w:rPr>
                      <w:rFonts w:hint="eastAsia"/>
                    </w:rPr>
                    <w:t>Kc</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5F2B">
                  <w:pPr>
                    <w:spacing w:line="0" w:lineRule="atLeast"/>
                    <w:jc w:val="center"/>
                    <w:rPr>
                      <w:rFonts w:hint="eastAsia"/>
                    </w:rPr>
                  </w:pPr>
                  <w:r>
                    <w:rPr>
                      <w:rFonts w:hint="eastAsia"/>
                    </w:rPr>
                    <w:t>∆T（℃）</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44731">
                  <w:pPr>
                    <w:spacing w:line="0" w:lineRule="atLeast"/>
                    <w:jc w:val="center"/>
                    <w:rPr>
                      <w:rFonts w:hint="eastAsia"/>
                    </w:rPr>
                  </w:pPr>
                  <w:r>
                    <w:rPr>
                      <w:rFonts w:hint="eastAsia"/>
                    </w:rPr>
                    <w:t>D</w:t>
                  </w:r>
                </w:p>
                <w:p w14:paraId="6F421774">
                  <w:pPr>
                    <w:spacing w:line="0" w:lineRule="atLeast"/>
                    <w:jc w:val="center"/>
                    <w:rPr>
                      <w:rFonts w:hint="eastAsia"/>
                    </w:rPr>
                  </w:pPr>
                  <w:r>
                    <w:rPr>
                      <w:rFonts w:hint="eastAsia"/>
                    </w:rPr>
                    <w:t>（m）</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A8B3A">
                  <w:pPr>
                    <w:spacing w:line="0" w:lineRule="atLeast"/>
                    <w:jc w:val="center"/>
                    <w:rPr>
                      <w:rFonts w:hint="eastAsia"/>
                    </w:rPr>
                  </w:pPr>
                  <w:r>
                    <w:rPr>
                      <w:rFonts w:hint="eastAsia"/>
                    </w:rPr>
                    <w:t>H</w:t>
                  </w:r>
                </w:p>
                <w:p w14:paraId="5A3DA70E">
                  <w:pPr>
                    <w:spacing w:line="0" w:lineRule="atLeast"/>
                    <w:jc w:val="center"/>
                    <w:rPr>
                      <w:rFonts w:hint="eastAsia"/>
                    </w:rPr>
                  </w:pPr>
                  <w:r>
                    <w:rPr>
                      <w:rFonts w:hint="eastAsia"/>
                    </w:rPr>
                    <w:t>（m）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88BE">
                  <w:pPr>
                    <w:spacing w:line="0" w:lineRule="atLeast"/>
                    <w:jc w:val="center"/>
                    <w:rPr>
                      <w:rFonts w:hint="eastAsia"/>
                    </w:rPr>
                  </w:pPr>
                  <w:r>
                    <w:rPr>
                      <w:rFonts w:hint="eastAsia"/>
                    </w:rPr>
                    <w:t>C</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BAA08">
                  <w:pPr>
                    <w:spacing w:line="0" w:lineRule="atLeast"/>
                    <w:jc w:val="center"/>
                    <w:rPr>
                      <w:rFonts w:hint="eastAsia"/>
                    </w:rPr>
                  </w:pPr>
                  <w:r>
                    <w:rPr>
                      <w:rFonts w:hint="eastAsia"/>
                    </w:rPr>
                    <w:t>损失</w:t>
                  </w:r>
                </w:p>
                <w:p w14:paraId="7E7A99EC">
                  <w:pPr>
                    <w:spacing w:line="0" w:lineRule="atLeast"/>
                    <w:jc w:val="center"/>
                    <w:rPr>
                      <w:rFonts w:hint="eastAsia"/>
                    </w:rPr>
                  </w:pPr>
                  <w:r>
                    <w:rPr>
                      <w:rFonts w:hint="eastAsia"/>
                    </w:rPr>
                    <w:t>量</w:t>
                  </w:r>
                  <w:r>
                    <w:rPr>
                      <w:rFonts w:hint="eastAsia"/>
                      <w:lang w:val="en-US" w:eastAsia="zh-CN"/>
                    </w:rPr>
                    <w:t>t</w:t>
                  </w:r>
                  <w:r>
                    <w:rPr>
                      <w:rFonts w:hint="eastAsia"/>
                    </w:rPr>
                    <w:t>/a</w:t>
                  </w:r>
                </w:p>
              </w:tc>
            </w:tr>
            <w:tr w14:paraId="0120CD71">
              <w:tblPrEx>
                <w:tblCellMar>
                  <w:top w:w="0" w:type="dxa"/>
                  <w:left w:w="108" w:type="dxa"/>
                  <w:bottom w:w="0" w:type="dxa"/>
                  <w:right w:w="108" w:type="dxa"/>
                </w:tblCellMar>
              </w:tblPrEx>
              <w:trPr>
                <w:cantSplit/>
                <w:trHeight w:val="340" w:hRule="atLeast"/>
                <w:jc w:val="center"/>
              </w:trPr>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A01B8">
                  <w:pPr>
                    <w:spacing w:line="0" w:lineRule="atLeast"/>
                    <w:jc w:val="center"/>
                    <w:rPr>
                      <w:rFonts w:hint="eastAsia"/>
                    </w:rPr>
                  </w:pPr>
                  <w:r>
                    <w:rPr>
                      <w:rFonts w:hint="eastAsia"/>
                      <w:lang w:val="en-US" w:eastAsia="zh-CN"/>
                    </w:rPr>
                    <w:t>丙酸</w:t>
                  </w:r>
                  <w:r>
                    <w:rPr>
                      <w:rFonts w:hint="eastAsia"/>
                    </w:rPr>
                    <w:t>储罐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2116">
                  <w:pPr>
                    <w:spacing w:line="0" w:lineRule="atLeast"/>
                    <w:jc w:val="center"/>
                    <w:rPr>
                      <w:rFonts w:hint="eastAsia" w:eastAsia="宋体"/>
                      <w:lang w:val="en-US" w:eastAsia="zh-CN"/>
                    </w:rPr>
                  </w:pPr>
                  <w:r>
                    <w:rPr>
                      <w:rFonts w:hint="eastAsia"/>
                      <w:lang w:val="en-US" w:eastAsia="zh-CN"/>
                    </w:rPr>
                    <w:t>丙酸</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007C">
                  <w:pPr>
                    <w:spacing w:line="0" w:lineRule="atLeast"/>
                    <w:jc w:val="center"/>
                    <w:rPr>
                      <w:rFonts w:hint="default" w:eastAsia="宋体"/>
                      <w:lang w:val="en-US" w:eastAsia="zh-CN"/>
                    </w:rPr>
                  </w:pPr>
                  <w:r>
                    <w:rPr>
                      <w:rFonts w:hint="eastAsia"/>
                      <w:lang w:val="en-US" w:eastAsia="zh-CN"/>
                    </w:rPr>
                    <w:t>74</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F749">
                  <w:pPr>
                    <w:spacing w:line="0" w:lineRule="atLeast"/>
                    <w:jc w:val="center"/>
                    <w:rPr>
                      <w:rFonts w:hint="default" w:eastAsia="宋体"/>
                      <w:lang w:val="en-US" w:eastAsia="zh-CN"/>
                    </w:rPr>
                  </w:pPr>
                  <w:r>
                    <w:rPr>
                      <w:rFonts w:hint="eastAsia"/>
                      <w:lang w:val="en-US" w:eastAsia="zh-CN"/>
                    </w:rPr>
                    <w:t>560</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CA55">
                  <w:pPr>
                    <w:spacing w:line="0" w:lineRule="atLeast"/>
                    <w:jc w:val="center"/>
                    <w:rPr>
                      <w:rFonts w:hint="eastAsia"/>
                    </w:rPr>
                  </w:pPr>
                  <w:r>
                    <w:rPr>
                      <w:rFonts w:hint="eastAsia"/>
                    </w:rPr>
                    <w:t>1.25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D5F8">
                  <w:pPr>
                    <w:spacing w:line="0" w:lineRule="atLeast"/>
                    <w:jc w:val="center"/>
                    <w:rPr>
                      <w:rFonts w:hint="eastAsia"/>
                    </w:rPr>
                  </w:pPr>
                  <w:r>
                    <w:rPr>
                      <w:rFonts w:hint="eastAsia"/>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DC7C">
                  <w:pPr>
                    <w:spacing w:line="0" w:lineRule="atLeast"/>
                    <w:jc w:val="center"/>
                    <w:rPr>
                      <w:rFonts w:hint="eastAsia"/>
                    </w:rPr>
                  </w:pPr>
                  <w:r>
                    <w:rPr>
                      <w:rFonts w:hint="eastAsia"/>
                    </w:rPr>
                    <w:t>10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B99E">
                  <w:pPr>
                    <w:spacing w:line="0" w:lineRule="atLeast"/>
                    <w:jc w:val="center"/>
                    <w:rPr>
                      <w:rFonts w:hint="eastAsia" w:eastAsia="宋体"/>
                      <w:lang w:eastAsia="zh-CN"/>
                    </w:rPr>
                  </w:pPr>
                  <w:r>
                    <w:rPr>
                      <w:rFonts w:hint="eastAsia"/>
                      <w:lang w:val="en-US" w:eastAsia="zh-CN"/>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38D1">
                  <w:pPr>
                    <w:spacing w:line="0" w:lineRule="atLeast"/>
                    <w:jc w:val="center"/>
                    <w:rPr>
                      <w:rFonts w:hint="eastAsia" w:eastAsia="宋体"/>
                      <w:lang w:eastAsia="zh-CN"/>
                    </w:rPr>
                  </w:pPr>
                  <w:r>
                    <w:rPr>
                      <w:rFonts w:hint="eastAsia"/>
                      <w:lang w:val="en-US" w:eastAsia="zh-CN"/>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52D4">
                  <w:pPr>
                    <w:spacing w:line="0" w:lineRule="atLeast"/>
                    <w:jc w:val="center"/>
                    <w:rPr>
                      <w:rFonts w:hint="default" w:eastAsia="宋体"/>
                      <w:lang w:val="en-US" w:eastAsia="zh-CN"/>
                    </w:rPr>
                  </w:pPr>
                  <w:r>
                    <w:rPr>
                      <w:rFonts w:hint="eastAsia"/>
                      <w:lang w:val="en-US" w:eastAsia="zh-CN"/>
                    </w:rPr>
                    <w:t>0.6925</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66EB">
                  <w:pPr>
                    <w:spacing w:line="0" w:lineRule="atLeast"/>
                    <w:jc w:val="center"/>
                    <w:rPr>
                      <w:rFonts w:hint="default" w:eastAsia="宋体"/>
                      <w:lang w:val="en-US" w:eastAsia="zh-CN"/>
                    </w:rPr>
                  </w:pPr>
                  <w:r>
                    <w:rPr>
                      <w:rFonts w:hint="eastAsia"/>
                      <w:lang w:val="en-US" w:eastAsia="zh-CN"/>
                    </w:rPr>
                    <w:t>0.021</w:t>
                  </w:r>
                </w:p>
              </w:tc>
            </w:tr>
          </w:tbl>
          <w:p w14:paraId="17B5D9D0">
            <w:pPr>
              <w:spacing w:line="500" w:lineRule="exact"/>
              <w:ind w:firstLine="480" w:firstLineChars="200"/>
              <w:rPr>
                <w:rFonts w:hint="eastAsia"/>
                <w:sz w:val="24"/>
              </w:rPr>
            </w:pPr>
            <w:r>
              <w:rPr>
                <w:rFonts w:hint="eastAsia"/>
                <w:sz w:val="24"/>
              </w:rPr>
              <w:t>根据上表计算，本项目</w:t>
            </w:r>
            <w:r>
              <w:rPr>
                <w:rFonts w:hint="eastAsia"/>
                <w:sz w:val="24"/>
                <w:lang w:val="en-US" w:eastAsia="zh-CN"/>
              </w:rPr>
              <w:t>丙酸储罐</w:t>
            </w:r>
            <w:r>
              <w:rPr>
                <w:rFonts w:hint="eastAsia"/>
                <w:sz w:val="24"/>
              </w:rPr>
              <w:t>“小呼吸”废气产生量为0.0</w:t>
            </w:r>
            <w:r>
              <w:rPr>
                <w:rFonts w:hint="eastAsia"/>
                <w:sz w:val="24"/>
                <w:lang w:val="en-US" w:eastAsia="zh-CN"/>
              </w:rPr>
              <w:t>21</w:t>
            </w:r>
            <w:r>
              <w:rPr>
                <w:rFonts w:hint="eastAsia"/>
                <w:sz w:val="24"/>
              </w:rPr>
              <w:t>t/a。</w:t>
            </w:r>
          </w:p>
          <w:p w14:paraId="3DB9A2F5">
            <w:pPr>
              <w:spacing w:line="500" w:lineRule="exact"/>
              <w:ind w:firstLine="482" w:firstLineChars="200"/>
              <w:rPr>
                <w:rFonts w:hint="eastAsia"/>
                <w:b/>
                <w:bCs/>
                <w:sz w:val="24"/>
              </w:rPr>
            </w:pPr>
            <w:r>
              <w:rPr>
                <w:rFonts w:hint="eastAsia"/>
                <w:b/>
                <w:bCs/>
                <w:sz w:val="24"/>
              </w:rPr>
              <w:t xml:space="preserve">（2）“大呼吸”排放 </w:t>
            </w:r>
          </w:p>
          <w:p w14:paraId="69880967">
            <w:pPr>
              <w:spacing w:line="500" w:lineRule="exact"/>
              <w:ind w:firstLine="480" w:firstLineChars="200"/>
              <w:rPr>
                <w:rFonts w:hint="eastAsia"/>
                <w:sz w:val="24"/>
              </w:rPr>
            </w:pPr>
            <w:r>
              <w:rPr>
                <w:rFonts w:hint="eastAsia"/>
                <w:sz w:val="24"/>
              </w:rPr>
              <w:t>“大呼吸”排放是由于人为的装料与卸料而产生的损失。装料时罐内压力逐渐升高，当压力超过释放压力时，蒸气从罐内压出；而卸料因液面下降，罐内压力减小，当压力小于呼吸阀控制真空度时，储罐吸入新鲜空气，由于液面上方空间溶剂蒸汽未达到平衡，促使溶剂蒸发加速并重新达到饱和，下次装料时从呼吸阀处排入大气环境。固定顶罐“大呼吸”损耗量按下式计算：</w:t>
            </w:r>
          </w:p>
          <w:p w14:paraId="4D7E5332">
            <w:pPr>
              <w:spacing w:line="500" w:lineRule="exact"/>
              <w:ind w:left="0" w:leftChars="0" w:right="0" w:rightChars="0" w:firstLine="0" w:firstLineChars="0"/>
              <w:jc w:val="center"/>
              <w:rPr>
                <w:rFonts w:hint="eastAsia"/>
                <w:sz w:val="24"/>
              </w:rPr>
            </w:pPr>
            <w:r>
              <w:rPr>
                <w:rFonts w:hint="eastAsia"/>
                <w:sz w:val="24"/>
              </w:rPr>
              <w:t>Lw＝4.188×10</w:t>
            </w:r>
            <w:r>
              <w:rPr>
                <w:rFonts w:hint="eastAsia"/>
                <w:sz w:val="24"/>
                <w:vertAlign w:val="superscript"/>
              </w:rPr>
              <w:t>-7</w:t>
            </w:r>
            <w:r>
              <w:rPr>
                <w:rFonts w:hint="eastAsia"/>
                <w:sz w:val="24"/>
              </w:rPr>
              <w:t>×M×P×KN×KC</w:t>
            </w:r>
          </w:p>
          <w:p w14:paraId="4768B5B8">
            <w:pPr>
              <w:spacing w:line="500" w:lineRule="exact"/>
              <w:ind w:firstLine="480" w:firstLineChars="200"/>
              <w:rPr>
                <w:rFonts w:hint="eastAsia"/>
                <w:sz w:val="24"/>
              </w:rPr>
            </w:pPr>
            <w:r>
              <w:rPr>
                <w:rFonts w:hint="eastAsia"/>
                <w:sz w:val="24"/>
              </w:rPr>
              <w:t xml:space="preserve">式中： </w:t>
            </w:r>
          </w:p>
          <w:p w14:paraId="403F3763">
            <w:pPr>
              <w:spacing w:line="500" w:lineRule="exact"/>
              <w:ind w:firstLine="480" w:firstLineChars="200"/>
              <w:rPr>
                <w:rFonts w:hint="eastAsia"/>
                <w:sz w:val="24"/>
              </w:rPr>
            </w:pPr>
            <w:r>
              <w:rPr>
                <w:rFonts w:hint="eastAsia"/>
                <w:sz w:val="24"/>
              </w:rPr>
              <w:t xml:space="preserve">Lw—固定顶罐的工作损失； </w:t>
            </w:r>
          </w:p>
          <w:p w14:paraId="679B8720">
            <w:pPr>
              <w:spacing w:line="500" w:lineRule="exact"/>
              <w:ind w:firstLine="480" w:firstLineChars="200"/>
              <w:rPr>
                <w:rFonts w:hint="eastAsia"/>
                <w:sz w:val="24"/>
              </w:rPr>
            </w:pPr>
            <w:r>
              <w:rPr>
                <w:rFonts w:hint="eastAsia"/>
                <w:sz w:val="24"/>
              </w:rPr>
              <w:t xml:space="preserve">M—储罐内蒸汽的分子量； </w:t>
            </w:r>
          </w:p>
          <w:p w14:paraId="0ECBBC61">
            <w:pPr>
              <w:spacing w:line="500" w:lineRule="exact"/>
              <w:ind w:firstLine="480" w:firstLineChars="200"/>
              <w:rPr>
                <w:rFonts w:hint="eastAsia"/>
                <w:sz w:val="24"/>
              </w:rPr>
            </w:pPr>
            <w:r>
              <w:rPr>
                <w:rFonts w:hint="eastAsia"/>
                <w:sz w:val="24"/>
              </w:rPr>
              <w:t xml:space="preserve">P—储罐内平均温度下液体的真实蒸气压，Pa； </w:t>
            </w:r>
          </w:p>
          <w:p w14:paraId="63242931">
            <w:pPr>
              <w:spacing w:line="500" w:lineRule="exact"/>
              <w:ind w:firstLine="480" w:firstLineChars="200"/>
              <w:rPr>
                <w:rFonts w:hint="default" w:eastAsia="宋体"/>
                <w:sz w:val="24"/>
                <w:lang w:val="en-US" w:eastAsia="zh-CN"/>
              </w:rPr>
            </w:pPr>
            <w:r>
              <w:rPr>
                <w:rFonts w:hint="eastAsia"/>
                <w:sz w:val="24"/>
              </w:rPr>
              <w:t xml:space="preserve">KN—周转因子，无量纲；取值按年周转次数（K=年投入量/罐容量）确定； </w:t>
            </w:r>
            <w:r>
              <w:rPr>
                <w:rFonts w:hint="eastAsia"/>
                <w:sz w:val="24"/>
                <w:lang w:val="en-US" w:eastAsia="zh-CN"/>
              </w:rPr>
              <w:t>醋酸K=1600/1500=1.07；丙酸K=424/50=8.48；</w:t>
            </w:r>
          </w:p>
          <w:p w14:paraId="1D737303">
            <w:pPr>
              <w:spacing w:line="500" w:lineRule="exact"/>
              <w:ind w:firstLine="480" w:firstLineChars="200"/>
              <w:rPr>
                <w:rFonts w:hint="eastAsia"/>
                <w:sz w:val="24"/>
              </w:rPr>
            </w:pPr>
            <w:r>
              <w:rPr>
                <w:rFonts w:hint="eastAsia"/>
                <w:sz w:val="24"/>
              </w:rPr>
              <w:t>KC—产品因子，无量纲；石油原油取 0.65，其他取 1.0。</w:t>
            </w:r>
          </w:p>
          <w:p w14:paraId="25D0E0FC">
            <w:pPr>
              <w:pStyle w:val="51"/>
              <w:numPr>
                <w:ilvl w:val="2"/>
                <w:numId w:val="7"/>
              </w:numPr>
              <w:spacing w:line="500" w:lineRule="atLeast"/>
              <w:ind w:firstLineChars="0"/>
              <w:jc w:val="center"/>
              <w:rPr>
                <w:rFonts w:hint="eastAsia"/>
                <w:sz w:val="24"/>
              </w:rPr>
            </w:pPr>
            <w:r>
              <w:rPr>
                <w:rFonts w:hint="eastAsia"/>
                <w:b/>
                <w:sz w:val="24"/>
              </w:rPr>
              <w:t>罐区“大呼吸”排放计算参数及结果一览表</w:t>
            </w:r>
          </w:p>
          <w:tbl>
            <w:tblPr>
              <w:tblStyle w:val="26"/>
              <w:tblW w:w="7885" w:type="dxa"/>
              <w:tblInd w:w="0" w:type="dxa"/>
              <w:tblLayout w:type="fixed"/>
              <w:tblCellMar>
                <w:top w:w="0" w:type="dxa"/>
                <w:left w:w="108" w:type="dxa"/>
                <w:bottom w:w="0" w:type="dxa"/>
                <w:right w:w="108" w:type="dxa"/>
              </w:tblCellMar>
            </w:tblPr>
            <w:tblGrid>
              <w:gridCol w:w="1052"/>
              <w:gridCol w:w="1352"/>
              <w:gridCol w:w="1352"/>
              <w:gridCol w:w="959"/>
              <w:gridCol w:w="959"/>
              <w:gridCol w:w="1352"/>
              <w:gridCol w:w="859"/>
            </w:tblGrid>
            <w:tr w14:paraId="68043528">
              <w:tblPrEx>
                <w:tblCellMar>
                  <w:top w:w="0" w:type="dxa"/>
                  <w:left w:w="108" w:type="dxa"/>
                  <w:bottom w:w="0" w:type="dxa"/>
                  <w:right w:w="108" w:type="dxa"/>
                </w:tblCellMar>
              </w:tblPrEx>
              <w:trPr>
                <w:trHeight w:val="340" w:hRule="atLeast"/>
              </w:trPr>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D67F">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储罐</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BF08">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储存介质</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77B1">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Mg/mol</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B8A6">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ascii="Times New Roman" w:hAnsi="Times New Roman" w:eastAsia="宋体" w:cs="Times New Roman"/>
                      <w:color w:val="auto"/>
                      <w:spacing w:val="0"/>
                      <w:kern w:val="0"/>
                      <w:sz w:val="21"/>
                      <w:szCs w:val="21"/>
                      <w:u w:val="none"/>
                      <w:lang w:bidi="ar"/>
                    </w:rPr>
                    <w:t>P</w:t>
                  </w:r>
                  <w:r>
                    <w:rPr>
                      <w:rFonts w:hint="eastAsia" w:ascii="Times New Roman" w:hAnsi="Times New Roman" w:eastAsia="宋体" w:cs="Times New Roman"/>
                      <w:color w:val="auto"/>
                      <w:spacing w:val="0"/>
                      <w:kern w:val="0"/>
                      <w:sz w:val="21"/>
                      <w:szCs w:val="21"/>
                      <w:u w:val="none"/>
                      <w:lang w:bidi="ar"/>
                    </w:rPr>
                    <w:t>（</w:t>
                  </w:r>
                  <w:r>
                    <w:rPr>
                      <w:rFonts w:ascii="Times New Roman" w:hAnsi="Times New Roman" w:eastAsia="宋体" w:cs="Times New Roman"/>
                      <w:color w:val="auto"/>
                      <w:spacing w:val="0"/>
                      <w:kern w:val="0"/>
                      <w:sz w:val="21"/>
                      <w:szCs w:val="21"/>
                      <w:u w:val="none"/>
                      <w:lang w:bidi="ar"/>
                    </w:rPr>
                    <w:t>Pa</w:t>
                  </w:r>
                  <w:r>
                    <w:rPr>
                      <w:rFonts w:hint="eastAsia" w:ascii="Times New Roman" w:hAnsi="Times New Roman" w:eastAsia="宋体" w:cs="Times New Roman"/>
                      <w:color w:val="auto"/>
                      <w:spacing w:val="0"/>
                      <w:kern w:val="0"/>
                      <w:sz w:val="21"/>
                      <w:szCs w:val="21"/>
                      <w:u w:val="none"/>
                      <w:lang w:bidi="ar"/>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CC4F">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Kc</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4ACA">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KN</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6D6B">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损失</w:t>
                  </w:r>
                </w:p>
                <w:p w14:paraId="6154334B">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量</w:t>
                  </w:r>
                  <w:r>
                    <w:rPr>
                      <w:rFonts w:hint="eastAsia" w:cs="Times New Roman"/>
                      <w:color w:val="auto"/>
                      <w:spacing w:val="0"/>
                      <w:kern w:val="0"/>
                      <w:sz w:val="21"/>
                      <w:szCs w:val="21"/>
                      <w:u w:val="none"/>
                      <w:lang w:val="en-US" w:eastAsia="zh-CN" w:bidi="ar"/>
                    </w:rPr>
                    <w:t>t</w:t>
                  </w:r>
                  <w:r>
                    <w:rPr>
                      <w:rFonts w:hint="eastAsia" w:ascii="Times New Roman" w:hAnsi="Times New Roman" w:eastAsia="宋体" w:cs="Times New Roman"/>
                      <w:color w:val="auto"/>
                      <w:spacing w:val="0"/>
                      <w:kern w:val="0"/>
                      <w:sz w:val="21"/>
                      <w:szCs w:val="21"/>
                      <w:u w:val="none"/>
                      <w:lang w:bidi="ar"/>
                    </w:rPr>
                    <w:t>/a</w:t>
                  </w:r>
                </w:p>
              </w:tc>
            </w:tr>
            <w:tr w14:paraId="7A2FD9FD">
              <w:tblPrEx>
                <w:tblCellMar>
                  <w:top w:w="0" w:type="dxa"/>
                  <w:left w:w="108" w:type="dxa"/>
                  <w:bottom w:w="0" w:type="dxa"/>
                  <w:right w:w="108" w:type="dxa"/>
                </w:tblCellMar>
              </w:tblPrEx>
              <w:trPr>
                <w:trHeight w:val="340" w:hRule="atLeast"/>
              </w:trPr>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6697">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醋酸储罐</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7F4F5">
                  <w:pPr>
                    <w:spacing w:line="240" w:lineRule="exact"/>
                    <w:jc w:val="center"/>
                    <w:rPr>
                      <w:rFonts w:hint="eastAsia" w:ascii="Times New Roman" w:hAnsi="Times New Roman" w:eastAsia="宋体"/>
                      <w:color w:val="auto"/>
                      <w:spacing w:val="0"/>
                      <w:sz w:val="21"/>
                      <w:szCs w:val="21"/>
                      <w:u w:val="none"/>
                      <w:lang w:eastAsia="zh-CN"/>
                    </w:rPr>
                  </w:pPr>
                  <w:r>
                    <w:rPr>
                      <w:rFonts w:hint="eastAsia"/>
                      <w:color w:val="auto"/>
                      <w:spacing w:val="0"/>
                      <w:sz w:val="21"/>
                      <w:szCs w:val="21"/>
                      <w:u w:val="none"/>
                      <w:lang w:val="en-US" w:eastAsia="zh-CN"/>
                    </w:rPr>
                    <w:t>醋酸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A567">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60</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2612">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2055</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918D1">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7017">
                  <w:pPr>
                    <w:widowControl/>
                    <w:snapToGrid w:val="0"/>
                    <w:jc w:val="center"/>
                    <w:textAlignment w:val="center"/>
                    <w:rPr>
                      <w:rFonts w:hint="default" w:ascii="Times New Roman" w:hAnsi="Times New Roman" w:eastAsia="宋体" w:cs="Times New Roman"/>
                      <w:color w:val="auto"/>
                      <w:spacing w:val="0"/>
                      <w:kern w:val="0"/>
                      <w:sz w:val="21"/>
                      <w:szCs w:val="21"/>
                      <w:u w:val="none"/>
                      <w:lang w:val="en-US" w:eastAsia="zh-CN" w:bidi="ar"/>
                    </w:rPr>
                  </w:pPr>
                  <w:r>
                    <w:rPr>
                      <w:rFonts w:hint="eastAsia" w:cs="Times New Roman"/>
                      <w:color w:val="auto"/>
                      <w:spacing w:val="0"/>
                      <w:kern w:val="0"/>
                      <w:sz w:val="21"/>
                      <w:szCs w:val="21"/>
                      <w:u w:val="none"/>
                      <w:lang w:val="en-US" w:eastAsia="zh-CN" w:bidi="ar"/>
                    </w:rPr>
                    <w:t>1.07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E6FB">
                  <w:pPr>
                    <w:widowControl/>
                    <w:snapToGrid w:val="0"/>
                    <w:jc w:val="center"/>
                    <w:textAlignment w:val="center"/>
                    <w:rPr>
                      <w:rFonts w:hint="default" w:ascii="Times New Roman" w:hAnsi="Times New Roman" w:eastAsia="宋体" w:cs="Times New Roman"/>
                      <w:color w:val="auto"/>
                      <w:spacing w:val="0"/>
                      <w:kern w:val="0"/>
                      <w:sz w:val="21"/>
                      <w:szCs w:val="21"/>
                      <w:u w:val="none"/>
                      <w:lang w:val="en-US" w:eastAsia="zh-CN" w:bidi="ar"/>
                    </w:rPr>
                  </w:pPr>
                  <w:r>
                    <w:rPr>
                      <w:rFonts w:hint="eastAsia" w:cs="Times New Roman"/>
                      <w:color w:val="auto"/>
                      <w:spacing w:val="0"/>
                      <w:kern w:val="0"/>
                      <w:sz w:val="21"/>
                      <w:szCs w:val="21"/>
                      <w:u w:val="none"/>
                      <w:lang w:val="en-US" w:eastAsia="zh-CN" w:bidi="ar"/>
                    </w:rPr>
                    <w:t>0.055</w:t>
                  </w:r>
                </w:p>
              </w:tc>
            </w:tr>
            <w:tr w14:paraId="5512956F">
              <w:tblPrEx>
                <w:tblCellMar>
                  <w:top w:w="0" w:type="dxa"/>
                  <w:left w:w="108" w:type="dxa"/>
                  <w:bottom w:w="0" w:type="dxa"/>
                  <w:right w:w="108" w:type="dxa"/>
                </w:tblCellMar>
              </w:tblPrEx>
              <w:trPr>
                <w:trHeight w:val="340" w:hRule="atLeast"/>
              </w:trPr>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CA81">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丙酸储罐</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6B1F">
                  <w:pPr>
                    <w:spacing w:line="240" w:lineRule="exact"/>
                    <w:jc w:val="center"/>
                    <w:rPr>
                      <w:rFonts w:hint="eastAsia" w:ascii="Times New Roman" w:hAnsi="Times New Roman" w:eastAsia="宋体"/>
                      <w:color w:val="auto"/>
                      <w:spacing w:val="0"/>
                      <w:sz w:val="21"/>
                      <w:szCs w:val="21"/>
                      <w:u w:val="none"/>
                      <w:lang w:eastAsia="zh-CN"/>
                    </w:rPr>
                  </w:pPr>
                  <w:r>
                    <w:rPr>
                      <w:rFonts w:hint="eastAsia"/>
                      <w:color w:val="auto"/>
                      <w:spacing w:val="0"/>
                      <w:sz w:val="21"/>
                      <w:szCs w:val="21"/>
                      <w:u w:val="none"/>
                      <w:lang w:val="en-US" w:eastAsia="zh-CN"/>
                    </w:rPr>
                    <w:t>丙酸</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3BC6">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74</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9FA9">
                  <w:pPr>
                    <w:spacing w:line="240" w:lineRule="exact"/>
                    <w:jc w:val="center"/>
                    <w:rPr>
                      <w:rFonts w:hint="default" w:ascii="Times New Roman" w:hAnsi="Times New Roman" w:eastAsia="宋体"/>
                      <w:color w:val="auto"/>
                      <w:spacing w:val="0"/>
                      <w:sz w:val="21"/>
                      <w:szCs w:val="21"/>
                      <w:u w:val="none"/>
                      <w:lang w:val="en-US" w:eastAsia="zh-CN"/>
                    </w:rPr>
                  </w:pPr>
                  <w:r>
                    <w:rPr>
                      <w:rFonts w:hint="eastAsia"/>
                      <w:color w:val="auto"/>
                      <w:spacing w:val="0"/>
                      <w:sz w:val="21"/>
                      <w:szCs w:val="21"/>
                      <w:u w:val="none"/>
                      <w:lang w:val="en-US" w:eastAsia="zh-CN"/>
                    </w:rPr>
                    <w:t>560</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C01C">
                  <w:pPr>
                    <w:widowControl/>
                    <w:snapToGrid w:val="0"/>
                    <w:jc w:val="center"/>
                    <w:textAlignment w:val="center"/>
                    <w:rPr>
                      <w:rFonts w:ascii="Times New Roman" w:hAnsi="Times New Roman" w:eastAsia="宋体" w:cs="Times New Roman"/>
                      <w:color w:val="auto"/>
                      <w:spacing w:val="0"/>
                      <w:kern w:val="0"/>
                      <w:sz w:val="21"/>
                      <w:szCs w:val="21"/>
                      <w:u w:val="none"/>
                      <w:lang w:bidi="ar"/>
                    </w:rPr>
                  </w:pPr>
                  <w:r>
                    <w:rPr>
                      <w:rFonts w:hint="eastAsia" w:ascii="Times New Roman" w:hAnsi="Times New Roman" w:eastAsia="宋体" w:cs="Times New Roman"/>
                      <w:color w:val="auto"/>
                      <w:spacing w:val="0"/>
                      <w:kern w:val="0"/>
                      <w:sz w:val="21"/>
                      <w:szCs w:val="21"/>
                      <w:u w:val="none"/>
                      <w:lang w:bidi="ar"/>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065B">
                  <w:pPr>
                    <w:widowControl/>
                    <w:snapToGrid w:val="0"/>
                    <w:jc w:val="center"/>
                    <w:textAlignment w:val="center"/>
                    <w:rPr>
                      <w:rFonts w:hint="default" w:ascii="Times New Roman" w:hAnsi="Times New Roman" w:eastAsia="宋体" w:cs="Times New Roman"/>
                      <w:color w:val="auto"/>
                      <w:spacing w:val="0"/>
                      <w:kern w:val="0"/>
                      <w:sz w:val="21"/>
                      <w:szCs w:val="21"/>
                      <w:u w:val="none"/>
                      <w:lang w:val="en-US" w:eastAsia="zh-CN" w:bidi="ar"/>
                    </w:rPr>
                  </w:pPr>
                  <w:r>
                    <w:rPr>
                      <w:rFonts w:hint="eastAsia" w:cs="Times New Roman"/>
                      <w:color w:val="auto"/>
                      <w:spacing w:val="0"/>
                      <w:kern w:val="0"/>
                      <w:sz w:val="21"/>
                      <w:szCs w:val="21"/>
                      <w:u w:val="none"/>
                      <w:lang w:val="en-US" w:eastAsia="zh-CN" w:bidi="ar"/>
                    </w:rPr>
                    <w:t>8.48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21B2">
                  <w:pPr>
                    <w:widowControl/>
                    <w:snapToGrid w:val="0"/>
                    <w:jc w:val="center"/>
                    <w:textAlignment w:val="center"/>
                    <w:rPr>
                      <w:rFonts w:hint="default" w:ascii="Times New Roman" w:hAnsi="Times New Roman" w:eastAsia="宋体" w:cs="Times New Roman"/>
                      <w:color w:val="auto"/>
                      <w:spacing w:val="0"/>
                      <w:kern w:val="0"/>
                      <w:sz w:val="21"/>
                      <w:szCs w:val="21"/>
                      <w:u w:val="none"/>
                      <w:lang w:val="en-US" w:eastAsia="zh-CN" w:bidi="ar"/>
                    </w:rPr>
                  </w:pPr>
                  <w:r>
                    <w:rPr>
                      <w:rFonts w:hint="eastAsia" w:cs="Times New Roman"/>
                      <w:color w:val="auto"/>
                      <w:spacing w:val="0"/>
                      <w:kern w:val="0"/>
                      <w:sz w:val="21"/>
                      <w:szCs w:val="21"/>
                      <w:u w:val="none"/>
                      <w:lang w:val="en-US" w:eastAsia="zh-CN" w:bidi="ar"/>
                    </w:rPr>
                    <w:t>0.015</w:t>
                  </w:r>
                </w:p>
              </w:tc>
            </w:tr>
          </w:tbl>
          <w:p w14:paraId="65402417">
            <w:pPr>
              <w:spacing w:line="500" w:lineRule="exact"/>
              <w:ind w:firstLine="480" w:firstLineChars="200"/>
              <w:rPr>
                <w:rFonts w:hint="eastAsia"/>
                <w:sz w:val="24"/>
              </w:rPr>
            </w:pPr>
            <w:r>
              <w:rPr>
                <w:rFonts w:hint="eastAsia"/>
                <w:sz w:val="24"/>
              </w:rPr>
              <w:t>根据上表计算，本项目“大呼吸”废气产生量为</w:t>
            </w:r>
            <w:r>
              <w:rPr>
                <w:rFonts w:hint="eastAsia"/>
                <w:sz w:val="24"/>
                <w:lang w:val="en-US" w:eastAsia="zh-CN"/>
              </w:rPr>
              <w:t>醋酸</w:t>
            </w:r>
            <w:r>
              <w:rPr>
                <w:rFonts w:hint="eastAsia"/>
                <w:sz w:val="24"/>
              </w:rPr>
              <w:t>：</w:t>
            </w:r>
            <w:r>
              <w:rPr>
                <w:rFonts w:hint="eastAsia"/>
                <w:sz w:val="24"/>
                <w:lang w:val="en-US" w:eastAsia="zh-CN"/>
              </w:rPr>
              <w:t>0.055t</w:t>
            </w:r>
            <w:r>
              <w:rPr>
                <w:rFonts w:hint="eastAsia"/>
                <w:sz w:val="24"/>
              </w:rPr>
              <w:t>/a</w:t>
            </w:r>
            <w:r>
              <w:rPr>
                <w:rFonts w:hint="eastAsia"/>
                <w:sz w:val="24"/>
                <w:lang w:eastAsia="zh-CN"/>
              </w:rPr>
              <w:t>、</w:t>
            </w:r>
            <w:r>
              <w:rPr>
                <w:rFonts w:hint="eastAsia"/>
                <w:sz w:val="24"/>
                <w:lang w:val="en-US" w:eastAsia="zh-CN"/>
              </w:rPr>
              <w:t>丙酸：0.015t/a</w:t>
            </w:r>
            <w:r>
              <w:rPr>
                <w:rFonts w:hint="eastAsia"/>
                <w:sz w:val="24"/>
              </w:rPr>
              <w:t>。</w:t>
            </w:r>
          </w:p>
          <w:p w14:paraId="6C567303">
            <w:pPr>
              <w:spacing w:line="500" w:lineRule="exact"/>
              <w:ind w:firstLine="482" w:firstLineChars="200"/>
              <w:rPr>
                <w:rFonts w:hint="eastAsia"/>
                <w:b/>
                <w:bCs/>
                <w:sz w:val="24"/>
              </w:rPr>
            </w:pPr>
            <w:r>
              <w:rPr>
                <w:rFonts w:hint="eastAsia"/>
                <w:b/>
                <w:bCs/>
                <w:sz w:val="24"/>
              </w:rPr>
              <w:t xml:space="preserve">（3）“呼吸”损耗 </w:t>
            </w:r>
          </w:p>
          <w:p w14:paraId="3213D896">
            <w:pPr>
              <w:spacing w:line="500" w:lineRule="exact"/>
              <w:ind w:firstLine="480" w:firstLineChars="200"/>
              <w:rPr>
                <w:rFonts w:hint="eastAsia"/>
                <w:sz w:val="24"/>
                <w:lang w:val="en-US" w:eastAsia="zh-CN"/>
              </w:rPr>
            </w:pPr>
            <w:r>
              <w:rPr>
                <w:rFonts w:hint="eastAsia"/>
                <w:sz w:val="24"/>
              </w:rPr>
              <w:t>储罐“呼吸”损耗为大小呼吸损耗总量，经上述计算，本项目“呼吸”损耗</w:t>
            </w:r>
            <w:r>
              <w:rPr>
                <w:rFonts w:hint="eastAsia"/>
                <w:sz w:val="24"/>
                <w:lang w:val="en-US" w:eastAsia="zh-CN"/>
              </w:rPr>
              <w:t>为醋酸：0.055t/a、丙酸：0.037t/a，醋酸、丙酸均属于挥发性有机物（以非甲烷总烃表示），</w:t>
            </w:r>
            <w:r>
              <w:rPr>
                <w:rFonts w:hint="eastAsia"/>
                <w:sz w:val="24"/>
              </w:rPr>
              <w:t>该部分废气</w:t>
            </w:r>
            <w:r>
              <w:rPr>
                <w:rFonts w:hint="eastAsia"/>
                <w:sz w:val="24"/>
                <w:lang w:val="en-US" w:eastAsia="zh-CN"/>
              </w:rPr>
              <w:t>做无组织排放，则本项目废气排放情况详见下表。</w:t>
            </w:r>
          </w:p>
          <w:p w14:paraId="29C59843">
            <w:pPr>
              <w:pStyle w:val="51"/>
              <w:numPr>
                <w:ilvl w:val="2"/>
                <w:numId w:val="7"/>
              </w:numPr>
              <w:spacing w:line="500" w:lineRule="atLeast"/>
              <w:ind w:firstLineChars="0"/>
              <w:jc w:val="center"/>
              <w:rPr>
                <w:rFonts w:hint="default"/>
                <w:sz w:val="24"/>
                <w:lang w:val="en-US" w:eastAsia="zh-CN"/>
              </w:rPr>
            </w:pPr>
            <w:r>
              <w:rPr>
                <w:rFonts w:hint="eastAsia"/>
                <w:b/>
                <w:sz w:val="24"/>
                <w:lang w:val="en-US" w:eastAsia="zh-CN"/>
              </w:rPr>
              <w:t>项目废气产排情况一览表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2"/>
              <w:gridCol w:w="1312"/>
              <w:gridCol w:w="1313"/>
              <w:gridCol w:w="1313"/>
              <w:gridCol w:w="1313"/>
            </w:tblGrid>
            <w:tr w14:paraId="541A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14:paraId="7BE03DC6">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污染物</w:t>
                  </w:r>
                </w:p>
              </w:tc>
              <w:tc>
                <w:tcPr>
                  <w:tcW w:w="1312" w:type="dxa"/>
                  <w:shd w:val="clear" w:color="auto" w:fill="auto"/>
                  <w:vAlign w:val="center"/>
                </w:tcPr>
                <w:p w14:paraId="784FCB57">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排放方式</w:t>
                  </w:r>
                </w:p>
              </w:tc>
              <w:tc>
                <w:tcPr>
                  <w:tcW w:w="1312" w:type="dxa"/>
                  <w:shd w:val="clear" w:color="auto" w:fill="auto"/>
                  <w:vAlign w:val="center"/>
                </w:tcPr>
                <w:p w14:paraId="47A6513F">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产生速率（kg/h）</w:t>
                  </w:r>
                </w:p>
              </w:tc>
              <w:tc>
                <w:tcPr>
                  <w:tcW w:w="1313" w:type="dxa"/>
                  <w:shd w:val="clear" w:color="auto" w:fill="auto"/>
                  <w:vAlign w:val="center"/>
                </w:tcPr>
                <w:p w14:paraId="7B86ECC7">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产生量（t/a）</w:t>
                  </w:r>
                </w:p>
              </w:tc>
              <w:tc>
                <w:tcPr>
                  <w:tcW w:w="1313" w:type="dxa"/>
                  <w:shd w:val="clear" w:color="auto" w:fill="auto"/>
                  <w:vAlign w:val="center"/>
                </w:tcPr>
                <w:p w14:paraId="6F5C7432">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排放速率（kg/h）</w:t>
                  </w:r>
                </w:p>
              </w:tc>
              <w:tc>
                <w:tcPr>
                  <w:tcW w:w="1313" w:type="dxa"/>
                  <w:shd w:val="clear" w:color="auto" w:fill="auto"/>
                  <w:vAlign w:val="center"/>
                </w:tcPr>
                <w:p w14:paraId="11F2814E">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排放量（t/a）</w:t>
                  </w:r>
                </w:p>
              </w:tc>
            </w:tr>
            <w:tr w14:paraId="017D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Align w:val="center"/>
                </w:tcPr>
                <w:p w14:paraId="3413B105">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非甲烷总烃</w:t>
                  </w:r>
                </w:p>
              </w:tc>
              <w:tc>
                <w:tcPr>
                  <w:tcW w:w="1312" w:type="dxa"/>
                  <w:vAlign w:val="center"/>
                </w:tcPr>
                <w:p w14:paraId="144338BD">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无组织</w:t>
                  </w:r>
                </w:p>
              </w:tc>
              <w:tc>
                <w:tcPr>
                  <w:tcW w:w="1312" w:type="dxa"/>
                  <w:vAlign w:val="center"/>
                </w:tcPr>
                <w:p w14:paraId="19621961">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0.012</w:t>
                  </w:r>
                </w:p>
              </w:tc>
              <w:tc>
                <w:tcPr>
                  <w:tcW w:w="1313" w:type="dxa"/>
                  <w:vAlign w:val="center"/>
                </w:tcPr>
                <w:p w14:paraId="501358F9">
                  <w:pPr>
                    <w:spacing w:line="240" w:lineRule="exact"/>
                    <w:ind w:left="0" w:leftChars="0" w:right="0" w:rightChars="0" w:firstLine="0" w:firstLineChars="0"/>
                    <w:jc w:val="center"/>
                    <w:rPr>
                      <w:rFonts w:hint="default"/>
                      <w:color w:val="auto"/>
                      <w:spacing w:val="0"/>
                      <w:sz w:val="21"/>
                      <w:szCs w:val="21"/>
                      <w:u w:val="none"/>
                      <w:lang w:val="en-US" w:eastAsia="zh-CN"/>
                    </w:rPr>
                  </w:pPr>
                  <w:r>
                    <w:rPr>
                      <w:rFonts w:hint="eastAsia"/>
                      <w:color w:val="auto"/>
                      <w:spacing w:val="0"/>
                      <w:sz w:val="21"/>
                      <w:szCs w:val="21"/>
                      <w:u w:val="none"/>
                      <w:lang w:val="en-US" w:eastAsia="zh-CN"/>
                    </w:rPr>
                    <w:t>0.092</w:t>
                  </w:r>
                </w:p>
              </w:tc>
              <w:tc>
                <w:tcPr>
                  <w:tcW w:w="1313" w:type="dxa"/>
                  <w:shd w:val="clear" w:color="auto" w:fill="auto"/>
                  <w:vAlign w:val="center"/>
                </w:tcPr>
                <w:p w14:paraId="480E84E5">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0.012</w:t>
                  </w:r>
                </w:p>
              </w:tc>
              <w:tc>
                <w:tcPr>
                  <w:tcW w:w="1313" w:type="dxa"/>
                  <w:shd w:val="clear" w:color="auto" w:fill="auto"/>
                  <w:vAlign w:val="center"/>
                </w:tcPr>
                <w:p w14:paraId="160E60EF">
                  <w:pPr>
                    <w:spacing w:line="240" w:lineRule="exact"/>
                    <w:ind w:left="0" w:leftChars="0" w:right="0" w:rightChars="0" w:firstLine="0" w:firstLineChars="0"/>
                    <w:jc w:val="center"/>
                    <w:rPr>
                      <w:rFonts w:hint="default" w:ascii="Times New Roman" w:hAnsi="Times New Roman" w:eastAsia="宋体" w:cs="Times New Roman"/>
                      <w:color w:val="auto"/>
                      <w:spacing w:val="0"/>
                      <w:kern w:val="2"/>
                      <w:sz w:val="21"/>
                      <w:szCs w:val="21"/>
                      <w:u w:val="none"/>
                      <w:lang w:val="en-US" w:eastAsia="zh-CN" w:bidi="ar-SA"/>
                    </w:rPr>
                  </w:pPr>
                  <w:r>
                    <w:rPr>
                      <w:rFonts w:hint="eastAsia"/>
                      <w:color w:val="auto"/>
                      <w:spacing w:val="0"/>
                      <w:sz w:val="21"/>
                      <w:szCs w:val="21"/>
                      <w:u w:val="none"/>
                      <w:lang w:val="en-US" w:eastAsia="zh-CN"/>
                    </w:rPr>
                    <w:t>0.092</w:t>
                  </w:r>
                </w:p>
              </w:tc>
            </w:tr>
          </w:tbl>
          <w:p w14:paraId="4A241838">
            <w:pPr>
              <w:spacing w:line="500" w:lineRule="exact"/>
              <w:ind w:firstLine="482" w:firstLineChars="200"/>
              <w:rPr>
                <w:rFonts w:hint="default"/>
                <w:b/>
                <w:bCs/>
                <w:sz w:val="24"/>
                <w:lang w:val="en-US" w:eastAsia="zh-CN"/>
              </w:rPr>
            </w:pPr>
            <w:r>
              <w:rPr>
                <w:rFonts w:hint="eastAsia"/>
                <w:b/>
                <w:bCs/>
                <w:sz w:val="24"/>
                <w:lang w:val="en-US" w:eastAsia="zh-CN"/>
              </w:rPr>
              <w:t>2、保护措施</w:t>
            </w:r>
          </w:p>
          <w:p w14:paraId="45A1A441">
            <w:pPr>
              <w:spacing w:line="500" w:lineRule="exact"/>
              <w:ind w:firstLine="480" w:firstLineChars="200"/>
              <w:rPr>
                <w:rFonts w:hint="default"/>
                <w:sz w:val="24"/>
                <w:lang w:val="en-US" w:eastAsia="zh-CN"/>
              </w:rPr>
            </w:pPr>
            <w:r>
              <w:rPr>
                <w:rFonts w:hint="eastAsia"/>
                <w:sz w:val="24"/>
                <w:lang w:val="en-US" w:eastAsia="zh-CN"/>
              </w:rPr>
              <w:t>（1）醋酸呼吸废气</w:t>
            </w:r>
          </w:p>
          <w:p w14:paraId="5F59F44B">
            <w:pPr>
              <w:spacing w:line="500" w:lineRule="exact"/>
              <w:ind w:firstLine="480" w:firstLineChars="200"/>
              <w:rPr>
                <w:rFonts w:hint="default"/>
                <w:sz w:val="24"/>
                <w:lang w:val="en-US" w:eastAsia="zh-CN"/>
              </w:rPr>
            </w:pPr>
            <w:r>
              <w:rPr>
                <w:rFonts w:hint="eastAsia"/>
                <w:sz w:val="24"/>
                <w:lang w:val="en-US" w:eastAsia="zh-CN"/>
              </w:rPr>
              <w:t>根据建设单位提供资料，醋酸产品依托现有工程的醋酸储罐贮存，贮存过程产生的呼吸废气引至现有醋酸储罐配套的洗涤塔洗涤后放空排放。</w:t>
            </w:r>
          </w:p>
          <w:p w14:paraId="1E022FEE">
            <w:pPr>
              <w:spacing w:line="500" w:lineRule="exact"/>
              <w:ind w:firstLine="480" w:firstLineChars="200"/>
              <w:rPr>
                <w:rFonts w:hint="eastAsia"/>
                <w:sz w:val="24"/>
                <w:lang w:val="en-US" w:eastAsia="zh-CN"/>
              </w:rPr>
            </w:pPr>
            <w:r>
              <w:rPr>
                <w:rFonts w:hint="eastAsia"/>
                <w:sz w:val="24"/>
                <w:lang w:val="en-US" w:eastAsia="zh-CN"/>
              </w:rPr>
              <w:t>（2）丙酸呼吸废气</w:t>
            </w:r>
          </w:p>
          <w:p w14:paraId="30BF2BB4">
            <w:pPr>
              <w:spacing w:line="500" w:lineRule="exact"/>
              <w:ind w:firstLine="480" w:firstLineChars="200"/>
              <w:rPr>
                <w:rFonts w:hint="eastAsia"/>
                <w:sz w:val="24"/>
                <w:lang w:val="en-US" w:eastAsia="zh-CN"/>
              </w:rPr>
            </w:pPr>
            <w:r>
              <w:rPr>
                <w:rFonts w:hint="default"/>
                <w:sz w:val="24"/>
                <w:lang w:val="en-US" w:eastAsia="zh-CN"/>
              </w:rPr>
              <w:t>根据建设单位提供资料，丙酸缓冲储罐</w:t>
            </w:r>
            <w:r>
              <w:rPr>
                <w:rFonts w:hint="eastAsia"/>
                <w:sz w:val="24"/>
                <w:lang w:val="en-US" w:eastAsia="zh-CN"/>
              </w:rPr>
              <w:t>新增一套洗涤塔对丙酸贮存过程产生的呼吸废气进行处理后放空排放。</w:t>
            </w:r>
          </w:p>
          <w:p w14:paraId="21ABE354">
            <w:pPr>
              <w:spacing w:line="500" w:lineRule="exact"/>
              <w:ind w:firstLine="482" w:firstLineChars="200"/>
              <w:rPr>
                <w:rFonts w:hint="eastAsia"/>
                <w:b/>
                <w:bCs/>
                <w:sz w:val="24"/>
                <w:lang w:val="en-US" w:eastAsia="zh-CN"/>
              </w:rPr>
            </w:pPr>
            <w:r>
              <w:rPr>
                <w:rFonts w:hint="eastAsia"/>
                <w:b/>
                <w:bCs/>
                <w:sz w:val="24"/>
                <w:lang w:val="en-US" w:eastAsia="zh-CN"/>
              </w:rPr>
              <w:t>3、影响分析</w:t>
            </w:r>
          </w:p>
          <w:p w14:paraId="1422DCA5">
            <w:pPr>
              <w:spacing w:line="500" w:lineRule="exact"/>
              <w:ind w:firstLine="480" w:firstLineChars="200"/>
              <w:rPr>
                <w:rFonts w:hint="default"/>
                <w:sz w:val="24"/>
                <w:lang w:val="en-US" w:eastAsia="zh-CN"/>
              </w:rPr>
            </w:pPr>
            <w:r>
              <w:rPr>
                <w:rFonts w:hint="default"/>
                <w:sz w:val="24"/>
                <w:lang w:val="en-US" w:eastAsia="zh-CN"/>
              </w:rPr>
              <w:t>根据估算模式AERSCREEN估算，项目无组织排放的挥发性有机物对评价范围内的区域地面浓度的最大贡献值为0.</w:t>
            </w:r>
            <w:r>
              <w:rPr>
                <w:rFonts w:hint="eastAsia"/>
                <w:sz w:val="24"/>
                <w:lang w:val="en-US" w:eastAsia="zh-CN"/>
              </w:rPr>
              <w:t>0178</w:t>
            </w:r>
            <w:r>
              <w:rPr>
                <w:rFonts w:hint="default"/>
                <w:sz w:val="24"/>
                <w:lang w:val="en-US" w:eastAsia="zh-CN"/>
              </w:rPr>
              <w:t>mg/m</w:t>
            </w:r>
            <w:r>
              <w:rPr>
                <w:rFonts w:hint="default"/>
                <w:sz w:val="24"/>
                <w:vertAlign w:val="superscript"/>
                <w:lang w:val="en-US" w:eastAsia="zh-CN"/>
              </w:rPr>
              <w:t>3</w:t>
            </w:r>
            <w:r>
              <w:rPr>
                <w:rFonts w:hint="default"/>
                <w:sz w:val="24"/>
                <w:lang w:val="en-US" w:eastAsia="zh-CN"/>
              </w:rPr>
              <w:t>，占标率为</w:t>
            </w:r>
            <w:r>
              <w:rPr>
                <w:rFonts w:hint="eastAsia"/>
                <w:sz w:val="24"/>
                <w:lang w:val="en-US" w:eastAsia="zh-CN"/>
              </w:rPr>
              <w:t>0.89</w:t>
            </w:r>
            <w:r>
              <w:rPr>
                <w:rFonts w:hint="default"/>
                <w:sz w:val="24"/>
                <w:lang w:val="en-US" w:eastAsia="zh-CN"/>
              </w:rPr>
              <w:t>％＜</w:t>
            </w:r>
            <w:r>
              <w:rPr>
                <w:rFonts w:hint="eastAsia"/>
                <w:sz w:val="24"/>
                <w:lang w:val="en-US" w:eastAsia="zh-CN"/>
              </w:rPr>
              <w:t>1</w:t>
            </w:r>
            <w:r>
              <w:rPr>
                <w:rFonts w:hint="default"/>
                <w:sz w:val="24"/>
                <w:lang w:val="en-US" w:eastAsia="zh-CN"/>
              </w:rPr>
              <w:t>％，满足《大气污染物综合排放标准》（GB16297-1996）表 2 中无组织排放标准限值。本次改建后，项目运营油罐及运营规模未发生明显改变，预测结果可知，加油站改建后正常运营情况下污染物的排放对周边环境影响较小。</w:t>
            </w:r>
          </w:p>
          <w:p w14:paraId="22B15CEF">
            <w:pPr>
              <w:spacing w:line="500" w:lineRule="exact"/>
              <w:ind w:firstLine="482" w:firstLineChars="200"/>
              <w:rPr>
                <w:rFonts w:hint="eastAsia"/>
                <w:b/>
                <w:bCs/>
                <w:sz w:val="24"/>
                <w:lang w:val="en-US" w:eastAsia="zh-CN"/>
              </w:rPr>
            </w:pPr>
            <w:r>
              <w:rPr>
                <w:rFonts w:hint="eastAsia"/>
                <w:b/>
                <w:bCs/>
                <w:sz w:val="24"/>
                <w:lang w:val="en-US" w:eastAsia="zh-CN"/>
              </w:rPr>
              <w:t>4、非正常工况</w:t>
            </w:r>
          </w:p>
          <w:p w14:paraId="4B49C21F">
            <w:pPr>
              <w:spacing w:line="500" w:lineRule="exact"/>
              <w:ind w:firstLine="480" w:firstLineChars="200"/>
              <w:rPr>
                <w:rFonts w:hint="default"/>
                <w:sz w:val="24"/>
                <w:lang w:val="en-US" w:eastAsia="zh-CN"/>
              </w:rPr>
            </w:pPr>
            <w:r>
              <w:rPr>
                <w:rFonts w:hint="eastAsia"/>
                <w:sz w:val="24"/>
                <w:lang w:val="en-US" w:eastAsia="zh-CN"/>
              </w:rPr>
              <w:t>本项目</w:t>
            </w:r>
            <w:r>
              <w:rPr>
                <w:rFonts w:hint="default"/>
                <w:sz w:val="24"/>
                <w:lang w:val="en-US" w:eastAsia="zh-CN"/>
              </w:rPr>
              <w:t>废气均为无组织排放形式，故不再考虑其他非正常工况。</w:t>
            </w:r>
          </w:p>
          <w:p w14:paraId="3E9756FB">
            <w:pPr>
              <w:spacing w:line="500" w:lineRule="exact"/>
              <w:ind w:firstLine="482" w:firstLineChars="200"/>
              <w:rPr>
                <w:rFonts w:hint="default" w:eastAsia="宋体"/>
                <w:sz w:val="24"/>
                <w:lang w:val="en-US" w:eastAsia="zh-CN"/>
              </w:rPr>
            </w:pPr>
            <w:r>
              <w:rPr>
                <w:rFonts w:hint="eastAsia"/>
                <w:b/>
                <w:bCs/>
                <w:sz w:val="24"/>
                <w:lang w:val="en-US" w:eastAsia="zh-CN"/>
              </w:rPr>
              <w:t>5、自行监测要求</w:t>
            </w:r>
          </w:p>
          <w:p w14:paraId="47DEE016">
            <w:pPr>
              <w:spacing w:line="500" w:lineRule="exact"/>
              <w:ind w:firstLine="480" w:firstLineChars="200"/>
              <w:rPr>
                <w:rFonts w:hint="eastAsia"/>
                <w:sz w:val="24"/>
              </w:rPr>
            </w:pPr>
            <w:r>
              <w:rPr>
                <w:rFonts w:hint="eastAsia"/>
                <w:sz w:val="24"/>
              </w:rPr>
              <w:t>根据项目运营期的环境污染特点与《排污许可管理</w:t>
            </w:r>
            <w:r>
              <w:rPr>
                <w:rFonts w:hint="eastAsia"/>
                <w:sz w:val="24"/>
                <w:lang w:val="en-US" w:eastAsia="zh-CN"/>
              </w:rPr>
              <w:t>办法</w:t>
            </w:r>
            <w:r>
              <w:rPr>
                <w:rFonts w:hint="eastAsia"/>
                <w:sz w:val="24"/>
              </w:rPr>
              <w:t>》</w:t>
            </w:r>
            <w:r>
              <w:rPr>
                <w:rFonts w:hint="eastAsia"/>
                <w:sz w:val="24"/>
                <w:lang w:eastAsia="zh-CN"/>
              </w:rPr>
              <w:t>、《</w:t>
            </w:r>
            <w:r>
              <w:rPr>
                <w:rFonts w:hint="eastAsia"/>
                <w:sz w:val="24"/>
                <w:lang w:val="en-US" w:eastAsia="zh-CN"/>
              </w:rPr>
              <w:t>排污许可管理条例</w:t>
            </w:r>
            <w:r>
              <w:rPr>
                <w:rFonts w:hint="eastAsia"/>
                <w:sz w:val="24"/>
                <w:lang w:eastAsia="zh-CN"/>
              </w:rPr>
              <w:t>》</w:t>
            </w:r>
            <w:r>
              <w:rPr>
                <w:rFonts w:hint="eastAsia"/>
                <w:sz w:val="24"/>
              </w:rPr>
              <w:t>和《排污单位自行监测技术指南总则》（HJ 819-2017）、</w:t>
            </w:r>
            <w:r>
              <w:rPr>
                <w:rFonts w:hint="eastAsia"/>
                <w:sz w:val="24"/>
                <w:lang w:eastAsia="zh-CN"/>
              </w:rPr>
              <w:t>《</w:t>
            </w:r>
            <w:r>
              <w:rPr>
                <w:rFonts w:hint="eastAsia"/>
                <w:sz w:val="24"/>
              </w:rPr>
              <w:t>排污许可证申请与核发技术规范 石化工业</w:t>
            </w:r>
            <w:r>
              <w:rPr>
                <w:rFonts w:hint="eastAsia"/>
                <w:sz w:val="24"/>
                <w:lang w:eastAsia="zh-CN"/>
              </w:rPr>
              <w:t>》</w:t>
            </w:r>
            <w:r>
              <w:rPr>
                <w:rFonts w:hint="eastAsia" w:asciiTheme="minorEastAsia" w:hAnsiTheme="minorEastAsia" w:eastAsiaTheme="minorEastAsia" w:cstheme="minorEastAsia"/>
                <w:sz w:val="24"/>
              </w:rPr>
              <w:t>(</w:t>
            </w:r>
            <w:r>
              <w:rPr>
                <w:rFonts w:hint="eastAsia"/>
                <w:sz w:val="24"/>
              </w:rPr>
              <w:t>HJ 853-2017</w:t>
            </w:r>
            <w:r>
              <w:rPr>
                <w:rFonts w:hint="eastAsia" w:asciiTheme="minorEastAsia" w:hAnsiTheme="minorEastAsia" w:eastAsiaTheme="minorEastAsia" w:cstheme="minorEastAsia"/>
                <w:sz w:val="24"/>
              </w:rPr>
              <w:t>)</w:t>
            </w:r>
            <w:r>
              <w:rPr>
                <w:rFonts w:hint="eastAsia"/>
                <w:sz w:val="24"/>
              </w:rPr>
              <w:t>，企业现有</w:t>
            </w:r>
            <w:r>
              <w:rPr>
                <w:rFonts w:hint="eastAsia"/>
                <w:sz w:val="24"/>
                <w:lang w:val="en-US" w:eastAsia="zh-CN"/>
              </w:rPr>
              <w:t>废气</w:t>
            </w:r>
            <w:r>
              <w:rPr>
                <w:rFonts w:hint="eastAsia"/>
                <w:sz w:val="24"/>
              </w:rPr>
              <w:t>自行监测计划已满足</w:t>
            </w:r>
            <w:r>
              <w:rPr>
                <w:rFonts w:hint="eastAsia"/>
                <w:sz w:val="24"/>
                <w:lang w:val="en-US" w:eastAsia="zh-CN"/>
              </w:rPr>
              <w:t>本</w:t>
            </w:r>
            <w:r>
              <w:rPr>
                <w:rFonts w:hint="eastAsia"/>
                <w:sz w:val="24"/>
              </w:rPr>
              <w:t>项目</w:t>
            </w:r>
            <w:r>
              <w:rPr>
                <w:rFonts w:hint="eastAsia"/>
                <w:sz w:val="24"/>
                <w:lang w:val="en-US" w:eastAsia="zh-CN"/>
              </w:rPr>
              <w:t>废气</w:t>
            </w:r>
            <w:r>
              <w:rPr>
                <w:rFonts w:hint="eastAsia"/>
                <w:sz w:val="24"/>
              </w:rPr>
              <w:t>监测要求，无需增加</w:t>
            </w:r>
            <w:r>
              <w:rPr>
                <w:rFonts w:hint="eastAsia"/>
                <w:sz w:val="24"/>
                <w:lang w:val="en-US" w:eastAsia="zh-CN"/>
              </w:rPr>
              <w:t>废气</w:t>
            </w:r>
            <w:r>
              <w:rPr>
                <w:rFonts w:hint="eastAsia"/>
                <w:sz w:val="24"/>
              </w:rPr>
              <w:t>自行监测计划。</w:t>
            </w:r>
          </w:p>
          <w:p w14:paraId="7D0EFDC6">
            <w:pPr>
              <w:spacing w:line="500" w:lineRule="exact"/>
              <w:ind w:firstLine="361" w:firstLineChars="150"/>
              <w:rPr>
                <w:b/>
                <w:kern w:val="0"/>
                <w:sz w:val="24"/>
              </w:rPr>
            </w:pPr>
            <w:r>
              <w:rPr>
                <w:b/>
                <w:kern w:val="0"/>
                <w:sz w:val="24"/>
              </w:rPr>
              <w:t>三、噪声</w:t>
            </w:r>
          </w:p>
          <w:p w14:paraId="0B9640F7">
            <w:pPr>
              <w:spacing w:line="500" w:lineRule="exact"/>
              <w:ind w:firstLine="482"/>
              <w:rPr>
                <w:b/>
                <w:sz w:val="24"/>
              </w:rPr>
            </w:pPr>
            <w:r>
              <w:rPr>
                <w:rFonts w:hint="eastAsia"/>
                <w:b/>
                <w:sz w:val="24"/>
              </w:rPr>
              <w:t>（1）噪声源强及降噪措施</w:t>
            </w:r>
          </w:p>
          <w:p w14:paraId="725F885E">
            <w:pPr>
              <w:spacing w:line="500" w:lineRule="exact"/>
              <w:ind w:firstLine="480" w:firstLineChars="200"/>
              <w:rPr>
                <w:bCs/>
                <w:sz w:val="24"/>
              </w:rPr>
            </w:pPr>
            <w:r>
              <w:rPr>
                <w:bCs/>
                <w:sz w:val="24"/>
              </w:rPr>
              <w:t>项目</w:t>
            </w:r>
            <w:r>
              <w:rPr>
                <w:rFonts w:hint="eastAsia"/>
                <w:bCs/>
                <w:sz w:val="24"/>
              </w:rPr>
              <w:t>运营期</w:t>
            </w:r>
            <w:r>
              <w:rPr>
                <w:bCs/>
                <w:sz w:val="24"/>
              </w:rPr>
              <w:t>噪声主要为生产过程中</w:t>
            </w:r>
            <w:r>
              <w:rPr>
                <w:rFonts w:hint="eastAsia"/>
                <w:bCs/>
                <w:sz w:val="24"/>
              </w:rPr>
              <w:t>生产</w:t>
            </w:r>
            <w:r>
              <w:rPr>
                <w:bCs/>
                <w:sz w:val="24"/>
              </w:rPr>
              <w:t>设备运转时产生的噪声，</w:t>
            </w:r>
            <w:r>
              <w:rPr>
                <w:rFonts w:hint="eastAsia"/>
                <w:bCs/>
                <w:sz w:val="24"/>
              </w:rPr>
              <w:t>类比《环境噪声与振动控制工程技术导则》（HJ2034-2013）及同类项目报告相关设备噪声源源强，单台</w:t>
            </w:r>
            <w:r>
              <w:rPr>
                <w:bCs/>
                <w:sz w:val="24"/>
              </w:rPr>
              <w:t>设备</w:t>
            </w:r>
            <w:r>
              <w:rPr>
                <w:rFonts w:hint="eastAsia"/>
                <w:bCs/>
                <w:sz w:val="24"/>
              </w:rPr>
              <w:t>产生主要</w:t>
            </w:r>
            <w:r>
              <w:rPr>
                <w:bCs/>
                <w:sz w:val="24"/>
              </w:rPr>
              <w:t>噪声源强见</w:t>
            </w:r>
            <w:r>
              <w:rPr>
                <w:rFonts w:hint="eastAsia"/>
                <w:bCs/>
                <w:sz w:val="24"/>
              </w:rPr>
              <w:t>下</w:t>
            </w:r>
            <w:r>
              <w:rPr>
                <w:bCs/>
                <w:sz w:val="24"/>
              </w:rPr>
              <w:t>表。</w:t>
            </w:r>
          </w:p>
          <w:p w14:paraId="0A8C6042">
            <w:pPr>
              <w:pStyle w:val="51"/>
              <w:numPr>
                <w:ilvl w:val="2"/>
                <w:numId w:val="7"/>
              </w:numPr>
              <w:spacing w:line="500" w:lineRule="atLeast"/>
              <w:ind w:firstLineChars="0"/>
              <w:jc w:val="center"/>
              <w:rPr>
                <w:b/>
                <w:sz w:val="24"/>
              </w:rPr>
            </w:pPr>
            <w:r>
              <w:rPr>
                <w:rFonts w:hint="eastAsia"/>
                <w:b/>
                <w:sz w:val="24"/>
              </w:rPr>
              <w:t>工业企业噪声源强调查清单 （室外噪声）</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718"/>
              <w:gridCol w:w="465"/>
              <w:gridCol w:w="840"/>
              <w:gridCol w:w="975"/>
              <w:gridCol w:w="435"/>
              <w:gridCol w:w="1245"/>
              <w:gridCol w:w="654"/>
              <w:gridCol w:w="740"/>
              <w:gridCol w:w="697"/>
              <w:gridCol w:w="698"/>
            </w:tblGrid>
            <w:tr w14:paraId="6C5B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Merge w:val="restart"/>
                  <w:vAlign w:val="center"/>
                </w:tcPr>
                <w:p w14:paraId="186E2C4F">
                  <w:pPr>
                    <w:adjustRightInd w:val="0"/>
                    <w:snapToGrid w:val="0"/>
                    <w:spacing w:line="240" w:lineRule="exact"/>
                    <w:jc w:val="center"/>
                    <w:rPr>
                      <w:color w:val="000000"/>
                      <w:szCs w:val="21"/>
                    </w:rPr>
                  </w:pPr>
                  <w:r>
                    <w:rPr>
                      <w:rFonts w:hint="eastAsia"/>
                      <w:color w:val="000000"/>
                      <w:szCs w:val="21"/>
                    </w:rPr>
                    <w:t>序号</w:t>
                  </w:r>
                </w:p>
              </w:tc>
              <w:tc>
                <w:tcPr>
                  <w:tcW w:w="718" w:type="dxa"/>
                  <w:vMerge w:val="restart"/>
                  <w:vAlign w:val="center"/>
                </w:tcPr>
                <w:p w14:paraId="44BB36F3">
                  <w:pPr>
                    <w:adjustRightInd w:val="0"/>
                    <w:snapToGrid w:val="0"/>
                    <w:spacing w:line="240" w:lineRule="exact"/>
                    <w:jc w:val="center"/>
                    <w:rPr>
                      <w:color w:val="000000"/>
                      <w:szCs w:val="21"/>
                    </w:rPr>
                  </w:pPr>
                  <w:r>
                    <w:rPr>
                      <w:rFonts w:hint="eastAsia"/>
                      <w:color w:val="000000"/>
                      <w:szCs w:val="21"/>
                    </w:rPr>
                    <w:t>声源设备</w:t>
                  </w:r>
                </w:p>
              </w:tc>
              <w:tc>
                <w:tcPr>
                  <w:tcW w:w="465" w:type="dxa"/>
                  <w:vMerge w:val="restart"/>
                  <w:vAlign w:val="center"/>
                </w:tcPr>
                <w:p w14:paraId="32CBF59D">
                  <w:pPr>
                    <w:adjustRightInd w:val="0"/>
                    <w:snapToGrid w:val="0"/>
                    <w:spacing w:line="240" w:lineRule="exact"/>
                    <w:jc w:val="center"/>
                    <w:rPr>
                      <w:color w:val="000000"/>
                      <w:szCs w:val="21"/>
                    </w:rPr>
                  </w:pPr>
                  <w:r>
                    <w:rPr>
                      <w:rFonts w:hint="eastAsia"/>
                      <w:color w:val="000000"/>
                      <w:szCs w:val="21"/>
                    </w:rPr>
                    <w:t>型号</w:t>
                  </w:r>
                </w:p>
              </w:tc>
              <w:tc>
                <w:tcPr>
                  <w:tcW w:w="2250" w:type="dxa"/>
                  <w:gridSpan w:val="3"/>
                  <w:vAlign w:val="center"/>
                </w:tcPr>
                <w:p w14:paraId="233E5294">
                  <w:pPr>
                    <w:adjustRightInd w:val="0"/>
                    <w:snapToGrid w:val="0"/>
                    <w:spacing w:line="240" w:lineRule="exact"/>
                    <w:jc w:val="center"/>
                    <w:rPr>
                      <w:color w:val="000000"/>
                      <w:szCs w:val="21"/>
                    </w:rPr>
                  </w:pPr>
                  <w:r>
                    <w:rPr>
                      <w:rFonts w:hint="eastAsia"/>
                      <w:color w:val="000000"/>
                      <w:szCs w:val="21"/>
                    </w:rPr>
                    <w:t>空间相对位置/m</w:t>
                  </w:r>
                </w:p>
              </w:tc>
              <w:tc>
                <w:tcPr>
                  <w:tcW w:w="1899" w:type="dxa"/>
                  <w:gridSpan w:val="2"/>
                  <w:vAlign w:val="center"/>
                </w:tcPr>
                <w:p w14:paraId="6E7E7AE2">
                  <w:pPr>
                    <w:adjustRightInd w:val="0"/>
                    <w:snapToGrid w:val="0"/>
                    <w:spacing w:line="240" w:lineRule="exact"/>
                    <w:jc w:val="center"/>
                    <w:rPr>
                      <w:color w:val="000000"/>
                      <w:szCs w:val="21"/>
                    </w:rPr>
                  </w:pPr>
                  <w:r>
                    <w:rPr>
                      <w:rFonts w:hint="eastAsia"/>
                      <w:color w:val="000000"/>
                      <w:szCs w:val="21"/>
                    </w:rPr>
                    <w:t>声源源强</w:t>
                  </w:r>
                </w:p>
              </w:tc>
              <w:tc>
                <w:tcPr>
                  <w:tcW w:w="740" w:type="dxa"/>
                  <w:vMerge w:val="restart"/>
                  <w:vAlign w:val="center"/>
                </w:tcPr>
                <w:p w14:paraId="647DCA38">
                  <w:pPr>
                    <w:adjustRightInd w:val="0"/>
                    <w:snapToGrid w:val="0"/>
                    <w:spacing w:line="240" w:lineRule="exact"/>
                    <w:jc w:val="center"/>
                    <w:rPr>
                      <w:color w:val="000000"/>
                      <w:szCs w:val="21"/>
                    </w:rPr>
                  </w:pPr>
                  <w:r>
                    <w:rPr>
                      <w:rFonts w:hint="eastAsia"/>
                      <w:color w:val="000000"/>
                      <w:szCs w:val="21"/>
                    </w:rPr>
                    <w:t>声源控制措施</w:t>
                  </w:r>
                </w:p>
              </w:tc>
              <w:tc>
                <w:tcPr>
                  <w:tcW w:w="697" w:type="dxa"/>
                  <w:vMerge w:val="restart"/>
                  <w:vAlign w:val="center"/>
                </w:tcPr>
                <w:p w14:paraId="56D32746">
                  <w:pPr>
                    <w:adjustRightInd w:val="0"/>
                    <w:snapToGrid w:val="0"/>
                    <w:spacing w:line="240" w:lineRule="exact"/>
                    <w:jc w:val="center"/>
                    <w:rPr>
                      <w:color w:val="000000"/>
                      <w:szCs w:val="21"/>
                    </w:rPr>
                  </w:pPr>
                  <w:r>
                    <w:rPr>
                      <w:rFonts w:hint="eastAsia"/>
                      <w:color w:val="000000"/>
                      <w:szCs w:val="21"/>
                    </w:rPr>
                    <w:t>运行时段</w:t>
                  </w:r>
                </w:p>
              </w:tc>
              <w:tc>
                <w:tcPr>
                  <w:tcW w:w="698" w:type="dxa"/>
                  <w:vMerge w:val="restart"/>
                  <w:vAlign w:val="center"/>
                </w:tcPr>
                <w:p w14:paraId="592AA404">
                  <w:pPr>
                    <w:adjustRightInd w:val="0"/>
                    <w:snapToGrid w:val="0"/>
                    <w:spacing w:line="240" w:lineRule="exact"/>
                    <w:jc w:val="center"/>
                    <w:rPr>
                      <w:color w:val="000000"/>
                      <w:szCs w:val="21"/>
                    </w:rPr>
                  </w:pPr>
                  <w:r>
                    <w:rPr>
                      <w:rFonts w:hint="eastAsia"/>
                      <w:color w:val="000000"/>
                      <w:szCs w:val="21"/>
                    </w:rPr>
                    <w:t>台数</w:t>
                  </w:r>
                </w:p>
              </w:tc>
            </w:tr>
            <w:tr w14:paraId="54A1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Merge w:val="continue"/>
                  <w:vAlign w:val="center"/>
                </w:tcPr>
                <w:p w14:paraId="0499D951">
                  <w:pPr>
                    <w:adjustRightInd w:val="0"/>
                    <w:snapToGrid w:val="0"/>
                    <w:spacing w:line="240" w:lineRule="exact"/>
                    <w:jc w:val="center"/>
                    <w:rPr>
                      <w:color w:val="000000"/>
                      <w:szCs w:val="21"/>
                    </w:rPr>
                  </w:pPr>
                </w:p>
              </w:tc>
              <w:tc>
                <w:tcPr>
                  <w:tcW w:w="718" w:type="dxa"/>
                  <w:vMerge w:val="continue"/>
                  <w:vAlign w:val="center"/>
                </w:tcPr>
                <w:p w14:paraId="7E4E485B">
                  <w:pPr>
                    <w:adjustRightInd w:val="0"/>
                    <w:snapToGrid w:val="0"/>
                    <w:spacing w:line="240" w:lineRule="exact"/>
                    <w:jc w:val="center"/>
                    <w:rPr>
                      <w:color w:val="000000"/>
                      <w:szCs w:val="21"/>
                    </w:rPr>
                  </w:pPr>
                </w:p>
              </w:tc>
              <w:tc>
                <w:tcPr>
                  <w:tcW w:w="465" w:type="dxa"/>
                  <w:vMerge w:val="continue"/>
                  <w:vAlign w:val="center"/>
                </w:tcPr>
                <w:p w14:paraId="2E4F1A71">
                  <w:pPr>
                    <w:adjustRightInd w:val="0"/>
                    <w:snapToGrid w:val="0"/>
                    <w:spacing w:line="240" w:lineRule="exact"/>
                    <w:jc w:val="center"/>
                    <w:rPr>
                      <w:color w:val="000000"/>
                      <w:szCs w:val="21"/>
                    </w:rPr>
                  </w:pPr>
                </w:p>
              </w:tc>
              <w:tc>
                <w:tcPr>
                  <w:tcW w:w="840" w:type="dxa"/>
                  <w:vAlign w:val="center"/>
                </w:tcPr>
                <w:p w14:paraId="38AA53B1">
                  <w:pPr>
                    <w:adjustRightInd w:val="0"/>
                    <w:snapToGrid w:val="0"/>
                    <w:spacing w:line="240" w:lineRule="exact"/>
                    <w:jc w:val="center"/>
                    <w:rPr>
                      <w:color w:val="000000"/>
                      <w:szCs w:val="21"/>
                    </w:rPr>
                  </w:pPr>
                  <w:r>
                    <w:rPr>
                      <w:rFonts w:hint="eastAsia"/>
                      <w:color w:val="000000"/>
                      <w:szCs w:val="21"/>
                    </w:rPr>
                    <w:t>X</w:t>
                  </w:r>
                </w:p>
              </w:tc>
              <w:tc>
                <w:tcPr>
                  <w:tcW w:w="975" w:type="dxa"/>
                  <w:vAlign w:val="center"/>
                </w:tcPr>
                <w:p w14:paraId="20E9BBF9">
                  <w:pPr>
                    <w:adjustRightInd w:val="0"/>
                    <w:snapToGrid w:val="0"/>
                    <w:spacing w:line="240" w:lineRule="exact"/>
                    <w:jc w:val="center"/>
                    <w:rPr>
                      <w:color w:val="000000"/>
                      <w:szCs w:val="21"/>
                    </w:rPr>
                  </w:pPr>
                  <w:r>
                    <w:rPr>
                      <w:rFonts w:hint="eastAsia"/>
                      <w:color w:val="000000"/>
                      <w:szCs w:val="21"/>
                    </w:rPr>
                    <w:t>Y</w:t>
                  </w:r>
                </w:p>
              </w:tc>
              <w:tc>
                <w:tcPr>
                  <w:tcW w:w="435" w:type="dxa"/>
                  <w:vAlign w:val="center"/>
                </w:tcPr>
                <w:p w14:paraId="45130C63">
                  <w:pPr>
                    <w:adjustRightInd w:val="0"/>
                    <w:snapToGrid w:val="0"/>
                    <w:spacing w:line="240" w:lineRule="exact"/>
                    <w:jc w:val="center"/>
                    <w:rPr>
                      <w:color w:val="000000"/>
                      <w:szCs w:val="21"/>
                    </w:rPr>
                  </w:pPr>
                  <w:r>
                    <w:rPr>
                      <w:rFonts w:hint="eastAsia"/>
                      <w:color w:val="000000"/>
                      <w:szCs w:val="21"/>
                    </w:rPr>
                    <w:t>Z</w:t>
                  </w:r>
                </w:p>
              </w:tc>
              <w:tc>
                <w:tcPr>
                  <w:tcW w:w="1245" w:type="dxa"/>
                  <w:vAlign w:val="center"/>
                </w:tcPr>
                <w:p w14:paraId="28371981">
                  <w:pPr>
                    <w:adjustRightInd w:val="0"/>
                    <w:snapToGrid w:val="0"/>
                    <w:spacing w:line="240" w:lineRule="exact"/>
                    <w:jc w:val="center"/>
                    <w:rPr>
                      <w:color w:val="000000"/>
                      <w:szCs w:val="21"/>
                    </w:rPr>
                  </w:pPr>
                  <w:r>
                    <w:rPr>
                      <w:rFonts w:hint="eastAsia"/>
                      <w:color w:val="000000"/>
                      <w:szCs w:val="21"/>
                    </w:rPr>
                    <w:t>（声压级/距声源距离）/（dBA/m）</w:t>
                  </w:r>
                </w:p>
              </w:tc>
              <w:tc>
                <w:tcPr>
                  <w:tcW w:w="654" w:type="dxa"/>
                  <w:vAlign w:val="center"/>
                </w:tcPr>
                <w:p w14:paraId="247EA605">
                  <w:pPr>
                    <w:adjustRightInd w:val="0"/>
                    <w:snapToGrid w:val="0"/>
                    <w:spacing w:line="240" w:lineRule="exact"/>
                    <w:jc w:val="center"/>
                    <w:rPr>
                      <w:color w:val="000000"/>
                      <w:szCs w:val="21"/>
                    </w:rPr>
                  </w:pPr>
                  <w:r>
                    <w:rPr>
                      <w:rFonts w:hint="eastAsia"/>
                      <w:color w:val="000000"/>
                      <w:szCs w:val="21"/>
                    </w:rPr>
                    <w:t>声功率级/dB(A)</w:t>
                  </w:r>
                </w:p>
              </w:tc>
              <w:tc>
                <w:tcPr>
                  <w:tcW w:w="740" w:type="dxa"/>
                  <w:vMerge w:val="continue"/>
                  <w:vAlign w:val="center"/>
                </w:tcPr>
                <w:p w14:paraId="290F668A">
                  <w:pPr>
                    <w:adjustRightInd w:val="0"/>
                    <w:snapToGrid w:val="0"/>
                    <w:spacing w:line="240" w:lineRule="exact"/>
                    <w:jc w:val="center"/>
                    <w:rPr>
                      <w:color w:val="000000"/>
                      <w:szCs w:val="21"/>
                    </w:rPr>
                  </w:pPr>
                </w:p>
              </w:tc>
              <w:tc>
                <w:tcPr>
                  <w:tcW w:w="697" w:type="dxa"/>
                  <w:vMerge w:val="continue"/>
                  <w:vAlign w:val="center"/>
                </w:tcPr>
                <w:p w14:paraId="4DEFAE32">
                  <w:pPr>
                    <w:adjustRightInd w:val="0"/>
                    <w:snapToGrid w:val="0"/>
                    <w:spacing w:line="240" w:lineRule="exact"/>
                    <w:jc w:val="center"/>
                    <w:rPr>
                      <w:color w:val="000000"/>
                      <w:szCs w:val="21"/>
                    </w:rPr>
                  </w:pPr>
                </w:p>
              </w:tc>
              <w:tc>
                <w:tcPr>
                  <w:tcW w:w="698" w:type="dxa"/>
                  <w:vMerge w:val="continue"/>
                  <w:vAlign w:val="center"/>
                </w:tcPr>
                <w:p w14:paraId="1F4E7685">
                  <w:pPr>
                    <w:adjustRightInd w:val="0"/>
                    <w:snapToGrid w:val="0"/>
                    <w:spacing w:line="240" w:lineRule="exact"/>
                    <w:jc w:val="center"/>
                    <w:rPr>
                      <w:color w:val="000000"/>
                      <w:szCs w:val="21"/>
                    </w:rPr>
                  </w:pPr>
                </w:p>
              </w:tc>
            </w:tr>
            <w:tr w14:paraId="495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59B7C8F3">
                  <w:pPr>
                    <w:adjustRightInd w:val="0"/>
                    <w:snapToGrid w:val="0"/>
                    <w:spacing w:line="240" w:lineRule="exact"/>
                    <w:jc w:val="center"/>
                    <w:rPr>
                      <w:color w:val="000000"/>
                      <w:szCs w:val="21"/>
                    </w:rPr>
                  </w:pPr>
                  <w:r>
                    <w:rPr>
                      <w:rFonts w:hint="eastAsia"/>
                      <w:color w:val="000000"/>
                      <w:szCs w:val="21"/>
                    </w:rPr>
                    <w:t>1</w:t>
                  </w:r>
                </w:p>
              </w:tc>
              <w:tc>
                <w:tcPr>
                  <w:tcW w:w="718" w:type="dxa"/>
                  <w:vAlign w:val="center"/>
                </w:tcPr>
                <w:p w14:paraId="029DCB84">
                  <w:pPr>
                    <w:jc w:val="center"/>
                    <w:rPr>
                      <w:color w:val="000000"/>
                      <w:szCs w:val="21"/>
                    </w:rPr>
                  </w:pPr>
                  <w:r>
                    <w:rPr>
                      <w:rFonts w:hint="eastAsia"/>
                      <w:szCs w:val="21"/>
                      <w:lang w:val="en-US" w:eastAsia="zh-CN"/>
                    </w:rPr>
                    <w:t>废液</w:t>
                  </w:r>
                  <w:r>
                    <w:rPr>
                      <w:rFonts w:hint="eastAsia"/>
                      <w:szCs w:val="21"/>
                    </w:rPr>
                    <w:t>泵</w:t>
                  </w:r>
                </w:p>
              </w:tc>
              <w:tc>
                <w:tcPr>
                  <w:tcW w:w="465" w:type="dxa"/>
                  <w:vAlign w:val="center"/>
                </w:tcPr>
                <w:p w14:paraId="0504260E">
                  <w:pPr>
                    <w:adjustRightInd w:val="0"/>
                    <w:snapToGrid w:val="0"/>
                    <w:spacing w:line="240" w:lineRule="exact"/>
                    <w:jc w:val="center"/>
                    <w:rPr>
                      <w:color w:val="000000"/>
                      <w:szCs w:val="21"/>
                    </w:rPr>
                  </w:pPr>
                  <w:r>
                    <w:rPr>
                      <w:rFonts w:hint="eastAsia"/>
                      <w:color w:val="000000"/>
                      <w:szCs w:val="21"/>
                    </w:rPr>
                    <w:t>—</w:t>
                  </w:r>
                </w:p>
              </w:tc>
              <w:tc>
                <w:tcPr>
                  <w:tcW w:w="840" w:type="dxa"/>
                  <w:vAlign w:val="center"/>
                </w:tcPr>
                <w:p w14:paraId="4059849D">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216.65</w:t>
                  </w:r>
                </w:p>
              </w:tc>
              <w:tc>
                <w:tcPr>
                  <w:tcW w:w="975" w:type="dxa"/>
                  <w:vAlign w:val="center"/>
                </w:tcPr>
                <w:p w14:paraId="3B5D212E">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106.96</w:t>
                  </w:r>
                </w:p>
              </w:tc>
              <w:tc>
                <w:tcPr>
                  <w:tcW w:w="435" w:type="dxa"/>
                  <w:vAlign w:val="center"/>
                </w:tcPr>
                <w:p w14:paraId="4F784E6C">
                  <w:pPr>
                    <w:adjustRightInd w:val="0"/>
                    <w:snapToGrid w:val="0"/>
                    <w:spacing w:line="240" w:lineRule="exact"/>
                    <w:jc w:val="center"/>
                    <w:rPr>
                      <w:color w:val="000000"/>
                      <w:szCs w:val="21"/>
                    </w:rPr>
                  </w:pPr>
                  <w:r>
                    <w:rPr>
                      <w:rFonts w:hint="eastAsia"/>
                      <w:color w:val="000000"/>
                      <w:szCs w:val="21"/>
                    </w:rPr>
                    <w:t>1</w:t>
                  </w:r>
                </w:p>
              </w:tc>
              <w:tc>
                <w:tcPr>
                  <w:tcW w:w="1245" w:type="dxa"/>
                  <w:vAlign w:val="center"/>
                </w:tcPr>
                <w:p w14:paraId="6ED00422">
                  <w:pPr>
                    <w:adjustRightInd w:val="0"/>
                    <w:snapToGrid w:val="0"/>
                    <w:spacing w:line="240" w:lineRule="exact"/>
                    <w:jc w:val="center"/>
                    <w:rPr>
                      <w:rFonts w:hint="eastAsia" w:eastAsia="宋体"/>
                      <w:color w:val="000000"/>
                      <w:szCs w:val="21"/>
                      <w:lang w:eastAsia="zh-CN"/>
                    </w:rPr>
                  </w:pPr>
                  <w:r>
                    <w:rPr>
                      <w:rFonts w:hint="eastAsia"/>
                      <w:color w:val="000000"/>
                      <w:szCs w:val="21"/>
                    </w:rPr>
                    <w:t>80/</w:t>
                  </w:r>
                  <w:r>
                    <w:rPr>
                      <w:rFonts w:hint="eastAsia"/>
                      <w:color w:val="000000"/>
                      <w:szCs w:val="21"/>
                      <w:lang w:val="en-US" w:eastAsia="zh-CN"/>
                    </w:rPr>
                    <w:t>1</w:t>
                  </w:r>
                </w:p>
              </w:tc>
              <w:tc>
                <w:tcPr>
                  <w:tcW w:w="654" w:type="dxa"/>
                  <w:vAlign w:val="center"/>
                </w:tcPr>
                <w:p w14:paraId="66E5B91A">
                  <w:pPr>
                    <w:adjustRightInd w:val="0"/>
                    <w:snapToGrid w:val="0"/>
                    <w:spacing w:line="240" w:lineRule="exact"/>
                    <w:jc w:val="center"/>
                    <w:rPr>
                      <w:color w:val="000000"/>
                      <w:szCs w:val="21"/>
                    </w:rPr>
                  </w:pPr>
                  <w:r>
                    <w:rPr>
                      <w:rFonts w:hint="eastAsia"/>
                      <w:color w:val="000000"/>
                      <w:szCs w:val="21"/>
                    </w:rPr>
                    <w:t>—</w:t>
                  </w:r>
                </w:p>
              </w:tc>
              <w:tc>
                <w:tcPr>
                  <w:tcW w:w="740" w:type="dxa"/>
                  <w:vMerge w:val="restart"/>
                  <w:vAlign w:val="center"/>
                </w:tcPr>
                <w:p w14:paraId="15690B8F">
                  <w:pPr>
                    <w:adjustRightInd w:val="0"/>
                    <w:snapToGrid w:val="0"/>
                    <w:spacing w:line="240" w:lineRule="exact"/>
                    <w:jc w:val="center"/>
                    <w:rPr>
                      <w:color w:val="000000"/>
                      <w:szCs w:val="21"/>
                    </w:rPr>
                  </w:pPr>
                  <w:r>
                    <w:rPr>
                      <w:rFonts w:hint="eastAsia"/>
                      <w:color w:val="000000"/>
                      <w:szCs w:val="21"/>
                    </w:rPr>
                    <w:t>减振、隔声</w:t>
                  </w:r>
                </w:p>
              </w:tc>
              <w:tc>
                <w:tcPr>
                  <w:tcW w:w="697" w:type="dxa"/>
                  <w:vMerge w:val="restart"/>
                  <w:vAlign w:val="center"/>
                </w:tcPr>
                <w:p w14:paraId="435F2951">
                  <w:pPr>
                    <w:adjustRightInd w:val="0"/>
                    <w:snapToGrid w:val="0"/>
                    <w:spacing w:line="240" w:lineRule="exact"/>
                    <w:jc w:val="center"/>
                    <w:rPr>
                      <w:rFonts w:hint="default" w:eastAsia="宋体"/>
                      <w:color w:val="000000"/>
                      <w:szCs w:val="21"/>
                      <w:lang w:val="en-US" w:eastAsia="zh-CN"/>
                    </w:rPr>
                  </w:pPr>
                  <w:r>
                    <w:rPr>
                      <w:rFonts w:hint="eastAsia"/>
                      <w:color w:val="000000"/>
                      <w:szCs w:val="21"/>
                      <w:lang w:val="en-US" w:eastAsia="zh-CN"/>
                    </w:rPr>
                    <w:t>24h</w:t>
                  </w:r>
                </w:p>
              </w:tc>
              <w:tc>
                <w:tcPr>
                  <w:tcW w:w="698" w:type="dxa"/>
                  <w:vAlign w:val="center"/>
                </w:tcPr>
                <w:p w14:paraId="5B69D8CE">
                  <w:pPr>
                    <w:adjustRightInd w:val="0"/>
                    <w:snapToGrid w:val="0"/>
                    <w:spacing w:line="240" w:lineRule="exact"/>
                    <w:jc w:val="center"/>
                    <w:rPr>
                      <w:rFonts w:hint="eastAsia" w:eastAsia="宋体"/>
                      <w:color w:val="000000"/>
                      <w:szCs w:val="21"/>
                      <w:lang w:eastAsia="zh-CN"/>
                    </w:rPr>
                  </w:pPr>
                  <w:r>
                    <w:rPr>
                      <w:rFonts w:hint="eastAsia"/>
                      <w:color w:val="000000"/>
                      <w:szCs w:val="21"/>
                      <w:lang w:val="en-US" w:eastAsia="zh-CN"/>
                    </w:rPr>
                    <w:t>1</w:t>
                  </w:r>
                </w:p>
              </w:tc>
            </w:tr>
            <w:tr w14:paraId="5662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0E21908A">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2</w:t>
                  </w:r>
                </w:p>
              </w:tc>
              <w:tc>
                <w:tcPr>
                  <w:tcW w:w="718" w:type="dxa"/>
                  <w:vAlign w:val="center"/>
                </w:tcPr>
                <w:p w14:paraId="0467AA4E">
                  <w:pPr>
                    <w:jc w:val="center"/>
                    <w:rPr>
                      <w:rFonts w:hint="default"/>
                      <w:szCs w:val="21"/>
                      <w:lang w:val="en-US" w:eastAsia="zh-CN"/>
                    </w:rPr>
                  </w:pPr>
                  <w:r>
                    <w:rPr>
                      <w:rFonts w:hint="eastAsia"/>
                      <w:szCs w:val="21"/>
                      <w:lang w:val="en-US" w:eastAsia="zh-CN"/>
                    </w:rPr>
                    <w:t>60醋酸泵</w:t>
                  </w:r>
                </w:p>
              </w:tc>
              <w:tc>
                <w:tcPr>
                  <w:tcW w:w="465" w:type="dxa"/>
                  <w:shd w:val="clear" w:color="auto" w:fill="auto"/>
                  <w:vAlign w:val="center"/>
                </w:tcPr>
                <w:p w14:paraId="4B0DF4F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15F036C0">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212.76</w:t>
                  </w:r>
                </w:p>
              </w:tc>
              <w:tc>
                <w:tcPr>
                  <w:tcW w:w="975" w:type="dxa"/>
                  <w:shd w:val="clear" w:color="auto" w:fill="auto"/>
                  <w:vAlign w:val="center"/>
                </w:tcPr>
                <w:p w14:paraId="57486C62">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87.49</w:t>
                  </w:r>
                </w:p>
              </w:tc>
              <w:tc>
                <w:tcPr>
                  <w:tcW w:w="435" w:type="dxa"/>
                  <w:shd w:val="clear" w:color="auto" w:fill="auto"/>
                  <w:vAlign w:val="center"/>
                </w:tcPr>
                <w:p w14:paraId="6F43D0D7">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0DAA4F4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80/</w:t>
                  </w:r>
                  <w:r>
                    <w:rPr>
                      <w:rFonts w:hint="eastAsia"/>
                      <w:color w:val="000000"/>
                      <w:szCs w:val="21"/>
                      <w:lang w:val="en-US" w:eastAsia="zh-CN"/>
                    </w:rPr>
                    <w:t>1</w:t>
                  </w:r>
                </w:p>
              </w:tc>
              <w:tc>
                <w:tcPr>
                  <w:tcW w:w="654" w:type="dxa"/>
                  <w:shd w:val="clear" w:color="auto" w:fill="auto"/>
                  <w:vAlign w:val="center"/>
                </w:tcPr>
                <w:p w14:paraId="4C355506">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6D93FEC3">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475EFDC4">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2EBF6328">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1</w:t>
                  </w:r>
                </w:p>
              </w:tc>
            </w:tr>
            <w:tr w14:paraId="3C06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35D0276A">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3</w:t>
                  </w:r>
                </w:p>
              </w:tc>
              <w:tc>
                <w:tcPr>
                  <w:tcW w:w="718" w:type="dxa"/>
                  <w:vAlign w:val="center"/>
                </w:tcPr>
                <w:p w14:paraId="730C7FBA">
                  <w:pPr>
                    <w:jc w:val="center"/>
                    <w:rPr>
                      <w:rFonts w:hint="default"/>
                      <w:szCs w:val="21"/>
                      <w:lang w:val="en-US" w:eastAsia="zh-CN"/>
                    </w:rPr>
                  </w:pPr>
                  <w:r>
                    <w:rPr>
                      <w:rFonts w:hint="eastAsia"/>
                      <w:szCs w:val="21"/>
                      <w:lang w:val="en-US" w:eastAsia="zh-CN"/>
                    </w:rPr>
                    <w:t>搅拌器</w:t>
                  </w:r>
                </w:p>
              </w:tc>
              <w:tc>
                <w:tcPr>
                  <w:tcW w:w="465" w:type="dxa"/>
                  <w:shd w:val="clear" w:color="auto" w:fill="auto"/>
                  <w:vAlign w:val="center"/>
                </w:tcPr>
                <w:p w14:paraId="7E861A35">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0E24C98E">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212.76</w:t>
                  </w:r>
                </w:p>
              </w:tc>
              <w:tc>
                <w:tcPr>
                  <w:tcW w:w="975" w:type="dxa"/>
                  <w:shd w:val="clear" w:color="auto" w:fill="auto"/>
                  <w:vAlign w:val="center"/>
                </w:tcPr>
                <w:p w14:paraId="4BB418BD">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87.49</w:t>
                  </w:r>
                </w:p>
              </w:tc>
              <w:tc>
                <w:tcPr>
                  <w:tcW w:w="435" w:type="dxa"/>
                  <w:shd w:val="clear" w:color="auto" w:fill="auto"/>
                  <w:vAlign w:val="center"/>
                </w:tcPr>
                <w:p w14:paraId="6DBE10A3">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0B3BD131">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w:t>
                  </w:r>
                  <w:r>
                    <w:rPr>
                      <w:rFonts w:hint="eastAsia"/>
                      <w:color w:val="000000"/>
                      <w:szCs w:val="21"/>
                      <w:lang w:val="en-US" w:eastAsia="zh-CN"/>
                    </w:rPr>
                    <w:t>5</w:t>
                  </w:r>
                  <w:r>
                    <w:rPr>
                      <w:rFonts w:hint="eastAsia"/>
                      <w:color w:val="000000"/>
                      <w:szCs w:val="21"/>
                    </w:rPr>
                    <w:t>/</w:t>
                  </w:r>
                  <w:r>
                    <w:rPr>
                      <w:rFonts w:hint="eastAsia"/>
                      <w:color w:val="000000"/>
                      <w:szCs w:val="21"/>
                      <w:lang w:val="en-US" w:eastAsia="zh-CN"/>
                    </w:rPr>
                    <w:t>1</w:t>
                  </w:r>
                </w:p>
              </w:tc>
              <w:tc>
                <w:tcPr>
                  <w:tcW w:w="654" w:type="dxa"/>
                  <w:shd w:val="clear" w:color="auto" w:fill="auto"/>
                  <w:vAlign w:val="center"/>
                </w:tcPr>
                <w:p w14:paraId="4F216471">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5C37E97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79C145D9">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54BB7D91">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1</w:t>
                  </w:r>
                </w:p>
              </w:tc>
            </w:tr>
            <w:tr w14:paraId="675B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28DA9543">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4</w:t>
                  </w:r>
                </w:p>
              </w:tc>
              <w:tc>
                <w:tcPr>
                  <w:tcW w:w="718" w:type="dxa"/>
                  <w:vAlign w:val="center"/>
                </w:tcPr>
                <w:p w14:paraId="019B19DD">
                  <w:pPr>
                    <w:jc w:val="center"/>
                    <w:rPr>
                      <w:rFonts w:hint="default"/>
                      <w:szCs w:val="21"/>
                      <w:lang w:val="en-US" w:eastAsia="zh-CN"/>
                    </w:rPr>
                  </w:pPr>
                  <w:r>
                    <w:rPr>
                      <w:rFonts w:hint="eastAsia"/>
                      <w:szCs w:val="21"/>
                      <w:lang w:val="en-US" w:eastAsia="zh-CN"/>
                    </w:rPr>
                    <w:t>进料泵</w:t>
                  </w:r>
                </w:p>
              </w:tc>
              <w:tc>
                <w:tcPr>
                  <w:tcW w:w="465" w:type="dxa"/>
                  <w:shd w:val="clear" w:color="auto" w:fill="auto"/>
                  <w:vAlign w:val="center"/>
                </w:tcPr>
                <w:p w14:paraId="02F918B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0B4D2186">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191.34</w:t>
                  </w:r>
                </w:p>
              </w:tc>
              <w:tc>
                <w:tcPr>
                  <w:tcW w:w="975" w:type="dxa"/>
                  <w:shd w:val="clear" w:color="auto" w:fill="auto"/>
                  <w:vAlign w:val="center"/>
                </w:tcPr>
                <w:p w14:paraId="0C262190">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93.33</w:t>
                  </w:r>
                </w:p>
              </w:tc>
              <w:tc>
                <w:tcPr>
                  <w:tcW w:w="435" w:type="dxa"/>
                  <w:shd w:val="clear" w:color="auto" w:fill="auto"/>
                  <w:vAlign w:val="center"/>
                </w:tcPr>
                <w:p w14:paraId="661597B8">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0E6A28A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80/</w:t>
                  </w:r>
                  <w:r>
                    <w:rPr>
                      <w:rFonts w:hint="eastAsia"/>
                      <w:color w:val="000000"/>
                      <w:szCs w:val="21"/>
                      <w:lang w:val="en-US" w:eastAsia="zh-CN"/>
                    </w:rPr>
                    <w:t>1</w:t>
                  </w:r>
                </w:p>
              </w:tc>
              <w:tc>
                <w:tcPr>
                  <w:tcW w:w="654" w:type="dxa"/>
                  <w:shd w:val="clear" w:color="auto" w:fill="auto"/>
                  <w:vAlign w:val="center"/>
                </w:tcPr>
                <w:p w14:paraId="4460D41F">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7F4F1AE9">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159DA2C4">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4D73E82B">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2</w:t>
                  </w:r>
                </w:p>
              </w:tc>
            </w:tr>
            <w:tr w14:paraId="4093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68DB91C6">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5</w:t>
                  </w:r>
                </w:p>
              </w:tc>
              <w:tc>
                <w:tcPr>
                  <w:tcW w:w="718" w:type="dxa"/>
                  <w:vAlign w:val="center"/>
                </w:tcPr>
                <w:p w14:paraId="60A661EA">
                  <w:pPr>
                    <w:jc w:val="center"/>
                    <w:rPr>
                      <w:rFonts w:hint="default"/>
                      <w:szCs w:val="21"/>
                      <w:lang w:val="en-US" w:eastAsia="zh-CN"/>
                    </w:rPr>
                  </w:pPr>
                  <w:r>
                    <w:rPr>
                      <w:rFonts w:hint="eastAsia"/>
                      <w:szCs w:val="21"/>
                      <w:lang w:val="en-US" w:eastAsia="zh-CN"/>
                    </w:rPr>
                    <w:t>出料泵</w:t>
                  </w:r>
                </w:p>
              </w:tc>
              <w:tc>
                <w:tcPr>
                  <w:tcW w:w="465" w:type="dxa"/>
                  <w:shd w:val="clear" w:color="auto" w:fill="auto"/>
                  <w:vAlign w:val="center"/>
                </w:tcPr>
                <w:p w14:paraId="4F69688D">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727D5C75">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232.23</w:t>
                  </w:r>
                </w:p>
              </w:tc>
              <w:tc>
                <w:tcPr>
                  <w:tcW w:w="975" w:type="dxa"/>
                  <w:shd w:val="clear" w:color="auto" w:fill="auto"/>
                  <w:vAlign w:val="center"/>
                </w:tcPr>
                <w:p w14:paraId="1A379686">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93.33</w:t>
                  </w:r>
                </w:p>
              </w:tc>
              <w:tc>
                <w:tcPr>
                  <w:tcW w:w="435" w:type="dxa"/>
                  <w:shd w:val="clear" w:color="auto" w:fill="auto"/>
                  <w:vAlign w:val="center"/>
                </w:tcPr>
                <w:p w14:paraId="45C4B496">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39EFF7CC">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80/</w:t>
                  </w:r>
                  <w:r>
                    <w:rPr>
                      <w:rFonts w:hint="eastAsia"/>
                      <w:color w:val="000000"/>
                      <w:szCs w:val="21"/>
                      <w:lang w:val="en-US" w:eastAsia="zh-CN"/>
                    </w:rPr>
                    <w:t>1</w:t>
                  </w:r>
                </w:p>
              </w:tc>
              <w:tc>
                <w:tcPr>
                  <w:tcW w:w="654" w:type="dxa"/>
                  <w:shd w:val="clear" w:color="auto" w:fill="auto"/>
                  <w:vAlign w:val="center"/>
                </w:tcPr>
                <w:p w14:paraId="1EE2B3E1">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7A3125E1">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63DE0AD8">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1A8F6853">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2</w:t>
                  </w:r>
                </w:p>
              </w:tc>
            </w:tr>
            <w:tr w14:paraId="116F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15DC2661">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6</w:t>
                  </w:r>
                </w:p>
              </w:tc>
              <w:tc>
                <w:tcPr>
                  <w:tcW w:w="718" w:type="dxa"/>
                  <w:vAlign w:val="center"/>
                </w:tcPr>
                <w:p w14:paraId="5F768076">
                  <w:pPr>
                    <w:jc w:val="center"/>
                    <w:rPr>
                      <w:rFonts w:hint="default"/>
                      <w:szCs w:val="21"/>
                      <w:lang w:val="en-US" w:eastAsia="zh-CN"/>
                    </w:rPr>
                  </w:pPr>
                  <w:r>
                    <w:rPr>
                      <w:rFonts w:hint="eastAsia"/>
                      <w:szCs w:val="21"/>
                      <w:lang w:val="en-US" w:eastAsia="zh-CN"/>
                    </w:rPr>
                    <w:t>真空泵</w:t>
                  </w:r>
                </w:p>
              </w:tc>
              <w:tc>
                <w:tcPr>
                  <w:tcW w:w="465" w:type="dxa"/>
                  <w:shd w:val="clear" w:color="auto" w:fill="auto"/>
                  <w:vAlign w:val="center"/>
                </w:tcPr>
                <w:p w14:paraId="131E670B">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524F8BB0">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232.23</w:t>
                  </w:r>
                </w:p>
              </w:tc>
              <w:tc>
                <w:tcPr>
                  <w:tcW w:w="975" w:type="dxa"/>
                  <w:shd w:val="clear" w:color="auto" w:fill="auto"/>
                  <w:vAlign w:val="center"/>
                </w:tcPr>
                <w:p w14:paraId="503D0B66">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93.33</w:t>
                  </w:r>
                </w:p>
              </w:tc>
              <w:tc>
                <w:tcPr>
                  <w:tcW w:w="435" w:type="dxa"/>
                  <w:shd w:val="clear" w:color="auto" w:fill="auto"/>
                  <w:vAlign w:val="center"/>
                </w:tcPr>
                <w:p w14:paraId="7D0C5160">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707860C5">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80/</w:t>
                  </w:r>
                  <w:r>
                    <w:rPr>
                      <w:rFonts w:hint="eastAsia"/>
                      <w:color w:val="000000"/>
                      <w:szCs w:val="21"/>
                      <w:lang w:val="en-US" w:eastAsia="zh-CN"/>
                    </w:rPr>
                    <w:t>1</w:t>
                  </w:r>
                </w:p>
              </w:tc>
              <w:tc>
                <w:tcPr>
                  <w:tcW w:w="654" w:type="dxa"/>
                  <w:shd w:val="clear" w:color="auto" w:fill="auto"/>
                  <w:vAlign w:val="center"/>
                </w:tcPr>
                <w:p w14:paraId="3F3D0855">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793E7DFD">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0C46041E">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4AB84C64">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1</w:t>
                  </w:r>
                </w:p>
              </w:tc>
            </w:tr>
            <w:tr w14:paraId="6DF6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8" w:type="dxa"/>
                  <w:vAlign w:val="center"/>
                </w:tcPr>
                <w:p w14:paraId="03BCAE0D">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7</w:t>
                  </w:r>
                </w:p>
              </w:tc>
              <w:tc>
                <w:tcPr>
                  <w:tcW w:w="718" w:type="dxa"/>
                  <w:vAlign w:val="center"/>
                </w:tcPr>
                <w:p w14:paraId="0AA113E5">
                  <w:pPr>
                    <w:jc w:val="center"/>
                    <w:rPr>
                      <w:rFonts w:hint="default"/>
                      <w:szCs w:val="21"/>
                      <w:lang w:val="en-US" w:eastAsia="zh-CN"/>
                    </w:rPr>
                  </w:pPr>
                  <w:r>
                    <w:rPr>
                      <w:rFonts w:hint="eastAsia"/>
                      <w:szCs w:val="21"/>
                      <w:lang w:val="en-US" w:eastAsia="zh-CN"/>
                    </w:rPr>
                    <w:t>装车泵</w:t>
                  </w:r>
                </w:p>
              </w:tc>
              <w:tc>
                <w:tcPr>
                  <w:tcW w:w="465" w:type="dxa"/>
                  <w:shd w:val="clear" w:color="auto" w:fill="auto"/>
                  <w:vAlign w:val="center"/>
                </w:tcPr>
                <w:p w14:paraId="2307C46C">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840" w:type="dxa"/>
                  <w:shd w:val="clear" w:color="auto" w:fill="auto"/>
                  <w:vAlign w:val="center"/>
                </w:tcPr>
                <w:p w14:paraId="7F36F780">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241.97</w:t>
                  </w:r>
                </w:p>
              </w:tc>
              <w:tc>
                <w:tcPr>
                  <w:tcW w:w="975" w:type="dxa"/>
                  <w:shd w:val="clear" w:color="auto" w:fill="auto"/>
                  <w:vAlign w:val="center"/>
                </w:tcPr>
                <w:p w14:paraId="010312CB">
                  <w:pPr>
                    <w:adjustRightInd w:val="0"/>
                    <w:snapToGrid w:val="0"/>
                    <w:spacing w:line="240" w:lineRule="exact"/>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-27.4</w:t>
                  </w:r>
                </w:p>
              </w:tc>
              <w:tc>
                <w:tcPr>
                  <w:tcW w:w="435" w:type="dxa"/>
                  <w:shd w:val="clear" w:color="auto" w:fill="auto"/>
                  <w:vAlign w:val="center"/>
                </w:tcPr>
                <w:p w14:paraId="04C9208D">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p>
              </w:tc>
              <w:tc>
                <w:tcPr>
                  <w:tcW w:w="1245" w:type="dxa"/>
                  <w:shd w:val="clear" w:color="auto" w:fill="auto"/>
                  <w:vAlign w:val="center"/>
                </w:tcPr>
                <w:p w14:paraId="36232D0E">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80/</w:t>
                  </w:r>
                  <w:r>
                    <w:rPr>
                      <w:rFonts w:hint="eastAsia"/>
                      <w:color w:val="000000"/>
                      <w:szCs w:val="21"/>
                      <w:lang w:val="en-US" w:eastAsia="zh-CN"/>
                    </w:rPr>
                    <w:t>1</w:t>
                  </w:r>
                </w:p>
              </w:tc>
              <w:tc>
                <w:tcPr>
                  <w:tcW w:w="654" w:type="dxa"/>
                  <w:shd w:val="clear" w:color="auto" w:fill="auto"/>
                  <w:vAlign w:val="center"/>
                </w:tcPr>
                <w:p w14:paraId="56540328">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c>
                <w:tcPr>
                  <w:tcW w:w="740" w:type="dxa"/>
                  <w:vMerge w:val="continue"/>
                  <w:shd w:val="clear" w:color="auto" w:fill="auto"/>
                  <w:vAlign w:val="center"/>
                </w:tcPr>
                <w:p w14:paraId="5E736D3A">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7" w:type="dxa"/>
                  <w:vMerge w:val="continue"/>
                  <w:shd w:val="clear" w:color="auto" w:fill="auto"/>
                  <w:vAlign w:val="center"/>
                </w:tcPr>
                <w:p w14:paraId="0831DB5B">
                  <w:pPr>
                    <w:adjustRightInd w:val="0"/>
                    <w:snapToGrid w:val="0"/>
                    <w:spacing w:line="240" w:lineRule="exact"/>
                    <w:jc w:val="center"/>
                    <w:rPr>
                      <w:rFonts w:hint="eastAsia" w:ascii="Times New Roman" w:hAnsi="Times New Roman" w:eastAsia="宋体" w:cs="Times New Roman"/>
                      <w:color w:val="000000"/>
                      <w:kern w:val="2"/>
                      <w:sz w:val="21"/>
                      <w:szCs w:val="21"/>
                      <w:lang w:val="en-US" w:eastAsia="zh-CN" w:bidi="ar-SA"/>
                    </w:rPr>
                  </w:pPr>
                </w:p>
              </w:tc>
              <w:tc>
                <w:tcPr>
                  <w:tcW w:w="698" w:type="dxa"/>
                  <w:vAlign w:val="center"/>
                </w:tcPr>
                <w:p w14:paraId="40DF51A6">
                  <w:pPr>
                    <w:adjustRightInd w:val="0"/>
                    <w:snapToGrid w:val="0"/>
                    <w:spacing w:line="240" w:lineRule="exact"/>
                    <w:jc w:val="center"/>
                    <w:rPr>
                      <w:rFonts w:hint="eastAsia" w:eastAsia="宋体"/>
                      <w:color w:val="000000"/>
                      <w:szCs w:val="21"/>
                      <w:lang w:val="en-US" w:eastAsia="zh-CN"/>
                    </w:rPr>
                  </w:pPr>
                  <w:r>
                    <w:rPr>
                      <w:rFonts w:hint="eastAsia"/>
                      <w:color w:val="000000"/>
                      <w:szCs w:val="21"/>
                      <w:lang w:val="en-US" w:eastAsia="zh-CN"/>
                    </w:rPr>
                    <w:t>2</w:t>
                  </w:r>
                </w:p>
              </w:tc>
            </w:tr>
          </w:tbl>
          <w:p w14:paraId="1E1C2154">
            <w:pPr>
              <w:spacing w:line="500" w:lineRule="exact"/>
              <w:ind w:firstLine="482"/>
              <w:rPr>
                <w:b/>
                <w:kern w:val="0"/>
                <w:sz w:val="24"/>
                <w:szCs w:val="20"/>
              </w:rPr>
            </w:pPr>
            <w:r>
              <w:rPr>
                <w:rFonts w:hint="eastAsia"/>
                <w:b/>
                <w:kern w:val="0"/>
                <w:sz w:val="24"/>
                <w:szCs w:val="20"/>
              </w:rPr>
              <w:t>（2）噪声影响及达标分析</w:t>
            </w:r>
          </w:p>
          <w:p w14:paraId="6E6DA96C">
            <w:pPr>
              <w:adjustRightInd w:val="0"/>
              <w:spacing w:line="500" w:lineRule="exact"/>
              <w:ind w:firstLine="480" w:firstLineChars="200"/>
              <w:rPr>
                <w:kern w:val="0"/>
                <w:sz w:val="24"/>
                <w:szCs w:val="20"/>
              </w:rPr>
            </w:pPr>
            <w:r>
              <w:rPr>
                <w:bCs/>
                <w:kern w:val="0"/>
                <w:sz w:val="24"/>
              </w:rPr>
              <w:t>根据《环境影响评价技术导则—声环境》</w:t>
            </w:r>
            <w:r>
              <w:rPr>
                <w:rFonts w:hint="eastAsia"/>
                <w:bCs/>
                <w:kern w:val="0"/>
                <w:sz w:val="24"/>
              </w:rPr>
              <w:t>（</w:t>
            </w:r>
            <w:r>
              <w:rPr>
                <w:bCs/>
                <w:kern w:val="0"/>
                <w:sz w:val="24"/>
              </w:rPr>
              <w:t>HJ2.4－20</w:t>
            </w:r>
            <w:r>
              <w:rPr>
                <w:rFonts w:hint="eastAsia"/>
                <w:bCs/>
                <w:kern w:val="0"/>
                <w:sz w:val="24"/>
              </w:rPr>
              <w:t>21）</w:t>
            </w:r>
            <w:r>
              <w:rPr>
                <w:bCs/>
                <w:kern w:val="0"/>
                <w:sz w:val="24"/>
              </w:rPr>
              <w:t>基本公式，对</w:t>
            </w:r>
            <w:r>
              <w:rPr>
                <w:rFonts w:hint="eastAsia"/>
                <w:kern w:val="0"/>
                <w:sz w:val="24"/>
                <w:szCs w:val="20"/>
              </w:rPr>
              <w:t>各</w:t>
            </w:r>
            <w:r>
              <w:rPr>
                <w:kern w:val="0"/>
                <w:sz w:val="24"/>
                <w:szCs w:val="20"/>
              </w:rPr>
              <w:t>设备噪声的影响范围进行预测</w:t>
            </w:r>
            <w:r>
              <w:rPr>
                <w:rFonts w:hint="eastAsia"/>
                <w:kern w:val="0"/>
                <w:sz w:val="24"/>
                <w:szCs w:val="20"/>
              </w:rPr>
              <w:t>，</w:t>
            </w:r>
            <w:r>
              <w:rPr>
                <w:kern w:val="0"/>
                <w:sz w:val="24"/>
                <w:szCs w:val="20"/>
              </w:rPr>
              <w:t>本次评价只考虑几何发散衰减和屏障</w:t>
            </w:r>
            <w:r>
              <w:rPr>
                <w:rFonts w:hint="eastAsia"/>
                <w:kern w:val="0"/>
                <w:sz w:val="24"/>
                <w:szCs w:val="20"/>
              </w:rPr>
              <w:t>衰减</w:t>
            </w:r>
            <w:r>
              <w:rPr>
                <w:kern w:val="0"/>
                <w:sz w:val="24"/>
                <w:szCs w:val="20"/>
              </w:rPr>
              <w:t>。</w:t>
            </w:r>
          </w:p>
          <w:p w14:paraId="7E6BE743">
            <w:pPr>
              <w:adjustRightInd w:val="0"/>
              <w:spacing w:line="500" w:lineRule="exact"/>
              <w:ind w:firstLine="480" w:firstLineChars="200"/>
              <w:jc w:val="center"/>
              <w:rPr>
                <w:kern w:val="0"/>
                <w:sz w:val="24"/>
                <w:szCs w:val="20"/>
              </w:rPr>
            </w:pPr>
            <w:r>
              <w:rPr>
                <w:rFonts w:hint="eastAsia"/>
                <w:kern w:val="0"/>
                <w:sz w:val="24"/>
                <w:szCs w:val="20"/>
              </w:rPr>
              <w:t>LA</w:t>
            </w:r>
            <w:r>
              <w:rPr>
                <w:kern w:val="0"/>
                <w:sz w:val="24"/>
                <w:szCs w:val="20"/>
              </w:rPr>
              <w:t>(</w:t>
            </w:r>
            <w:r>
              <w:rPr>
                <w:rFonts w:hint="eastAsia"/>
                <w:kern w:val="0"/>
                <w:sz w:val="24"/>
                <w:szCs w:val="20"/>
              </w:rPr>
              <w:t>r</w:t>
            </w:r>
            <w:r>
              <w:rPr>
                <w:kern w:val="0"/>
                <w:sz w:val="24"/>
                <w:szCs w:val="20"/>
              </w:rPr>
              <w:t>)</w:t>
            </w:r>
            <w:r>
              <w:rPr>
                <w:rFonts w:hint="eastAsia"/>
                <w:kern w:val="0"/>
                <w:sz w:val="24"/>
                <w:szCs w:val="20"/>
              </w:rPr>
              <w:t>=LA</w:t>
            </w:r>
            <w:r>
              <w:rPr>
                <w:kern w:val="0"/>
                <w:sz w:val="24"/>
                <w:szCs w:val="20"/>
              </w:rPr>
              <w:t>(</w:t>
            </w:r>
            <w:r>
              <w:rPr>
                <w:rFonts w:hint="eastAsia"/>
                <w:kern w:val="0"/>
                <w:sz w:val="24"/>
                <w:szCs w:val="20"/>
              </w:rPr>
              <w:t>r0</w:t>
            </w:r>
            <w:r>
              <w:rPr>
                <w:kern w:val="0"/>
                <w:sz w:val="24"/>
                <w:szCs w:val="20"/>
              </w:rPr>
              <w:t>)</w:t>
            </w:r>
            <w:r>
              <w:rPr>
                <w:rFonts w:hint="eastAsia"/>
                <w:kern w:val="0"/>
                <w:sz w:val="24"/>
                <w:szCs w:val="20"/>
              </w:rPr>
              <w:t>－20lg</w:t>
            </w:r>
            <w:r>
              <w:rPr>
                <w:kern w:val="0"/>
                <w:sz w:val="24"/>
                <w:szCs w:val="20"/>
              </w:rPr>
              <w:t>(</w:t>
            </w:r>
            <w:r>
              <w:rPr>
                <w:rFonts w:hint="eastAsia"/>
                <w:kern w:val="0"/>
                <w:sz w:val="24"/>
                <w:szCs w:val="20"/>
              </w:rPr>
              <w:t>r/r0</w:t>
            </w:r>
            <w:r>
              <w:rPr>
                <w:kern w:val="0"/>
                <w:sz w:val="24"/>
                <w:szCs w:val="20"/>
              </w:rPr>
              <w:t>)</w:t>
            </w:r>
            <w:r>
              <w:rPr>
                <w:rFonts w:hint="eastAsia"/>
                <w:kern w:val="0"/>
                <w:sz w:val="24"/>
                <w:szCs w:val="20"/>
              </w:rPr>
              <w:t>—TL</w:t>
            </w:r>
          </w:p>
          <w:p w14:paraId="54E3FB66">
            <w:pPr>
              <w:adjustRightInd w:val="0"/>
              <w:spacing w:line="500" w:lineRule="exact"/>
              <w:ind w:firstLine="480" w:firstLineChars="200"/>
              <w:rPr>
                <w:kern w:val="0"/>
                <w:sz w:val="24"/>
                <w:szCs w:val="20"/>
              </w:rPr>
            </w:pPr>
            <w:r>
              <w:rPr>
                <w:rFonts w:hint="eastAsia"/>
                <w:kern w:val="0"/>
                <w:sz w:val="24"/>
                <w:szCs w:val="20"/>
              </w:rPr>
              <w:t>式中：LA（r）为距离声源r处的A声级dB（A），</w:t>
            </w:r>
          </w:p>
          <w:p w14:paraId="5E489124">
            <w:pPr>
              <w:adjustRightInd w:val="0"/>
              <w:spacing w:line="500" w:lineRule="exact"/>
              <w:ind w:firstLine="480" w:firstLineChars="200"/>
              <w:rPr>
                <w:kern w:val="0"/>
                <w:sz w:val="24"/>
                <w:szCs w:val="20"/>
              </w:rPr>
            </w:pPr>
            <w:r>
              <w:rPr>
                <w:rFonts w:hint="eastAsia"/>
                <w:kern w:val="0"/>
                <w:sz w:val="24"/>
                <w:szCs w:val="20"/>
              </w:rPr>
              <w:t>LA（r0）为参考位置r0处的A声级dB（A）；</w:t>
            </w:r>
          </w:p>
          <w:p w14:paraId="5189AE24">
            <w:pPr>
              <w:adjustRightInd w:val="0"/>
              <w:spacing w:line="500" w:lineRule="exact"/>
              <w:ind w:firstLine="480" w:firstLineChars="200"/>
              <w:rPr>
                <w:kern w:val="0"/>
                <w:sz w:val="24"/>
                <w:szCs w:val="20"/>
              </w:rPr>
            </w:pPr>
            <w:r>
              <w:rPr>
                <w:rFonts w:hint="eastAsia"/>
                <w:kern w:val="0"/>
                <w:sz w:val="24"/>
                <w:szCs w:val="20"/>
              </w:rPr>
              <w:t>r为声源与预测点的距离（m）；</w:t>
            </w:r>
          </w:p>
          <w:p w14:paraId="75A4A2C3">
            <w:pPr>
              <w:adjustRightInd w:val="0"/>
              <w:spacing w:line="500" w:lineRule="exact"/>
              <w:ind w:firstLine="480" w:firstLineChars="200"/>
              <w:rPr>
                <w:kern w:val="0"/>
                <w:sz w:val="24"/>
                <w:szCs w:val="20"/>
              </w:rPr>
            </w:pPr>
            <w:r>
              <w:rPr>
                <w:rFonts w:hint="eastAsia"/>
                <w:kern w:val="0"/>
                <w:sz w:val="24"/>
                <w:szCs w:val="20"/>
              </w:rPr>
              <w:t>TL为机房墙体隔声量。</w:t>
            </w:r>
          </w:p>
          <w:p w14:paraId="4E5D0508">
            <w:pPr>
              <w:adjustRightInd w:val="0"/>
              <w:spacing w:line="500" w:lineRule="exact"/>
              <w:ind w:firstLine="480" w:firstLineChars="200"/>
              <w:jc w:val="left"/>
              <w:rPr>
                <w:kern w:val="0"/>
                <w:sz w:val="24"/>
                <w:szCs w:val="20"/>
              </w:rPr>
            </w:pPr>
            <w:r>
              <w:rPr>
                <w:rFonts w:hint="eastAsia"/>
                <w:kern w:val="0"/>
                <w:sz w:val="24"/>
                <w:szCs w:val="20"/>
              </w:rPr>
              <w:t>各设备取平均噪声源强，由于设备为整套运作，噪声声源位置距离较近，可近似为一个噪声声源，根据导则中推荐的计算公式进行能量叠加，结果约为80db（A），TL按15db（A）经验值计算。</w:t>
            </w:r>
          </w:p>
          <w:p w14:paraId="7F74364F">
            <w:pPr>
              <w:spacing w:line="500" w:lineRule="exact"/>
              <w:ind w:firstLine="480"/>
              <w:rPr>
                <w:kern w:val="0"/>
                <w:sz w:val="24"/>
              </w:rPr>
            </w:pPr>
            <w:r>
              <w:rPr>
                <w:kern w:val="0"/>
                <w:sz w:val="24"/>
              </w:rPr>
              <w:t xml:space="preserve"> 多个声压级不同声音的叠加模式</w:t>
            </w:r>
          </w:p>
          <w:p w14:paraId="357F970E">
            <w:pPr>
              <w:spacing w:line="500" w:lineRule="exact"/>
              <w:ind w:left="420" w:leftChars="200" w:firstLine="480"/>
              <w:rPr>
                <w:kern w:val="0"/>
                <w:sz w:val="24"/>
              </w:rPr>
            </w:pPr>
            <w:r>
              <w:rPr>
                <w:kern w:val="0"/>
                <w:sz w:val="24"/>
              </w:rPr>
              <w:t xml:space="preserve">      </w:t>
            </w:r>
            <w:r>
              <w:rPr>
                <w:position w:val="-10"/>
                <w:sz w:val="24"/>
              </w:rPr>
              <w:drawing>
                <wp:inline distT="0" distB="0" distL="0" distR="0">
                  <wp:extent cx="2657475" cy="2381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57475" cy="238125"/>
                          </a:xfrm>
                          <a:prstGeom prst="rect">
                            <a:avLst/>
                          </a:prstGeom>
                          <a:noFill/>
                          <a:ln>
                            <a:noFill/>
                          </a:ln>
                        </pic:spPr>
                      </pic:pic>
                    </a:graphicData>
                  </a:graphic>
                </wp:inline>
              </w:drawing>
            </w:r>
            <w:r>
              <w:rPr>
                <w:kern w:val="0"/>
                <w:sz w:val="24"/>
              </w:rPr>
              <w:t xml:space="preserve"> </w:t>
            </w:r>
          </w:p>
          <w:p w14:paraId="5B8D22F2">
            <w:pPr>
              <w:tabs>
                <w:tab w:val="center" w:pos="4464"/>
              </w:tabs>
              <w:spacing w:line="500" w:lineRule="exact"/>
              <w:ind w:left="420" w:leftChars="200" w:firstLine="480"/>
              <w:rPr>
                <w:kern w:val="0"/>
                <w:sz w:val="24"/>
              </w:rPr>
            </w:pPr>
            <w:r>
              <w:rPr>
                <w:kern w:val="0"/>
                <w:sz w:val="24"/>
              </w:rPr>
              <w:t xml:space="preserve"> 其中：L——总噪声值  dB</w:t>
            </w:r>
          </w:p>
          <w:p w14:paraId="64B055B8">
            <w:pPr>
              <w:adjustRightInd w:val="0"/>
              <w:spacing w:line="500" w:lineRule="exact"/>
              <w:ind w:firstLine="1200" w:firstLineChars="500"/>
              <w:jc w:val="left"/>
              <w:rPr>
                <w:kern w:val="0"/>
                <w:sz w:val="24"/>
                <w:szCs w:val="20"/>
              </w:rPr>
            </w:pPr>
            <w:r>
              <w:rPr>
                <w:kern w:val="0"/>
                <w:sz w:val="24"/>
                <w:szCs w:val="20"/>
              </w:rPr>
              <w:t xml:space="preserve"> </w:t>
            </w:r>
            <w:r>
              <w:rPr>
                <w:rFonts w:hint="eastAsia"/>
                <w:kern w:val="0"/>
                <w:sz w:val="24"/>
                <w:szCs w:val="20"/>
              </w:rPr>
              <w:t xml:space="preserve"> </w:t>
            </w:r>
            <w:r>
              <w:rPr>
                <w:kern w:val="0"/>
                <w:sz w:val="24"/>
                <w:szCs w:val="20"/>
              </w:rPr>
              <w:t xml:space="preserve">   L1、L2、L3——各不同声源的噪声值dB</w:t>
            </w:r>
          </w:p>
          <w:p w14:paraId="56F558A8">
            <w:pPr>
              <w:spacing w:line="500" w:lineRule="exact"/>
              <w:ind w:firstLine="482"/>
              <w:rPr>
                <w:kern w:val="0"/>
                <w:sz w:val="24"/>
                <w:szCs w:val="20"/>
              </w:rPr>
            </w:pPr>
            <w:r>
              <w:rPr>
                <w:rFonts w:hint="eastAsia"/>
                <w:kern w:val="0"/>
                <w:sz w:val="24"/>
                <w:szCs w:val="20"/>
              </w:rPr>
              <w:t>本项目噪声预测结果见表4-</w:t>
            </w:r>
            <w:r>
              <w:rPr>
                <w:rFonts w:hint="eastAsia"/>
                <w:kern w:val="0"/>
                <w:sz w:val="24"/>
                <w:szCs w:val="20"/>
                <w:lang w:val="en-US" w:eastAsia="zh-CN"/>
              </w:rPr>
              <w:t>6</w:t>
            </w:r>
            <w:r>
              <w:rPr>
                <w:rFonts w:hint="eastAsia"/>
                <w:kern w:val="0"/>
                <w:sz w:val="24"/>
                <w:szCs w:val="20"/>
              </w:rPr>
              <w:t>。</w:t>
            </w:r>
          </w:p>
          <w:p w14:paraId="46B3F49A">
            <w:pPr>
              <w:pStyle w:val="51"/>
              <w:numPr>
                <w:ilvl w:val="2"/>
                <w:numId w:val="7"/>
              </w:numPr>
              <w:spacing w:line="500" w:lineRule="atLeast"/>
              <w:ind w:firstLineChars="0"/>
              <w:jc w:val="center"/>
              <w:rPr>
                <w:b/>
                <w:sz w:val="24"/>
              </w:rPr>
            </w:pPr>
            <w:r>
              <w:rPr>
                <w:b/>
                <w:sz w:val="24"/>
              </w:rPr>
              <w:t>噪声预测结果</w:t>
            </w:r>
            <w:r>
              <w:rPr>
                <w:rFonts w:hint="eastAsia"/>
                <w:b/>
                <w:sz w:val="24"/>
              </w:rPr>
              <w:t xml:space="preserve">  </w:t>
            </w:r>
            <w:r>
              <w:rPr>
                <w:b/>
                <w:sz w:val="24"/>
              </w:rPr>
              <w:t>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988"/>
              <w:gridCol w:w="469"/>
              <w:gridCol w:w="471"/>
              <w:gridCol w:w="470"/>
              <w:gridCol w:w="402"/>
              <w:gridCol w:w="402"/>
              <w:gridCol w:w="404"/>
              <w:gridCol w:w="541"/>
              <w:gridCol w:w="541"/>
              <w:gridCol w:w="541"/>
              <w:gridCol w:w="541"/>
              <w:gridCol w:w="449"/>
              <w:gridCol w:w="449"/>
              <w:gridCol w:w="403"/>
              <w:gridCol w:w="403"/>
            </w:tblGrid>
            <w:tr w14:paraId="5CA4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1" w:type="dxa"/>
                  <w:vMerge w:val="restart"/>
                  <w:vAlign w:val="center"/>
                </w:tcPr>
                <w:p w14:paraId="1767F1F9">
                  <w:pPr>
                    <w:jc w:val="center"/>
                    <w:rPr>
                      <w:sz w:val="18"/>
                      <w:szCs w:val="18"/>
                    </w:rPr>
                  </w:pPr>
                  <w:r>
                    <w:rPr>
                      <w:rFonts w:hint="eastAsia"/>
                      <w:sz w:val="18"/>
                      <w:szCs w:val="18"/>
                    </w:rPr>
                    <w:t>序号</w:t>
                  </w:r>
                </w:p>
              </w:tc>
              <w:tc>
                <w:tcPr>
                  <w:tcW w:w="988" w:type="dxa"/>
                  <w:vMerge w:val="restart"/>
                  <w:vAlign w:val="center"/>
                </w:tcPr>
                <w:p w14:paraId="69663DA2">
                  <w:pPr>
                    <w:jc w:val="center"/>
                    <w:rPr>
                      <w:sz w:val="18"/>
                      <w:szCs w:val="18"/>
                    </w:rPr>
                  </w:pPr>
                  <w:r>
                    <w:rPr>
                      <w:rFonts w:hint="eastAsia"/>
                      <w:sz w:val="18"/>
                      <w:szCs w:val="18"/>
                    </w:rPr>
                    <w:t>声环境保护目标名称</w:t>
                  </w:r>
                </w:p>
              </w:tc>
              <w:tc>
                <w:tcPr>
                  <w:tcW w:w="940" w:type="dxa"/>
                  <w:gridSpan w:val="2"/>
                  <w:vAlign w:val="center"/>
                </w:tcPr>
                <w:p w14:paraId="1B758B6C">
                  <w:pPr>
                    <w:jc w:val="center"/>
                    <w:rPr>
                      <w:sz w:val="18"/>
                      <w:szCs w:val="18"/>
                    </w:rPr>
                  </w:pPr>
                  <w:r>
                    <w:rPr>
                      <w:rFonts w:hint="eastAsia"/>
                      <w:sz w:val="18"/>
                      <w:szCs w:val="18"/>
                    </w:rPr>
                    <w:t>噪声背景值/dB(A)</w:t>
                  </w:r>
                </w:p>
              </w:tc>
              <w:tc>
                <w:tcPr>
                  <w:tcW w:w="872" w:type="dxa"/>
                  <w:gridSpan w:val="2"/>
                  <w:vAlign w:val="center"/>
                </w:tcPr>
                <w:p w14:paraId="2A7C46D3">
                  <w:pPr>
                    <w:jc w:val="center"/>
                    <w:rPr>
                      <w:sz w:val="18"/>
                      <w:szCs w:val="18"/>
                    </w:rPr>
                  </w:pPr>
                  <w:r>
                    <w:rPr>
                      <w:rFonts w:hint="eastAsia"/>
                      <w:sz w:val="18"/>
                      <w:szCs w:val="18"/>
                    </w:rPr>
                    <w:t>噪声现状值/dB(A)</w:t>
                  </w:r>
                </w:p>
              </w:tc>
              <w:tc>
                <w:tcPr>
                  <w:tcW w:w="806" w:type="dxa"/>
                  <w:gridSpan w:val="2"/>
                  <w:vAlign w:val="center"/>
                </w:tcPr>
                <w:p w14:paraId="46DB4FC3">
                  <w:pPr>
                    <w:jc w:val="center"/>
                    <w:rPr>
                      <w:sz w:val="18"/>
                      <w:szCs w:val="18"/>
                    </w:rPr>
                  </w:pPr>
                  <w:r>
                    <w:rPr>
                      <w:rFonts w:hint="eastAsia"/>
                      <w:sz w:val="18"/>
                      <w:szCs w:val="18"/>
                    </w:rPr>
                    <w:t>噪声标准/dB(A)</w:t>
                  </w:r>
                </w:p>
              </w:tc>
              <w:tc>
                <w:tcPr>
                  <w:tcW w:w="1082" w:type="dxa"/>
                  <w:gridSpan w:val="2"/>
                  <w:vAlign w:val="center"/>
                </w:tcPr>
                <w:p w14:paraId="6C532BC0">
                  <w:pPr>
                    <w:jc w:val="center"/>
                    <w:rPr>
                      <w:sz w:val="18"/>
                      <w:szCs w:val="18"/>
                    </w:rPr>
                  </w:pPr>
                  <w:r>
                    <w:rPr>
                      <w:rFonts w:hint="eastAsia"/>
                      <w:sz w:val="18"/>
                      <w:szCs w:val="18"/>
                    </w:rPr>
                    <w:t>噪声贡献值/dB(A)</w:t>
                  </w:r>
                </w:p>
              </w:tc>
              <w:tc>
                <w:tcPr>
                  <w:tcW w:w="1082" w:type="dxa"/>
                  <w:gridSpan w:val="2"/>
                  <w:vAlign w:val="center"/>
                </w:tcPr>
                <w:p w14:paraId="2B80A83C">
                  <w:pPr>
                    <w:jc w:val="center"/>
                    <w:rPr>
                      <w:sz w:val="18"/>
                      <w:szCs w:val="18"/>
                    </w:rPr>
                  </w:pPr>
                  <w:r>
                    <w:rPr>
                      <w:rFonts w:hint="eastAsia"/>
                      <w:sz w:val="18"/>
                      <w:szCs w:val="18"/>
                    </w:rPr>
                    <w:t>噪声预测值/dB(A)</w:t>
                  </w:r>
                </w:p>
              </w:tc>
              <w:tc>
                <w:tcPr>
                  <w:tcW w:w="898" w:type="dxa"/>
                  <w:gridSpan w:val="2"/>
                  <w:vAlign w:val="center"/>
                </w:tcPr>
                <w:p w14:paraId="1545349F">
                  <w:pPr>
                    <w:jc w:val="center"/>
                    <w:rPr>
                      <w:sz w:val="18"/>
                      <w:szCs w:val="18"/>
                    </w:rPr>
                  </w:pPr>
                  <w:r>
                    <w:rPr>
                      <w:rFonts w:hint="eastAsia"/>
                      <w:sz w:val="18"/>
                      <w:szCs w:val="18"/>
                    </w:rPr>
                    <w:t>较现状增量/dB(A)</w:t>
                  </w:r>
                </w:p>
              </w:tc>
              <w:tc>
                <w:tcPr>
                  <w:tcW w:w="806" w:type="dxa"/>
                  <w:gridSpan w:val="2"/>
                  <w:vAlign w:val="center"/>
                </w:tcPr>
                <w:p w14:paraId="5CF2496F">
                  <w:pPr>
                    <w:jc w:val="center"/>
                    <w:rPr>
                      <w:sz w:val="18"/>
                      <w:szCs w:val="18"/>
                    </w:rPr>
                  </w:pPr>
                  <w:r>
                    <w:rPr>
                      <w:rFonts w:hint="eastAsia"/>
                      <w:sz w:val="18"/>
                      <w:szCs w:val="18"/>
                    </w:rPr>
                    <w:t>达标情况</w:t>
                  </w:r>
                </w:p>
              </w:tc>
            </w:tr>
            <w:tr w14:paraId="2D0D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dxa"/>
                  <w:vMerge w:val="continue"/>
                  <w:vAlign w:val="center"/>
                </w:tcPr>
                <w:p w14:paraId="2B892A70">
                  <w:pPr>
                    <w:jc w:val="center"/>
                    <w:rPr>
                      <w:sz w:val="18"/>
                      <w:szCs w:val="18"/>
                    </w:rPr>
                  </w:pPr>
                </w:p>
              </w:tc>
              <w:tc>
                <w:tcPr>
                  <w:tcW w:w="988" w:type="dxa"/>
                  <w:vMerge w:val="continue"/>
                  <w:vAlign w:val="center"/>
                </w:tcPr>
                <w:p w14:paraId="4D943683">
                  <w:pPr>
                    <w:jc w:val="center"/>
                    <w:rPr>
                      <w:sz w:val="18"/>
                      <w:szCs w:val="18"/>
                    </w:rPr>
                  </w:pPr>
                </w:p>
              </w:tc>
              <w:tc>
                <w:tcPr>
                  <w:tcW w:w="469" w:type="dxa"/>
                  <w:vAlign w:val="center"/>
                </w:tcPr>
                <w:p w14:paraId="26CBD746">
                  <w:pPr>
                    <w:jc w:val="center"/>
                    <w:rPr>
                      <w:sz w:val="18"/>
                      <w:szCs w:val="18"/>
                    </w:rPr>
                  </w:pPr>
                  <w:r>
                    <w:rPr>
                      <w:rFonts w:hint="eastAsia"/>
                      <w:sz w:val="18"/>
                      <w:szCs w:val="18"/>
                    </w:rPr>
                    <w:t>昼间</w:t>
                  </w:r>
                </w:p>
              </w:tc>
              <w:tc>
                <w:tcPr>
                  <w:tcW w:w="471" w:type="dxa"/>
                  <w:vAlign w:val="center"/>
                </w:tcPr>
                <w:p w14:paraId="5C24ED7A">
                  <w:pPr>
                    <w:jc w:val="center"/>
                    <w:rPr>
                      <w:sz w:val="18"/>
                      <w:szCs w:val="18"/>
                    </w:rPr>
                  </w:pPr>
                  <w:r>
                    <w:rPr>
                      <w:rFonts w:hint="eastAsia"/>
                      <w:sz w:val="18"/>
                      <w:szCs w:val="18"/>
                    </w:rPr>
                    <w:t>夜间</w:t>
                  </w:r>
                </w:p>
              </w:tc>
              <w:tc>
                <w:tcPr>
                  <w:tcW w:w="470" w:type="dxa"/>
                  <w:vAlign w:val="center"/>
                </w:tcPr>
                <w:p w14:paraId="2B3B5917">
                  <w:pPr>
                    <w:jc w:val="center"/>
                    <w:rPr>
                      <w:sz w:val="18"/>
                      <w:szCs w:val="18"/>
                    </w:rPr>
                  </w:pPr>
                  <w:r>
                    <w:rPr>
                      <w:rFonts w:hint="eastAsia"/>
                      <w:sz w:val="18"/>
                      <w:szCs w:val="18"/>
                    </w:rPr>
                    <w:t>昼间</w:t>
                  </w:r>
                </w:p>
              </w:tc>
              <w:tc>
                <w:tcPr>
                  <w:tcW w:w="402" w:type="dxa"/>
                  <w:vAlign w:val="center"/>
                </w:tcPr>
                <w:p w14:paraId="0CDBE200">
                  <w:pPr>
                    <w:jc w:val="center"/>
                    <w:rPr>
                      <w:sz w:val="18"/>
                      <w:szCs w:val="18"/>
                    </w:rPr>
                  </w:pPr>
                  <w:r>
                    <w:rPr>
                      <w:rFonts w:hint="eastAsia"/>
                      <w:sz w:val="18"/>
                      <w:szCs w:val="18"/>
                    </w:rPr>
                    <w:t>夜间</w:t>
                  </w:r>
                </w:p>
              </w:tc>
              <w:tc>
                <w:tcPr>
                  <w:tcW w:w="402" w:type="dxa"/>
                  <w:vAlign w:val="center"/>
                </w:tcPr>
                <w:p w14:paraId="77E255BF">
                  <w:pPr>
                    <w:jc w:val="center"/>
                    <w:rPr>
                      <w:sz w:val="18"/>
                      <w:szCs w:val="18"/>
                    </w:rPr>
                  </w:pPr>
                  <w:r>
                    <w:rPr>
                      <w:rFonts w:hint="eastAsia"/>
                      <w:sz w:val="18"/>
                      <w:szCs w:val="18"/>
                    </w:rPr>
                    <w:t>昼间</w:t>
                  </w:r>
                </w:p>
              </w:tc>
              <w:tc>
                <w:tcPr>
                  <w:tcW w:w="404" w:type="dxa"/>
                  <w:vAlign w:val="center"/>
                </w:tcPr>
                <w:p w14:paraId="0340256D">
                  <w:pPr>
                    <w:jc w:val="center"/>
                    <w:rPr>
                      <w:sz w:val="18"/>
                      <w:szCs w:val="18"/>
                    </w:rPr>
                  </w:pPr>
                  <w:r>
                    <w:rPr>
                      <w:rFonts w:hint="eastAsia"/>
                      <w:sz w:val="18"/>
                      <w:szCs w:val="18"/>
                    </w:rPr>
                    <w:t>夜间</w:t>
                  </w:r>
                </w:p>
              </w:tc>
              <w:tc>
                <w:tcPr>
                  <w:tcW w:w="541" w:type="dxa"/>
                  <w:vAlign w:val="center"/>
                </w:tcPr>
                <w:p w14:paraId="6C8F6B36">
                  <w:pPr>
                    <w:jc w:val="center"/>
                    <w:rPr>
                      <w:sz w:val="18"/>
                      <w:szCs w:val="18"/>
                    </w:rPr>
                  </w:pPr>
                  <w:r>
                    <w:rPr>
                      <w:rFonts w:hint="eastAsia"/>
                      <w:sz w:val="18"/>
                      <w:szCs w:val="18"/>
                    </w:rPr>
                    <w:t>昼间</w:t>
                  </w:r>
                </w:p>
              </w:tc>
              <w:tc>
                <w:tcPr>
                  <w:tcW w:w="541" w:type="dxa"/>
                  <w:vAlign w:val="center"/>
                </w:tcPr>
                <w:p w14:paraId="5994B394">
                  <w:pPr>
                    <w:jc w:val="center"/>
                    <w:rPr>
                      <w:sz w:val="18"/>
                      <w:szCs w:val="18"/>
                    </w:rPr>
                  </w:pPr>
                  <w:r>
                    <w:rPr>
                      <w:rFonts w:hint="eastAsia"/>
                      <w:sz w:val="18"/>
                      <w:szCs w:val="18"/>
                    </w:rPr>
                    <w:t>夜间</w:t>
                  </w:r>
                </w:p>
              </w:tc>
              <w:tc>
                <w:tcPr>
                  <w:tcW w:w="541" w:type="dxa"/>
                  <w:vAlign w:val="center"/>
                </w:tcPr>
                <w:p w14:paraId="035B183E">
                  <w:pPr>
                    <w:jc w:val="center"/>
                    <w:rPr>
                      <w:sz w:val="18"/>
                      <w:szCs w:val="18"/>
                    </w:rPr>
                  </w:pPr>
                  <w:r>
                    <w:rPr>
                      <w:rFonts w:hint="eastAsia"/>
                      <w:sz w:val="18"/>
                      <w:szCs w:val="18"/>
                    </w:rPr>
                    <w:t>昼间</w:t>
                  </w:r>
                </w:p>
              </w:tc>
              <w:tc>
                <w:tcPr>
                  <w:tcW w:w="541" w:type="dxa"/>
                  <w:vAlign w:val="center"/>
                </w:tcPr>
                <w:p w14:paraId="5448437B">
                  <w:pPr>
                    <w:jc w:val="center"/>
                    <w:rPr>
                      <w:sz w:val="18"/>
                      <w:szCs w:val="18"/>
                    </w:rPr>
                  </w:pPr>
                  <w:r>
                    <w:rPr>
                      <w:rFonts w:hint="eastAsia"/>
                      <w:sz w:val="18"/>
                      <w:szCs w:val="18"/>
                    </w:rPr>
                    <w:t>夜间</w:t>
                  </w:r>
                </w:p>
              </w:tc>
              <w:tc>
                <w:tcPr>
                  <w:tcW w:w="449" w:type="dxa"/>
                  <w:vAlign w:val="center"/>
                </w:tcPr>
                <w:p w14:paraId="5DD9E180">
                  <w:pPr>
                    <w:jc w:val="center"/>
                    <w:rPr>
                      <w:sz w:val="18"/>
                      <w:szCs w:val="18"/>
                    </w:rPr>
                  </w:pPr>
                  <w:r>
                    <w:rPr>
                      <w:rFonts w:hint="eastAsia"/>
                      <w:sz w:val="18"/>
                      <w:szCs w:val="18"/>
                    </w:rPr>
                    <w:t>昼间</w:t>
                  </w:r>
                </w:p>
              </w:tc>
              <w:tc>
                <w:tcPr>
                  <w:tcW w:w="449" w:type="dxa"/>
                  <w:vAlign w:val="center"/>
                </w:tcPr>
                <w:p w14:paraId="2C3C0176">
                  <w:pPr>
                    <w:jc w:val="center"/>
                    <w:rPr>
                      <w:sz w:val="18"/>
                      <w:szCs w:val="18"/>
                    </w:rPr>
                  </w:pPr>
                  <w:r>
                    <w:rPr>
                      <w:rFonts w:hint="eastAsia"/>
                      <w:sz w:val="18"/>
                      <w:szCs w:val="18"/>
                    </w:rPr>
                    <w:t>夜间</w:t>
                  </w:r>
                </w:p>
              </w:tc>
              <w:tc>
                <w:tcPr>
                  <w:tcW w:w="403" w:type="dxa"/>
                  <w:vAlign w:val="center"/>
                </w:tcPr>
                <w:p w14:paraId="78C50ED9">
                  <w:pPr>
                    <w:jc w:val="center"/>
                    <w:rPr>
                      <w:sz w:val="18"/>
                      <w:szCs w:val="18"/>
                    </w:rPr>
                  </w:pPr>
                  <w:r>
                    <w:rPr>
                      <w:rFonts w:hint="eastAsia"/>
                      <w:sz w:val="18"/>
                      <w:szCs w:val="18"/>
                    </w:rPr>
                    <w:t>昼间</w:t>
                  </w:r>
                </w:p>
              </w:tc>
              <w:tc>
                <w:tcPr>
                  <w:tcW w:w="403" w:type="dxa"/>
                  <w:vAlign w:val="center"/>
                </w:tcPr>
                <w:p w14:paraId="3BCEA547">
                  <w:pPr>
                    <w:jc w:val="center"/>
                    <w:rPr>
                      <w:sz w:val="18"/>
                      <w:szCs w:val="18"/>
                    </w:rPr>
                  </w:pPr>
                  <w:r>
                    <w:rPr>
                      <w:rFonts w:hint="eastAsia"/>
                      <w:sz w:val="18"/>
                      <w:szCs w:val="18"/>
                    </w:rPr>
                    <w:t>夜间</w:t>
                  </w:r>
                </w:p>
              </w:tc>
            </w:tr>
            <w:tr w14:paraId="5BAD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dxa"/>
                  <w:vAlign w:val="center"/>
                </w:tcPr>
                <w:p w14:paraId="04580C12">
                  <w:pPr>
                    <w:jc w:val="center"/>
                    <w:rPr>
                      <w:sz w:val="18"/>
                      <w:szCs w:val="18"/>
                    </w:rPr>
                  </w:pPr>
                  <w:r>
                    <w:rPr>
                      <w:rFonts w:hint="eastAsia"/>
                      <w:sz w:val="18"/>
                      <w:szCs w:val="18"/>
                    </w:rPr>
                    <w:t>1</w:t>
                  </w:r>
                </w:p>
              </w:tc>
              <w:tc>
                <w:tcPr>
                  <w:tcW w:w="988" w:type="dxa"/>
                  <w:vAlign w:val="center"/>
                </w:tcPr>
                <w:p w14:paraId="02F42A1E">
                  <w:pPr>
                    <w:jc w:val="center"/>
                    <w:rPr>
                      <w:sz w:val="18"/>
                      <w:szCs w:val="18"/>
                    </w:rPr>
                  </w:pPr>
                  <w:r>
                    <w:rPr>
                      <w:rFonts w:hint="eastAsia"/>
                      <w:sz w:val="18"/>
                      <w:szCs w:val="18"/>
                    </w:rPr>
                    <w:t>东面厂界</w:t>
                  </w:r>
                </w:p>
              </w:tc>
              <w:tc>
                <w:tcPr>
                  <w:tcW w:w="469" w:type="dxa"/>
                  <w:vAlign w:val="center"/>
                </w:tcPr>
                <w:p w14:paraId="797B336A">
                  <w:pPr>
                    <w:jc w:val="center"/>
                    <w:rPr>
                      <w:rFonts w:hint="default" w:eastAsia="宋体"/>
                      <w:sz w:val="18"/>
                      <w:szCs w:val="18"/>
                      <w:lang w:val="en-US" w:eastAsia="zh-CN"/>
                    </w:rPr>
                  </w:pPr>
                  <w:r>
                    <w:rPr>
                      <w:rFonts w:hint="eastAsia"/>
                      <w:sz w:val="18"/>
                      <w:szCs w:val="18"/>
                      <w:lang w:val="en-US" w:eastAsia="zh-CN"/>
                    </w:rPr>
                    <w:t>53.40</w:t>
                  </w:r>
                </w:p>
              </w:tc>
              <w:tc>
                <w:tcPr>
                  <w:tcW w:w="471" w:type="dxa"/>
                  <w:vAlign w:val="center"/>
                </w:tcPr>
                <w:p w14:paraId="24DA52FD">
                  <w:pPr>
                    <w:jc w:val="center"/>
                    <w:rPr>
                      <w:rFonts w:hint="default" w:eastAsia="宋体"/>
                      <w:sz w:val="18"/>
                      <w:szCs w:val="18"/>
                      <w:lang w:val="en-US" w:eastAsia="zh-CN"/>
                    </w:rPr>
                  </w:pPr>
                  <w:r>
                    <w:rPr>
                      <w:rFonts w:hint="eastAsia"/>
                      <w:sz w:val="18"/>
                      <w:szCs w:val="18"/>
                      <w:lang w:val="en-US" w:eastAsia="zh-CN"/>
                    </w:rPr>
                    <w:t>48.50</w:t>
                  </w:r>
                </w:p>
              </w:tc>
              <w:tc>
                <w:tcPr>
                  <w:tcW w:w="470" w:type="dxa"/>
                  <w:vAlign w:val="center"/>
                </w:tcPr>
                <w:p w14:paraId="1D91771D">
                  <w:pPr>
                    <w:ind w:left="-105" w:leftChars="-50" w:right="-105" w:rightChars="-50"/>
                    <w:jc w:val="center"/>
                    <w:rPr>
                      <w:sz w:val="18"/>
                      <w:szCs w:val="18"/>
                    </w:rPr>
                  </w:pPr>
                  <w:r>
                    <w:rPr>
                      <w:rFonts w:hint="eastAsia"/>
                      <w:sz w:val="18"/>
                      <w:szCs w:val="18"/>
                    </w:rPr>
                    <w:t>—</w:t>
                  </w:r>
                </w:p>
              </w:tc>
              <w:tc>
                <w:tcPr>
                  <w:tcW w:w="402" w:type="dxa"/>
                  <w:vAlign w:val="center"/>
                </w:tcPr>
                <w:p w14:paraId="14C46C03">
                  <w:pPr>
                    <w:ind w:left="-105" w:leftChars="-50" w:right="-105" w:rightChars="-50"/>
                    <w:jc w:val="center"/>
                    <w:rPr>
                      <w:sz w:val="18"/>
                      <w:szCs w:val="18"/>
                    </w:rPr>
                  </w:pPr>
                  <w:r>
                    <w:rPr>
                      <w:rFonts w:hint="eastAsia"/>
                      <w:sz w:val="18"/>
                      <w:szCs w:val="18"/>
                    </w:rPr>
                    <w:t>—</w:t>
                  </w:r>
                </w:p>
              </w:tc>
              <w:tc>
                <w:tcPr>
                  <w:tcW w:w="402" w:type="dxa"/>
                  <w:vAlign w:val="center"/>
                </w:tcPr>
                <w:p w14:paraId="4F2574CC">
                  <w:pPr>
                    <w:jc w:val="center"/>
                    <w:rPr>
                      <w:sz w:val="18"/>
                      <w:szCs w:val="18"/>
                    </w:rPr>
                  </w:pPr>
                  <w:r>
                    <w:rPr>
                      <w:rFonts w:hint="eastAsia"/>
                      <w:sz w:val="18"/>
                      <w:szCs w:val="18"/>
                    </w:rPr>
                    <w:t>65</w:t>
                  </w:r>
                </w:p>
              </w:tc>
              <w:tc>
                <w:tcPr>
                  <w:tcW w:w="404" w:type="dxa"/>
                  <w:vAlign w:val="center"/>
                </w:tcPr>
                <w:p w14:paraId="7E588648">
                  <w:pPr>
                    <w:jc w:val="center"/>
                    <w:rPr>
                      <w:sz w:val="18"/>
                      <w:szCs w:val="18"/>
                    </w:rPr>
                  </w:pPr>
                  <w:r>
                    <w:rPr>
                      <w:rFonts w:hint="eastAsia"/>
                      <w:sz w:val="18"/>
                      <w:szCs w:val="18"/>
                    </w:rPr>
                    <w:t>55</w:t>
                  </w:r>
                </w:p>
              </w:tc>
              <w:tc>
                <w:tcPr>
                  <w:tcW w:w="541" w:type="dxa"/>
                  <w:vAlign w:val="center"/>
                </w:tcPr>
                <w:p w14:paraId="7D429B3A">
                  <w:pPr>
                    <w:ind w:left="-105" w:leftChars="-50" w:right="-105" w:rightChars="-50"/>
                    <w:jc w:val="center"/>
                    <w:rPr>
                      <w:rFonts w:hint="default" w:eastAsia="宋体"/>
                      <w:sz w:val="18"/>
                      <w:szCs w:val="18"/>
                      <w:lang w:val="en-US" w:eastAsia="zh-CN"/>
                    </w:rPr>
                  </w:pPr>
                  <w:r>
                    <w:rPr>
                      <w:rFonts w:hint="eastAsia"/>
                      <w:sz w:val="18"/>
                      <w:szCs w:val="18"/>
                      <w:lang w:val="en-US" w:eastAsia="zh-CN"/>
                    </w:rPr>
                    <w:t>24.51</w:t>
                  </w:r>
                </w:p>
              </w:tc>
              <w:tc>
                <w:tcPr>
                  <w:tcW w:w="541" w:type="dxa"/>
                  <w:shd w:val="clear" w:color="auto" w:fill="auto"/>
                  <w:vAlign w:val="center"/>
                </w:tcPr>
                <w:p w14:paraId="66426313">
                  <w:pPr>
                    <w:ind w:left="-105" w:leftChars="-50" w:right="-105" w:rightChars="-50"/>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24.51</w:t>
                  </w:r>
                </w:p>
              </w:tc>
              <w:tc>
                <w:tcPr>
                  <w:tcW w:w="541" w:type="dxa"/>
                  <w:shd w:val="clear" w:color="auto" w:fill="auto"/>
                  <w:vAlign w:val="center"/>
                </w:tcPr>
                <w:p w14:paraId="7E9B3C53">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53.41</w:t>
                  </w:r>
                </w:p>
              </w:tc>
              <w:tc>
                <w:tcPr>
                  <w:tcW w:w="541" w:type="dxa"/>
                  <w:shd w:val="clear" w:color="auto" w:fill="auto"/>
                  <w:vAlign w:val="center"/>
                </w:tcPr>
                <w:p w14:paraId="65C053C3">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48.52</w:t>
                  </w:r>
                </w:p>
              </w:tc>
              <w:tc>
                <w:tcPr>
                  <w:tcW w:w="449" w:type="dxa"/>
                  <w:vAlign w:val="center"/>
                </w:tcPr>
                <w:p w14:paraId="72AFB002">
                  <w:pPr>
                    <w:jc w:val="center"/>
                    <w:rPr>
                      <w:rFonts w:hint="default" w:eastAsia="宋体"/>
                      <w:sz w:val="18"/>
                      <w:szCs w:val="18"/>
                      <w:lang w:val="en-US" w:eastAsia="zh-CN"/>
                    </w:rPr>
                  </w:pPr>
                  <w:r>
                    <w:rPr>
                      <w:rFonts w:hint="eastAsia"/>
                      <w:sz w:val="18"/>
                      <w:szCs w:val="18"/>
                    </w:rPr>
                    <w:t>0.</w:t>
                  </w:r>
                  <w:r>
                    <w:rPr>
                      <w:rFonts w:hint="eastAsia"/>
                      <w:sz w:val="18"/>
                      <w:szCs w:val="18"/>
                      <w:lang w:val="en-US" w:eastAsia="zh-CN"/>
                    </w:rPr>
                    <w:t>01</w:t>
                  </w:r>
                </w:p>
              </w:tc>
              <w:tc>
                <w:tcPr>
                  <w:tcW w:w="449" w:type="dxa"/>
                  <w:vAlign w:val="center"/>
                </w:tcPr>
                <w:p w14:paraId="416B9BE9">
                  <w:pPr>
                    <w:jc w:val="center"/>
                    <w:rPr>
                      <w:sz w:val="18"/>
                      <w:szCs w:val="18"/>
                    </w:rPr>
                  </w:pPr>
                  <w:r>
                    <w:rPr>
                      <w:rFonts w:hint="eastAsia"/>
                      <w:sz w:val="18"/>
                      <w:szCs w:val="18"/>
                    </w:rPr>
                    <w:t>0.01</w:t>
                  </w:r>
                </w:p>
              </w:tc>
              <w:tc>
                <w:tcPr>
                  <w:tcW w:w="403" w:type="dxa"/>
                  <w:vAlign w:val="center"/>
                </w:tcPr>
                <w:p w14:paraId="0D1E245E">
                  <w:pPr>
                    <w:jc w:val="center"/>
                    <w:rPr>
                      <w:sz w:val="18"/>
                      <w:szCs w:val="18"/>
                    </w:rPr>
                  </w:pPr>
                  <w:r>
                    <w:rPr>
                      <w:rFonts w:hint="eastAsia"/>
                      <w:sz w:val="18"/>
                      <w:szCs w:val="18"/>
                    </w:rPr>
                    <w:t>达标</w:t>
                  </w:r>
                </w:p>
              </w:tc>
              <w:tc>
                <w:tcPr>
                  <w:tcW w:w="403" w:type="dxa"/>
                  <w:vAlign w:val="center"/>
                </w:tcPr>
                <w:p w14:paraId="4551C3ED">
                  <w:pPr>
                    <w:jc w:val="center"/>
                    <w:rPr>
                      <w:sz w:val="18"/>
                      <w:szCs w:val="18"/>
                    </w:rPr>
                  </w:pPr>
                  <w:r>
                    <w:rPr>
                      <w:rFonts w:hint="eastAsia"/>
                      <w:sz w:val="18"/>
                      <w:szCs w:val="18"/>
                    </w:rPr>
                    <w:t>达标</w:t>
                  </w:r>
                </w:p>
              </w:tc>
            </w:tr>
            <w:tr w14:paraId="0E5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dxa"/>
                  <w:vAlign w:val="center"/>
                </w:tcPr>
                <w:p w14:paraId="7834BADB">
                  <w:pPr>
                    <w:jc w:val="center"/>
                    <w:rPr>
                      <w:sz w:val="18"/>
                      <w:szCs w:val="18"/>
                    </w:rPr>
                  </w:pPr>
                  <w:r>
                    <w:rPr>
                      <w:rFonts w:hint="eastAsia"/>
                      <w:sz w:val="18"/>
                      <w:szCs w:val="18"/>
                    </w:rPr>
                    <w:t>2</w:t>
                  </w:r>
                </w:p>
              </w:tc>
              <w:tc>
                <w:tcPr>
                  <w:tcW w:w="988" w:type="dxa"/>
                  <w:vAlign w:val="center"/>
                </w:tcPr>
                <w:p w14:paraId="7D334AE5">
                  <w:pPr>
                    <w:jc w:val="center"/>
                    <w:rPr>
                      <w:sz w:val="18"/>
                      <w:szCs w:val="18"/>
                    </w:rPr>
                  </w:pPr>
                  <w:r>
                    <w:rPr>
                      <w:rFonts w:hint="eastAsia"/>
                      <w:sz w:val="18"/>
                      <w:szCs w:val="18"/>
                    </w:rPr>
                    <w:t>南面厂界</w:t>
                  </w:r>
                </w:p>
              </w:tc>
              <w:tc>
                <w:tcPr>
                  <w:tcW w:w="469" w:type="dxa"/>
                  <w:vAlign w:val="center"/>
                </w:tcPr>
                <w:p w14:paraId="70FC705D">
                  <w:pPr>
                    <w:jc w:val="center"/>
                    <w:rPr>
                      <w:rFonts w:hint="default" w:eastAsia="宋体"/>
                      <w:sz w:val="18"/>
                      <w:szCs w:val="18"/>
                      <w:lang w:val="en-US" w:eastAsia="zh-CN"/>
                    </w:rPr>
                  </w:pPr>
                  <w:r>
                    <w:rPr>
                      <w:rFonts w:hint="eastAsia"/>
                      <w:sz w:val="18"/>
                      <w:szCs w:val="18"/>
                      <w:lang w:val="en-US" w:eastAsia="zh-CN"/>
                    </w:rPr>
                    <w:t>54.00</w:t>
                  </w:r>
                </w:p>
              </w:tc>
              <w:tc>
                <w:tcPr>
                  <w:tcW w:w="471" w:type="dxa"/>
                  <w:vAlign w:val="center"/>
                </w:tcPr>
                <w:p w14:paraId="12D46AF7">
                  <w:pPr>
                    <w:jc w:val="center"/>
                    <w:rPr>
                      <w:rFonts w:hint="default" w:eastAsia="宋体"/>
                      <w:sz w:val="18"/>
                      <w:szCs w:val="18"/>
                      <w:lang w:val="en-US" w:eastAsia="zh-CN"/>
                    </w:rPr>
                  </w:pPr>
                  <w:r>
                    <w:rPr>
                      <w:rFonts w:hint="eastAsia"/>
                      <w:sz w:val="18"/>
                      <w:szCs w:val="18"/>
                      <w:lang w:val="en-US" w:eastAsia="zh-CN"/>
                    </w:rPr>
                    <w:t>49.70</w:t>
                  </w:r>
                </w:p>
              </w:tc>
              <w:tc>
                <w:tcPr>
                  <w:tcW w:w="470" w:type="dxa"/>
                  <w:vAlign w:val="center"/>
                </w:tcPr>
                <w:p w14:paraId="0D65F3F9">
                  <w:pPr>
                    <w:ind w:left="-105" w:leftChars="-50" w:right="-105" w:rightChars="-50"/>
                    <w:jc w:val="center"/>
                    <w:rPr>
                      <w:sz w:val="18"/>
                      <w:szCs w:val="18"/>
                    </w:rPr>
                  </w:pPr>
                  <w:r>
                    <w:rPr>
                      <w:rFonts w:hint="eastAsia"/>
                      <w:sz w:val="18"/>
                      <w:szCs w:val="18"/>
                    </w:rPr>
                    <w:t>—</w:t>
                  </w:r>
                </w:p>
              </w:tc>
              <w:tc>
                <w:tcPr>
                  <w:tcW w:w="402" w:type="dxa"/>
                  <w:vAlign w:val="center"/>
                </w:tcPr>
                <w:p w14:paraId="189C0CFB">
                  <w:pPr>
                    <w:ind w:left="-105" w:leftChars="-50" w:right="-105" w:rightChars="-50"/>
                    <w:jc w:val="center"/>
                    <w:rPr>
                      <w:sz w:val="18"/>
                      <w:szCs w:val="18"/>
                    </w:rPr>
                  </w:pPr>
                  <w:r>
                    <w:rPr>
                      <w:rFonts w:hint="eastAsia"/>
                      <w:sz w:val="18"/>
                      <w:szCs w:val="18"/>
                    </w:rPr>
                    <w:t>—</w:t>
                  </w:r>
                </w:p>
              </w:tc>
              <w:tc>
                <w:tcPr>
                  <w:tcW w:w="402" w:type="dxa"/>
                  <w:vAlign w:val="center"/>
                </w:tcPr>
                <w:p w14:paraId="4DFE1ECB">
                  <w:pPr>
                    <w:jc w:val="center"/>
                    <w:rPr>
                      <w:sz w:val="18"/>
                      <w:szCs w:val="18"/>
                    </w:rPr>
                  </w:pPr>
                  <w:r>
                    <w:rPr>
                      <w:rFonts w:hint="eastAsia"/>
                      <w:sz w:val="18"/>
                      <w:szCs w:val="18"/>
                    </w:rPr>
                    <w:t>65</w:t>
                  </w:r>
                </w:p>
              </w:tc>
              <w:tc>
                <w:tcPr>
                  <w:tcW w:w="404" w:type="dxa"/>
                  <w:vAlign w:val="center"/>
                </w:tcPr>
                <w:p w14:paraId="3551AE93">
                  <w:pPr>
                    <w:jc w:val="center"/>
                    <w:rPr>
                      <w:sz w:val="18"/>
                      <w:szCs w:val="18"/>
                    </w:rPr>
                  </w:pPr>
                  <w:r>
                    <w:rPr>
                      <w:rFonts w:hint="eastAsia"/>
                      <w:sz w:val="18"/>
                      <w:szCs w:val="18"/>
                    </w:rPr>
                    <w:t>55</w:t>
                  </w:r>
                </w:p>
              </w:tc>
              <w:tc>
                <w:tcPr>
                  <w:tcW w:w="541" w:type="dxa"/>
                  <w:vAlign w:val="center"/>
                </w:tcPr>
                <w:p w14:paraId="4DB940DD">
                  <w:pPr>
                    <w:ind w:left="-105" w:leftChars="-50" w:right="-105" w:rightChars="-50"/>
                    <w:jc w:val="center"/>
                    <w:rPr>
                      <w:rFonts w:hint="default" w:eastAsia="宋体"/>
                      <w:sz w:val="18"/>
                      <w:szCs w:val="18"/>
                      <w:lang w:val="en-US" w:eastAsia="zh-CN"/>
                    </w:rPr>
                  </w:pPr>
                  <w:r>
                    <w:rPr>
                      <w:rFonts w:hint="eastAsia"/>
                      <w:sz w:val="18"/>
                      <w:szCs w:val="18"/>
                      <w:lang w:val="en-US" w:eastAsia="zh-CN"/>
                    </w:rPr>
                    <w:t>22.80</w:t>
                  </w:r>
                </w:p>
              </w:tc>
              <w:tc>
                <w:tcPr>
                  <w:tcW w:w="541" w:type="dxa"/>
                  <w:shd w:val="clear" w:color="auto" w:fill="auto"/>
                  <w:vAlign w:val="center"/>
                </w:tcPr>
                <w:p w14:paraId="69D827B4">
                  <w:pPr>
                    <w:ind w:left="-105" w:leftChars="-50" w:right="-105" w:rightChars="-50"/>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22.80</w:t>
                  </w:r>
                </w:p>
              </w:tc>
              <w:tc>
                <w:tcPr>
                  <w:tcW w:w="541" w:type="dxa"/>
                  <w:shd w:val="clear" w:color="auto" w:fill="auto"/>
                  <w:vAlign w:val="center"/>
                </w:tcPr>
                <w:p w14:paraId="29F787A5">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54.01</w:t>
                  </w:r>
                </w:p>
              </w:tc>
              <w:tc>
                <w:tcPr>
                  <w:tcW w:w="541" w:type="dxa"/>
                  <w:shd w:val="clear" w:color="auto" w:fill="auto"/>
                  <w:vAlign w:val="center"/>
                </w:tcPr>
                <w:p w14:paraId="13B6251B">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49.71</w:t>
                  </w:r>
                </w:p>
              </w:tc>
              <w:tc>
                <w:tcPr>
                  <w:tcW w:w="449" w:type="dxa"/>
                  <w:vAlign w:val="center"/>
                </w:tcPr>
                <w:p w14:paraId="666DAE7D">
                  <w:pPr>
                    <w:jc w:val="center"/>
                    <w:rPr>
                      <w:sz w:val="18"/>
                      <w:szCs w:val="18"/>
                    </w:rPr>
                  </w:pPr>
                  <w:r>
                    <w:rPr>
                      <w:rFonts w:hint="eastAsia"/>
                      <w:sz w:val="18"/>
                      <w:szCs w:val="18"/>
                    </w:rPr>
                    <w:t>0.01</w:t>
                  </w:r>
                </w:p>
              </w:tc>
              <w:tc>
                <w:tcPr>
                  <w:tcW w:w="449" w:type="dxa"/>
                  <w:vAlign w:val="center"/>
                </w:tcPr>
                <w:p w14:paraId="13A72353">
                  <w:pPr>
                    <w:jc w:val="center"/>
                    <w:rPr>
                      <w:rFonts w:hint="eastAsia" w:eastAsia="宋体"/>
                      <w:sz w:val="18"/>
                      <w:szCs w:val="18"/>
                      <w:lang w:val="en-US" w:eastAsia="zh-CN"/>
                    </w:rPr>
                  </w:pPr>
                  <w:r>
                    <w:rPr>
                      <w:rFonts w:hint="eastAsia"/>
                      <w:sz w:val="18"/>
                      <w:szCs w:val="18"/>
                    </w:rPr>
                    <w:t>0.0</w:t>
                  </w:r>
                  <w:r>
                    <w:rPr>
                      <w:rFonts w:hint="eastAsia"/>
                      <w:sz w:val="18"/>
                      <w:szCs w:val="18"/>
                      <w:lang w:val="en-US" w:eastAsia="zh-CN"/>
                    </w:rPr>
                    <w:t>1</w:t>
                  </w:r>
                </w:p>
              </w:tc>
              <w:tc>
                <w:tcPr>
                  <w:tcW w:w="403" w:type="dxa"/>
                  <w:vAlign w:val="center"/>
                </w:tcPr>
                <w:p w14:paraId="0E89655C">
                  <w:pPr>
                    <w:jc w:val="center"/>
                    <w:rPr>
                      <w:sz w:val="18"/>
                      <w:szCs w:val="18"/>
                    </w:rPr>
                  </w:pPr>
                  <w:r>
                    <w:rPr>
                      <w:rFonts w:hint="eastAsia"/>
                      <w:sz w:val="18"/>
                      <w:szCs w:val="18"/>
                    </w:rPr>
                    <w:t>达标</w:t>
                  </w:r>
                </w:p>
              </w:tc>
              <w:tc>
                <w:tcPr>
                  <w:tcW w:w="403" w:type="dxa"/>
                  <w:vAlign w:val="center"/>
                </w:tcPr>
                <w:p w14:paraId="7B01B826">
                  <w:pPr>
                    <w:jc w:val="center"/>
                    <w:rPr>
                      <w:sz w:val="18"/>
                      <w:szCs w:val="18"/>
                    </w:rPr>
                  </w:pPr>
                  <w:r>
                    <w:rPr>
                      <w:rFonts w:hint="eastAsia"/>
                      <w:sz w:val="18"/>
                      <w:szCs w:val="18"/>
                    </w:rPr>
                    <w:t>达标</w:t>
                  </w:r>
                </w:p>
              </w:tc>
            </w:tr>
            <w:tr w14:paraId="47B5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dxa"/>
                  <w:vAlign w:val="center"/>
                </w:tcPr>
                <w:p w14:paraId="341CFE4F">
                  <w:pPr>
                    <w:jc w:val="center"/>
                    <w:rPr>
                      <w:sz w:val="18"/>
                      <w:szCs w:val="18"/>
                    </w:rPr>
                  </w:pPr>
                  <w:r>
                    <w:rPr>
                      <w:rFonts w:hint="eastAsia"/>
                      <w:sz w:val="18"/>
                      <w:szCs w:val="18"/>
                    </w:rPr>
                    <w:t>3</w:t>
                  </w:r>
                </w:p>
              </w:tc>
              <w:tc>
                <w:tcPr>
                  <w:tcW w:w="988" w:type="dxa"/>
                  <w:vAlign w:val="center"/>
                </w:tcPr>
                <w:p w14:paraId="66DD77D8">
                  <w:pPr>
                    <w:jc w:val="center"/>
                    <w:rPr>
                      <w:sz w:val="18"/>
                      <w:szCs w:val="18"/>
                    </w:rPr>
                  </w:pPr>
                  <w:r>
                    <w:rPr>
                      <w:rFonts w:hint="eastAsia"/>
                      <w:sz w:val="18"/>
                      <w:szCs w:val="18"/>
                    </w:rPr>
                    <w:t>西面厂界</w:t>
                  </w:r>
                </w:p>
              </w:tc>
              <w:tc>
                <w:tcPr>
                  <w:tcW w:w="469" w:type="dxa"/>
                  <w:vAlign w:val="center"/>
                </w:tcPr>
                <w:p w14:paraId="18897826">
                  <w:pPr>
                    <w:jc w:val="center"/>
                    <w:rPr>
                      <w:rFonts w:hint="default" w:eastAsia="宋体"/>
                      <w:sz w:val="18"/>
                      <w:szCs w:val="18"/>
                      <w:lang w:val="en-US" w:eastAsia="zh-CN"/>
                    </w:rPr>
                  </w:pPr>
                  <w:r>
                    <w:rPr>
                      <w:rFonts w:hint="eastAsia"/>
                      <w:sz w:val="18"/>
                      <w:szCs w:val="18"/>
                      <w:lang w:val="en-US" w:eastAsia="zh-CN"/>
                    </w:rPr>
                    <w:t>53.60</w:t>
                  </w:r>
                </w:p>
              </w:tc>
              <w:tc>
                <w:tcPr>
                  <w:tcW w:w="471" w:type="dxa"/>
                  <w:vAlign w:val="center"/>
                </w:tcPr>
                <w:p w14:paraId="5367461F">
                  <w:pPr>
                    <w:jc w:val="center"/>
                    <w:rPr>
                      <w:rFonts w:hint="default" w:eastAsia="宋体"/>
                      <w:sz w:val="18"/>
                      <w:szCs w:val="18"/>
                      <w:lang w:val="en-US" w:eastAsia="zh-CN"/>
                    </w:rPr>
                  </w:pPr>
                  <w:r>
                    <w:rPr>
                      <w:rFonts w:hint="eastAsia"/>
                      <w:sz w:val="18"/>
                      <w:szCs w:val="18"/>
                      <w:lang w:val="en-US" w:eastAsia="zh-CN"/>
                    </w:rPr>
                    <w:t>48.40</w:t>
                  </w:r>
                </w:p>
              </w:tc>
              <w:tc>
                <w:tcPr>
                  <w:tcW w:w="470" w:type="dxa"/>
                  <w:vAlign w:val="center"/>
                </w:tcPr>
                <w:p w14:paraId="298C750C">
                  <w:pPr>
                    <w:ind w:left="-105" w:leftChars="-50" w:right="-105" w:rightChars="-50"/>
                    <w:jc w:val="center"/>
                    <w:rPr>
                      <w:sz w:val="18"/>
                      <w:szCs w:val="18"/>
                    </w:rPr>
                  </w:pPr>
                  <w:r>
                    <w:rPr>
                      <w:rFonts w:hint="eastAsia"/>
                      <w:sz w:val="18"/>
                      <w:szCs w:val="18"/>
                    </w:rPr>
                    <w:t>—</w:t>
                  </w:r>
                </w:p>
              </w:tc>
              <w:tc>
                <w:tcPr>
                  <w:tcW w:w="402" w:type="dxa"/>
                  <w:vAlign w:val="center"/>
                </w:tcPr>
                <w:p w14:paraId="010D5F94">
                  <w:pPr>
                    <w:ind w:left="-105" w:leftChars="-50" w:right="-105" w:rightChars="-50"/>
                    <w:jc w:val="center"/>
                    <w:rPr>
                      <w:sz w:val="18"/>
                      <w:szCs w:val="18"/>
                    </w:rPr>
                  </w:pPr>
                  <w:r>
                    <w:rPr>
                      <w:rFonts w:hint="eastAsia"/>
                      <w:sz w:val="18"/>
                      <w:szCs w:val="18"/>
                    </w:rPr>
                    <w:t>—</w:t>
                  </w:r>
                </w:p>
              </w:tc>
              <w:tc>
                <w:tcPr>
                  <w:tcW w:w="402" w:type="dxa"/>
                  <w:vAlign w:val="center"/>
                </w:tcPr>
                <w:p w14:paraId="1C21BE29">
                  <w:pPr>
                    <w:jc w:val="center"/>
                    <w:rPr>
                      <w:sz w:val="18"/>
                      <w:szCs w:val="18"/>
                    </w:rPr>
                  </w:pPr>
                  <w:r>
                    <w:rPr>
                      <w:rFonts w:hint="eastAsia"/>
                      <w:sz w:val="18"/>
                      <w:szCs w:val="18"/>
                    </w:rPr>
                    <w:t>65</w:t>
                  </w:r>
                </w:p>
              </w:tc>
              <w:tc>
                <w:tcPr>
                  <w:tcW w:w="404" w:type="dxa"/>
                  <w:vAlign w:val="center"/>
                </w:tcPr>
                <w:p w14:paraId="6104632D">
                  <w:pPr>
                    <w:jc w:val="center"/>
                    <w:rPr>
                      <w:sz w:val="18"/>
                      <w:szCs w:val="18"/>
                    </w:rPr>
                  </w:pPr>
                  <w:r>
                    <w:rPr>
                      <w:rFonts w:hint="eastAsia"/>
                      <w:sz w:val="18"/>
                      <w:szCs w:val="18"/>
                    </w:rPr>
                    <w:t>55</w:t>
                  </w:r>
                </w:p>
              </w:tc>
              <w:tc>
                <w:tcPr>
                  <w:tcW w:w="541" w:type="dxa"/>
                  <w:vAlign w:val="center"/>
                </w:tcPr>
                <w:p w14:paraId="05AA1F5D">
                  <w:pPr>
                    <w:ind w:left="-105" w:leftChars="-50" w:right="-105" w:rightChars="-50"/>
                    <w:jc w:val="center"/>
                    <w:rPr>
                      <w:rFonts w:hint="default" w:eastAsia="宋体"/>
                      <w:sz w:val="18"/>
                      <w:szCs w:val="18"/>
                      <w:lang w:val="en-US" w:eastAsia="zh-CN"/>
                    </w:rPr>
                  </w:pPr>
                  <w:r>
                    <w:rPr>
                      <w:rFonts w:hint="eastAsia"/>
                      <w:sz w:val="18"/>
                      <w:szCs w:val="18"/>
                      <w:lang w:val="en-US" w:eastAsia="zh-CN"/>
                    </w:rPr>
                    <w:t>21.17</w:t>
                  </w:r>
                </w:p>
              </w:tc>
              <w:tc>
                <w:tcPr>
                  <w:tcW w:w="541" w:type="dxa"/>
                  <w:shd w:val="clear" w:color="auto" w:fill="auto"/>
                  <w:vAlign w:val="center"/>
                </w:tcPr>
                <w:p w14:paraId="685A4087">
                  <w:pPr>
                    <w:ind w:left="-105" w:leftChars="-50" w:right="-105" w:rightChars="-50"/>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21.17</w:t>
                  </w:r>
                </w:p>
              </w:tc>
              <w:tc>
                <w:tcPr>
                  <w:tcW w:w="541" w:type="dxa"/>
                  <w:shd w:val="clear" w:color="auto" w:fill="auto"/>
                  <w:vAlign w:val="center"/>
                </w:tcPr>
                <w:p w14:paraId="24152482">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53.60</w:t>
                  </w:r>
                </w:p>
              </w:tc>
              <w:tc>
                <w:tcPr>
                  <w:tcW w:w="541" w:type="dxa"/>
                  <w:shd w:val="clear" w:color="auto" w:fill="auto"/>
                  <w:vAlign w:val="center"/>
                </w:tcPr>
                <w:p w14:paraId="2C8FF503">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48.41</w:t>
                  </w:r>
                </w:p>
              </w:tc>
              <w:tc>
                <w:tcPr>
                  <w:tcW w:w="449" w:type="dxa"/>
                  <w:vAlign w:val="center"/>
                </w:tcPr>
                <w:p w14:paraId="34CBFC8A">
                  <w:pPr>
                    <w:jc w:val="center"/>
                    <w:rPr>
                      <w:rFonts w:hint="eastAsia" w:eastAsia="宋体"/>
                      <w:sz w:val="18"/>
                      <w:szCs w:val="18"/>
                      <w:lang w:val="en-US" w:eastAsia="zh-CN"/>
                    </w:rPr>
                  </w:pPr>
                  <w:r>
                    <w:rPr>
                      <w:rFonts w:hint="eastAsia"/>
                      <w:sz w:val="18"/>
                      <w:szCs w:val="18"/>
                    </w:rPr>
                    <w:t>0.0</w:t>
                  </w:r>
                  <w:r>
                    <w:rPr>
                      <w:rFonts w:hint="eastAsia"/>
                      <w:sz w:val="18"/>
                      <w:szCs w:val="18"/>
                      <w:lang w:val="en-US" w:eastAsia="zh-CN"/>
                    </w:rPr>
                    <w:t>0</w:t>
                  </w:r>
                </w:p>
              </w:tc>
              <w:tc>
                <w:tcPr>
                  <w:tcW w:w="449" w:type="dxa"/>
                  <w:vAlign w:val="center"/>
                </w:tcPr>
                <w:p w14:paraId="3D555546">
                  <w:pPr>
                    <w:jc w:val="center"/>
                    <w:rPr>
                      <w:rFonts w:hint="eastAsia" w:eastAsia="宋体"/>
                      <w:sz w:val="18"/>
                      <w:szCs w:val="18"/>
                      <w:lang w:val="en-US" w:eastAsia="zh-CN"/>
                    </w:rPr>
                  </w:pPr>
                  <w:r>
                    <w:rPr>
                      <w:rFonts w:hint="eastAsia"/>
                      <w:sz w:val="18"/>
                      <w:szCs w:val="18"/>
                    </w:rPr>
                    <w:t>0.0</w:t>
                  </w:r>
                  <w:r>
                    <w:rPr>
                      <w:rFonts w:hint="eastAsia"/>
                      <w:sz w:val="18"/>
                      <w:szCs w:val="18"/>
                      <w:lang w:val="en-US" w:eastAsia="zh-CN"/>
                    </w:rPr>
                    <w:t>1</w:t>
                  </w:r>
                </w:p>
              </w:tc>
              <w:tc>
                <w:tcPr>
                  <w:tcW w:w="403" w:type="dxa"/>
                  <w:vAlign w:val="center"/>
                </w:tcPr>
                <w:p w14:paraId="51074FDA">
                  <w:pPr>
                    <w:jc w:val="center"/>
                    <w:rPr>
                      <w:sz w:val="18"/>
                      <w:szCs w:val="18"/>
                    </w:rPr>
                  </w:pPr>
                  <w:r>
                    <w:rPr>
                      <w:rFonts w:hint="eastAsia"/>
                      <w:sz w:val="18"/>
                      <w:szCs w:val="18"/>
                    </w:rPr>
                    <w:t>达标</w:t>
                  </w:r>
                </w:p>
              </w:tc>
              <w:tc>
                <w:tcPr>
                  <w:tcW w:w="403" w:type="dxa"/>
                  <w:vAlign w:val="center"/>
                </w:tcPr>
                <w:p w14:paraId="40F0E494">
                  <w:pPr>
                    <w:jc w:val="center"/>
                    <w:rPr>
                      <w:sz w:val="18"/>
                      <w:szCs w:val="18"/>
                    </w:rPr>
                  </w:pPr>
                  <w:r>
                    <w:rPr>
                      <w:rFonts w:hint="eastAsia"/>
                      <w:sz w:val="18"/>
                      <w:szCs w:val="18"/>
                    </w:rPr>
                    <w:t>达标</w:t>
                  </w:r>
                </w:p>
              </w:tc>
            </w:tr>
            <w:tr w14:paraId="3F92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dxa"/>
                  <w:vAlign w:val="center"/>
                </w:tcPr>
                <w:p w14:paraId="1B1C547F">
                  <w:pPr>
                    <w:jc w:val="center"/>
                    <w:rPr>
                      <w:sz w:val="18"/>
                      <w:szCs w:val="18"/>
                    </w:rPr>
                  </w:pPr>
                  <w:r>
                    <w:rPr>
                      <w:rFonts w:hint="eastAsia"/>
                      <w:sz w:val="18"/>
                      <w:szCs w:val="18"/>
                    </w:rPr>
                    <w:t>4</w:t>
                  </w:r>
                </w:p>
              </w:tc>
              <w:tc>
                <w:tcPr>
                  <w:tcW w:w="988" w:type="dxa"/>
                  <w:vAlign w:val="center"/>
                </w:tcPr>
                <w:p w14:paraId="755C4F4A">
                  <w:pPr>
                    <w:jc w:val="center"/>
                    <w:rPr>
                      <w:sz w:val="18"/>
                      <w:szCs w:val="18"/>
                    </w:rPr>
                  </w:pPr>
                  <w:r>
                    <w:rPr>
                      <w:rFonts w:hint="eastAsia"/>
                      <w:sz w:val="18"/>
                      <w:szCs w:val="18"/>
                    </w:rPr>
                    <w:t>北面厂界</w:t>
                  </w:r>
                </w:p>
              </w:tc>
              <w:tc>
                <w:tcPr>
                  <w:tcW w:w="469" w:type="dxa"/>
                  <w:vAlign w:val="center"/>
                </w:tcPr>
                <w:p w14:paraId="63CCDB4D">
                  <w:pPr>
                    <w:jc w:val="center"/>
                    <w:rPr>
                      <w:rFonts w:hint="default" w:eastAsia="宋体"/>
                      <w:sz w:val="18"/>
                      <w:szCs w:val="18"/>
                      <w:lang w:val="en-US" w:eastAsia="zh-CN"/>
                    </w:rPr>
                  </w:pPr>
                  <w:r>
                    <w:rPr>
                      <w:rFonts w:hint="eastAsia"/>
                      <w:sz w:val="18"/>
                      <w:szCs w:val="18"/>
                      <w:lang w:val="en-US" w:eastAsia="zh-CN"/>
                    </w:rPr>
                    <w:t>53.50</w:t>
                  </w:r>
                </w:p>
              </w:tc>
              <w:tc>
                <w:tcPr>
                  <w:tcW w:w="471" w:type="dxa"/>
                  <w:vAlign w:val="center"/>
                </w:tcPr>
                <w:p w14:paraId="162052F7">
                  <w:pPr>
                    <w:jc w:val="center"/>
                    <w:rPr>
                      <w:rFonts w:hint="default" w:eastAsia="宋体"/>
                      <w:sz w:val="18"/>
                      <w:szCs w:val="18"/>
                      <w:lang w:val="en-US" w:eastAsia="zh-CN"/>
                    </w:rPr>
                  </w:pPr>
                  <w:r>
                    <w:rPr>
                      <w:rFonts w:hint="eastAsia"/>
                      <w:sz w:val="18"/>
                      <w:szCs w:val="18"/>
                      <w:lang w:val="en-US" w:eastAsia="zh-CN"/>
                    </w:rPr>
                    <w:t>49.30</w:t>
                  </w:r>
                </w:p>
              </w:tc>
              <w:tc>
                <w:tcPr>
                  <w:tcW w:w="470" w:type="dxa"/>
                  <w:vAlign w:val="center"/>
                </w:tcPr>
                <w:p w14:paraId="13AB05A4">
                  <w:pPr>
                    <w:ind w:left="-105" w:leftChars="-50" w:right="-105" w:rightChars="-50"/>
                    <w:jc w:val="center"/>
                    <w:rPr>
                      <w:sz w:val="18"/>
                      <w:szCs w:val="18"/>
                    </w:rPr>
                  </w:pPr>
                  <w:r>
                    <w:rPr>
                      <w:rFonts w:hint="eastAsia"/>
                      <w:sz w:val="18"/>
                      <w:szCs w:val="18"/>
                    </w:rPr>
                    <w:t>—</w:t>
                  </w:r>
                </w:p>
              </w:tc>
              <w:tc>
                <w:tcPr>
                  <w:tcW w:w="402" w:type="dxa"/>
                  <w:vAlign w:val="center"/>
                </w:tcPr>
                <w:p w14:paraId="53D98106">
                  <w:pPr>
                    <w:ind w:left="-105" w:leftChars="-50" w:right="-105" w:rightChars="-50"/>
                    <w:jc w:val="center"/>
                    <w:rPr>
                      <w:sz w:val="18"/>
                      <w:szCs w:val="18"/>
                    </w:rPr>
                  </w:pPr>
                  <w:r>
                    <w:rPr>
                      <w:rFonts w:hint="eastAsia"/>
                      <w:sz w:val="18"/>
                      <w:szCs w:val="18"/>
                    </w:rPr>
                    <w:t>—</w:t>
                  </w:r>
                </w:p>
              </w:tc>
              <w:tc>
                <w:tcPr>
                  <w:tcW w:w="402" w:type="dxa"/>
                  <w:vAlign w:val="center"/>
                </w:tcPr>
                <w:p w14:paraId="48F84895">
                  <w:pPr>
                    <w:jc w:val="center"/>
                    <w:rPr>
                      <w:sz w:val="18"/>
                      <w:szCs w:val="18"/>
                    </w:rPr>
                  </w:pPr>
                  <w:r>
                    <w:rPr>
                      <w:rFonts w:hint="eastAsia"/>
                      <w:sz w:val="18"/>
                      <w:szCs w:val="18"/>
                    </w:rPr>
                    <w:t>65</w:t>
                  </w:r>
                </w:p>
              </w:tc>
              <w:tc>
                <w:tcPr>
                  <w:tcW w:w="404" w:type="dxa"/>
                  <w:vAlign w:val="center"/>
                </w:tcPr>
                <w:p w14:paraId="5EE00684">
                  <w:pPr>
                    <w:jc w:val="center"/>
                    <w:rPr>
                      <w:sz w:val="18"/>
                      <w:szCs w:val="18"/>
                    </w:rPr>
                  </w:pPr>
                  <w:r>
                    <w:rPr>
                      <w:rFonts w:hint="eastAsia"/>
                      <w:sz w:val="18"/>
                      <w:szCs w:val="18"/>
                    </w:rPr>
                    <w:t>55</w:t>
                  </w:r>
                </w:p>
              </w:tc>
              <w:tc>
                <w:tcPr>
                  <w:tcW w:w="541" w:type="dxa"/>
                  <w:vAlign w:val="center"/>
                </w:tcPr>
                <w:p w14:paraId="6E9BB225">
                  <w:pPr>
                    <w:ind w:right="-105" w:rightChars="-50"/>
                    <w:rPr>
                      <w:rFonts w:hint="default" w:eastAsia="宋体"/>
                      <w:sz w:val="18"/>
                      <w:szCs w:val="18"/>
                      <w:lang w:val="en-US" w:eastAsia="zh-CN"/>
                    </w:rPr>
                  </w:pPr>
                  <w:r>
                    <w:rPr>
                      <w:rFonts w:hint="eastAsia"/>
                      <w:sz w:val="18"/>
                      <w:szCs w:val="18"/>
                      <w:lang w:val="en-US" w:eastAsia="zh-CN"/>
                    </w:rPr>
                    <w:t>24.43</w:t>
                  </w:r>
                </w:p>
              </w:tc>
              <w:tc>
                <w:tcPr>
                  <w:tcW w:w="541" w:type="dxa"/>
                  <w:shd w:val="clear" w:color="auto" w:fill="auto"/>
                  <w:vAlign w:val="center"/>
                </w:tcPr>
                <w:p w14:paraId="1169D103">
                  <w:pPr>
                    <w:ind w:right="-105" w:rightChars="-50"/>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24.43</w:t>
                  </w:r>
                </w:p>
              </w:tc>
              <w:tc>
                <w:tcPr>
                  <w:tcW w:w="541" w:type="dxa"/>
                  <w:shd w:val="clear" w:color="auto" w:fill="auto"/>
                  <w:vAlign w:val="center"/>
                </w:tcPr>
                <w:p w14:paraId="588AEA11">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53.50</w:t>
                  </w:r>
                </w:p>
              </w:tc>
              <w:tc>
                <w:tcPr>
                  <w:tcW w:w="541" w:type="dxa"/>
                  <w:shd w:val="clear" w:color="auto" w:fill="auto"/>
                  <w:vAlign w:val="center"/>
                </w:tcPr>
                <w:p w14:paraId="4331F5EC">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49.31</w:t>
                  </w:r>
                </w:p>
              </w:tc>
              <w:tc>
                <w:tcPr>
                  <w:tcW w:w="449" w:type="dxa"/>
                  <w:vAlign w:val="center"/>
                </w:tcPr>
                <w:p w14:paraId="6E051DF4">
                  <w:pPr>
                    <w:jc w:val="center"/>
                    <w:rPr>
                      <w:sz w:val="18"/>
                      <w:szCs w:val="18"/>
                    </w:rPr>
                  </w:pPr>
                  <w:r>
                    <w:rPr>
                      <w:rFonts w:hint="eastAsia"/>
                      <w:sz w:val="18"/>
                      <w:szCs w:val="18"/>
                    </w:rPr>
                    <w:t>0.00</w:t>
                  </w:r>
                </w:p>
              </w:tc>
              <w:tc>
                <w:tcPr>
                  <w:tcW w:w="449" w:type="dxa"/>
                  <w:vAlign w:val="center"/>
                </w:tcPr>
                <w:p w14:paraId="57D6283F">
                  <w:pPr>
                    <w:jc w:val="center"/>
                    <w:rPr>
                      <w:rFonts w:hint="eastAsia" w:eastAsia="宋体"/>
                      <w:sz w:val="18"/>
                      <w:szCs w:val="18"/>
                      <w:lang w:val="en-US" w:eastAsia="zh-CN"/>
                    </w:rPr>
                  </w:pPr>
                  <w:r>
                    <w:rPr>
                      <w:rFonts w:hint="eastAsia"/>
                      <w:sz w:val="18"/>
                      <w:szCs w:val="18"/>
                    </w:rPr>
                    <w:t>0.0</w:t>
                  </w:r>
                  <w:r>
                    <w:rPr>
                      <w:rFonts w:hint="eastAsia"/>
                      <w:sz w:val="18"/>
                      <w:szCs w:val="18"/>
                      <w:lang w:val="en-US" w:eastAsia="zh-CN"/>
                    </w:rPr>
                    <w:t>1</w:t>
                  </w:r>
                </w:p>
              </w:tc>
              <w:tc>
                <w:tcPr>
                  <w:tcW w:w="403" w:type="dxa"/>
                  <w:vAlign w:val="center"/>
                </w:tcPr>
                <w:p w14:paraId="7CEEC3B5">
                  <w:pPr>
                    <w:jc w:val="center"/>
                    <w:rPr>
                      <w:sz w:val="18"/>
                      <w:szCs w:val="18"/>
                    </w:rPr>
                  </w:pPr>
                  <w:r>
                    <w:rPr>
                      <w:rFonts w:hint="eastAsia"/>
                      <w:sz w:val="18"/>
                      <w:szCs w:val="18"/>
                    </w:rPr>
                    <w:t>达标</w:t>
                  </w:r>
                </w:p>
              </w:tc>
              <w:tc>
                <w:tcPr>
                  <w:tcW w:w="403" w:type="dxa"/>
                  <w:vAlign w:val="center"/>
                </w:tcPr>
                <w:p w14:paraId="76212A56">
                  <w:pPr>
                    <w:jc w:val="center"/>
                    <w:rPr>
                      <w:sz w:val="18"/>
                      <w:szCs w:val="18"/>
                    </w:rPr>
                  </w:pPr>
                  <w:r>
                    <w:rPr>
                      <w:rFonts w:hint="eastAsia"/>
                      <w:sz w:val="18"/>
                      <w:szCs w:val="18"/>
                    </w:rPr>
                    <w:t>达标</w:t>
                  </w:r>
                </w:p>
              </w:tc>
            </w:tr>
          </w:tbl>
          <w:p w14:paraId="5C4ECD73">
            <w:pPr>
              <w:spacing w:line="240" w:lineRule="auto"/>
              <w:rPr>
                <w:rFonts w:hint="eastAsia" w:eastAsia="宋体"/>
                <w:kern w:val="0"/>
                <w:sz w:val="24"/>
                <w:lang w:eastAsia="zh-CN"/>
              </w:rPr>
            </w:pPr>
            <w:r>
              <w:rPr>
                <w:rFonts w:hint="eastAsia" w:eastAsia="宋体"/>
                <w:kern w:val="0"/>
                <w:sz w:val="24"/>
                <w:lang w:eastAsia="zh-CN"/>
              </w:rPr>
              <w:drawing>
                <wp:inline distT="0" distB="0" distL="114300" distR="114300">
                  <wp:extent cx="5002530" cy="3714750"/>
                  <wp:effectExtent l="0" t="0" r="7620" b="0"/>
                  <wp:docPr id="8" name="图片 8" descr="ScreenShot_2025-12-24_105817_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5-12-24_105817_741"/>
                          <pic:cNvPicPr>
                            <a:picLocks noChangeAspect="1"/>
                          </pic:cNvPicPr>
                        </pic:nvPicPr>
                        <pic:blipFill>
                          <a:blip r:embed="rId26"/>
                          <a:stretch>
                            <a:fillRect/>
                          </a:stretch>
                        </pic:blipFill>
                        <pic:spPr>
                          <a:xfrm>
                            <a:off x="0" y="0"/>
                            <a:ext cx="5002530" cy="3714750"/>
                          </a:xfrm>
                          <a:prstGeom prst="rect">
                            <a:avLst/>
                          </a:prstGeom>
                        </pic:spPr>
                      </pic:pic>
                    </a:graphicData>
                  </a:graphic>
                </wp:inline>
              </w:drawing>
            </w:r>
          </w:p>
          <w:p w14:paraId="5F98A412">
            <w:pPr>
              <w:spacing w:line="500" w:lineRule="exact"/>
              <w:ind w:firstLine="482"/>
              <w:rPr>
                <w:kern w:val="0"/>
                <w:sz w:val="24"/>
              </w:rPr>
            </w:pPr>
            <w:r>
              <w:rPr>
                <w:rFonts w:hint="eastAsia"/>
                <w:kern w:val="0"/>
                <w:sz w:val="24"/>
              </w:rPr>
              <w:t>由预测结果可知，本项目运营期，厂界</w:t>
            </w:r>
            <w:r>
              <w:rPr>
                <w:rFonts w:hint="eastAsia"/>
                <w:kern w:val="0"/>
                <w:sz w:val="24"/>
                <w:lang w:val="en-US" w:eastAsia="zh-CN"/>
              </w:rPr>
              <w:t>四周噪声预测值</w:t>
            </w:r>
            <w:r>
              <w:rPr>
                <w:rFonts w:hint="eastAsia"/>
                <w:kern w:val="0"/>
                <w:sz w:val="24"/>
              </w:rPr>
              <w:t>均可</w:t>
            </w:r>
            <w:r>
              <w:rPr>
                <w:rFonts w:hint="eastAsia"/>
                <w:kern w:val="0"/>
                <w:sz w:val="24"/>
                <w:lang w:val="en-US" w:eastAsia="zh-CN"/>
              </w:rPr>
              <w:t>满足</w:t>
            </w:r>
            <w:r>
              <w:rPr>
                <w:rFonts w:hint="eastAsia"/>
                <w:kern w:val="0"/>
                <w:sz w:val="24"/>
              </w:rPr>
              <w:t>《工业企业厂界环境噪声排放标准》（GB 12348-2008）3类标准</w:t>
            </w:r>
            <w:r>
              <w:rPr>
                <w:rFonts w:hint="eastAsia"/>
                <w:kern w:val="0"/>
                <w:sz w:val="24"/>
                <w:lang w:val="en-US" w:eastAsia="zh-CN"/>
              </w:rPr>
              <w:t>限值要求</w:t>
            </w:r>
            <w:r>
              <w:rPr>
                <w:rFonts w:hint="eastAsia"/>
                <w:kern w:val="0"/>
                <w:sz w:val="24"/>
              </w:rPr>
              <w:t>，对周边声环境影响不大。</w:t>
            </w:r>
          </w:p>
          <w:p w14:paraId="5C8C5592">
            <w:pPr>
              <w:spacing w:line="500" w:lineRule="exact"/>
              <w:ind w:firstLine="482"/>
              <w:rPr>
                <w:b/>
                <w:kern w:val="0"/>
                <w:sz w:val="24"/>
              </w:rPr>
            </w:pPr>
            <w:r>
              <w:rPr>
                <w:rFonts w:hint="eastAsia"/>
                <w:b/>
                <w:kern w:val="0"/>
                <w:sz w:val="24"/>
              </w:rPr>
              <w:t>（3）项目噪声监测计划</w:t>
            </w:r>
          </w:p>
          <w:p w14:paraId="752CDA45">
            <w:pPr>
              <w:spacing w:line="500" w:lineRule="exact"/>
              <w:ind w:firstLine="482"/>
              <w:rPr>
                <w:kern w:val="0"/>
                <w:sz w:val="24"/>
              </w:rPr>
            </w:pPr>
            <w:r>
              <w:rPr>
                <w:rFonts w:hint="eastAsia"/>
                <w:kern w:val="0"/>
                <w:sz w:val="24"/>
              </w:rPr>
              <w:t>根据项目运营期的环境污染特点与《排污许可管理办法》、《排污许可管理条例》和《排污单位自行监测技术指南总则》（HJ 819-2017）、《排污许可证申请与核发技术规范 工业噪声》（HJ1301-2023），企业现有工程噪声自行监测计划已满足</w:t>
            </w:r>
            <w:r>
              <w:rPr>
                <w:rFonts w:hint="eastAsia"/>
                <w:kern w:val="0"/>
                <w:sz w:val="24"/>
                <w:lang w:val="en-US" w:eastAsia="zh-CN"/>
              </w:rPr>
              <w:t>本</w:t>
            </w:r>
            <w:r>
              <w:rPr>
                <w:rFonts w:hint="eastAsia"/>
                <w:kern w:val="0"/>
                <w:sz w:val="24"/>
              </w:rPr>
              <w:t>项目噪声监测要求，无需增加噪声自行监测计划。</w:t>
            </w:r>
          </w:p>
          <w:p w14:paraId="20F7FD6C">
            <w:pPr>
              <w:spacing w:line="500" w:lineRule="exact"/>
              <w:ind w:firstLine="482"/>
              <w:rPr>
                <w:b/>
                <w:kern w:val="0"/>
                <w:sz w:val="24"/>
              </w:rPr>
            </w:pPr>
            <w:r>
              <w:rPr>
                <w:rFonts w:hint="eastAsia"/>
                <w:b/>
                <w:kern w:val="0"/>
                <w:sz w:val="24"/>
              </w:rPr>
              <w:t>（四）</w:t>
            </w:r>
            <w:r>
              <w:rPr>
                <w:b/>
                <w:kern w:val="0"/>
                <w:sz w:val="24"/>
              </w:rPr>
              <w:t>固体废物</w:t>
            </w:r>
          </w:p>
          <w:p w14:paraId="5146DE7B">
            <w:pPr>
              <w:spacing w:line="500" w:lineRule="exact"/>
              <w:ind w:firstLine="482"/>
              <w:rPr>
                <w:rFonts w:hint="eastAsia"/>
                <w:kern w:val="0"/>
                <w:sz w:val="24"/>
              </w:rPr>
            </w:pPr>
            <w:r>
              <w:rPr>
                <w:rFonts w:hint="eastAsia"/>
                <w:kern w:val="0"/>
                <w:sz w:val="24"/>
              </w:rPr>
              <w:t>本项目不新增劳动定员，</w:t>
            </w:r>
            <w:r>
              <w:rPr>
                <w:rFonts w:hint="eastAsia"/>
                <w:kern w:val="0"/>
                <w:sz w:val="24"/>
                <w:lang w:val="en-US" w:eastAsia="zh-CN"/>
              </w:rPr>
              <w:t>因此</w:t>
            </w:r>
            <w:r>
              <w:rPr>
                <w:rFonts w:hint="eastAsia"/>
                <w:kern w:val="0"/>
                <w:sz w:val="24"/>
              </w:rPr>
              <w:t>不新增生活垃圾；主要固废是</w:t>
            </w:r>
            <w:r>
              <w:rPr>
                <w:rFonts w:hint="eastAsia"/>
                <w:kern w:val="0"/>
                <w:sz w:val="24"/>
                <w:lang w:val="en-US" w:eastAsia="zh-CN"/>
              </w:rPr>
              <w:t>装置生产过程产生的废液</w:t>
            </w:r>
            <w:r>
              <w:rPr>
                <w:rFonts w:hint="eastAsia"/>
                <w:kern w:val="0"/>
                <w:sz w:val="24"/>
              </w:rPr>
              <w:t>。</w:t>
            </w:r>
          </w:p>
          <w:p w14:paraId="325E77C6">
            <w:pPr>
              <w:spacing w:line="500" w:lineRule="exact"/>
              <w:ind w:firstLine="482"/>
              <w:rPr>
                <w:kern w:val="0"/>
                <w:sz w:val="24"/>
              </w:rPr>
            </w:pPr>
            <w:r>
              <w:rPr>
                <w:rFonts w:hint="eastAsia"/>
                <w:kern w:val="0"/>
                <w:sz w:val="24"/>
                <w:lang w:val="en-US" w:eastAsia="zh-CN"/>
              </w:rPr>
              <w:t>根据物料平衡，本项目产生的废液量约为776t/a，经收集暂存于废液罐内定期交由有资质单位处置。</w:t>
            </w:r>
            <w:r>
              <w:rPr>
                <w:rFonts w:hint="eastAsia"/>
                <w:bCs/>
                <w:kern w:val="0"/>
                <w:sz w:val="24"/>
              </w:rPr>
              <w:t>根据《国家危险废物名录》（2025版）</w:t>
            </w:r>
            <w:r>
              <w:rPr>
                <w:rFonts w:hint="eastAsia"/>
                <w:kern w:val="0"/>
                <w:sz w:val="24"/>
              </w:rPr>
              <w:t>，对本项目运营期所产生的固体废弃物进行</w:t>
            </w:r>
            <w:r>
              <w:rPr>
                <w:rFonts w:hint="eastAsia"/>
                <w:bCs/>
                <w:kern w:val="0"/>
                <w:sz w:val="24"/>
              </w:rPr>
              <w:t>属性判定，本项目</w:t>
            </w:r>
            <w:r>
              <w:rPr>
                <w:rFonts w:hint="eastAsia"/>
                <w:kern w:val="0"/>
                <w:sz w:val="24"/>
              </w:rPr>
              <w:t>运营期所产生的固体废弃物</w:t>
            </w:r>
            <w:r>
              <w:rPr>
                <w:rFonts w:hint="eastAsia"/>
                <w:bCs/>
                <w:kern w:val="0"/>
                <w:sz w:val="24"/>
              </w:rPr>
              <w:t>属性判定、产生量及处置情况如下：</w:t>
            </w:r>
          </w:p>
          <w:p w14:paraId="167BCC0C">
            <w:pPr>
              <w:pStyle w:val="51"/>
              <w:numPr>
                <w:ilvl w:val="2"/>
                <w:numId w:val="7"/>
              </w:numPr>
              <w:spacing w:line="500" w:lineRule="atLeast"/>
              <w:ind w:firstLineChars="0"/>
              <w:jc w:val="center"/>
              <w:rPr>
                <w:b/>
                <w:sz w:val="24"/>
              </w:rPr>
            </w:pPr>
            <w:r>
              <w:rPr>
                <w:b/>
                <w:sz w:val="24"/>
              </w:rPr>
              <w:t>项目</w:t>
            </w:r>
            <w:r>
              <w:rPr>
                <w:rFonts w:hint="eastAsia"/>
                <w:b/>
                <w:sz w:val="24"/>
              </w:rPr>
              <w:t>固体废弃物属性判定、产生量及处置情况汇总一览</w:t>
            </w:r>
            <w:r>
              <w:rPr>
                <w:b/>
                <w:sz w:val="24"/>
              </w:rPr>
              <w:t>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373"/>
              <w:gridCol w:w="1084"/>
              <w:gridCol w:w="1071"/>
              <w:gridCol w:w="630"/>
              <w:gridCol w:w="880"/>
              <w:gridCol w:w="1088"/>
              <w:gridCol w:w="880"/>
              <w:gridCol w:w="1410"/>
            </w:tblGrid>
            <w:tr w14:paraId="3932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Align w:val="center"/>
                </w:tcPr>
                <w:p w14:paraId="1141A06B">
                  <w:pPr>
                    <w:topLinePunct/>
                    <w:adjustRightInd w:val="0"/>
                    <w:snapToGrid w:val="0"/>
                    <w:jc w:val="center"/>
                    <w:rPr>
                      <w:bCs/>
                      <w:kern w:val="0"/>
                      <w:szCs w:val="21"/>
                    </w:rPr>
                  </w:pPr>
                  <w:r>
                    <w:rPr>
                      <w:rFonts w:hint="eastAsia"/>
                      <w:bCs/>
                      <w:kern w:val="0"/>
                      <w:szCs w:val="21"/>
                    </w:rPr>
                    <w:t>序号</w:t>
                  </w:r>
                </w:p>
              </w:tc>
              <w:tc>
                <w:tcPr>
                  <w:tcW w:w="236" w:type="pct"/>
                  <w:vAlign w:val="center"/>
                </w:tcPr>
                <w:p w14:paraId="5634F0F1">
                  <w:pPr>
                    <w:topLinePunct/>
                    <w:adjustRightInd w:val="0"/>
                    <w:snapToGrid w:val="0"/>
                    <w:jc w:val="center"/>
                    <w:rPr>
                      <w:bCs/>
                      <w:kern w:val="0"/>
                      <w:szCs w:val="21"/>
                    </w:rPr>
                  </w:pPr>
                  <w:r>
                    <w:rPr>
                      <w:rFonts w:hint="eastAsia"/>
                      <w:bCs/>
                      <w:kern w:val="0"/>
                      <w:szCs w:val="21"/>
                    </w:rPr>
                    <w:t>类别</w:t>
                  </w:r>
                </w:p>
              </w:tc>
              <w:tc>
                <w:tcPr>
                  <w:tcW w:w="688" w:type="pct"/>
                  <w:vAlign w:val="center"/>
                </w:tcPr>
                <w:p w14:paraId="77CA8ABC">
                  <w:pPr>
                    <w:topLinePunct/>
                    <w:adjustRightInd w:val="0"/>
                    <w:snapToGrid w:val="0"/>
                    <w:jc w:val="center"/>
                    <w:rPr>
                      <w:bCs/>
                      <w:kern w:val="0"/>
                      <w:szCs w:val="21"/>
                    </w:rPr>
                  </w:pPr>
                  <w:r>
                    <w:rPr>
                      <w:rFonts w:hint="eastAsia"/>
                      <w:bCs/>
                      <w:kern w:val="0"/>
                      <w:szCs w:val="21"/>
                    </w:rPr>
                    <w:t>固体</w:t>
                  </w:r>
                  <w:r>
                    <w:rPr>
                      <w:bCs/>
                      <w:kern w:val="0"/>
                      <w:szCs w:val="21"/>
                    </w:rPr>
                    <w:t>废物名称</w:t>
                  </w:r>
                </w:p>
              </w:tc>
              <w:tc>
                <w:tcPr>
                  <w:tcW w:w="680" w:type="pct"/>
                  <w:vAlign w:val="center"/>
                </w:tcPr>
                <w:p w14:paraId="0C9C2ED4">
                  <w:pPr>
                    <w:topLinePunct/>
                    <w:adjustRightInd w:val="0"/>
                    <w:snapToGrid w:val="0"/>
                    <w:jc w:val="center"/>
                    <w:rPr>
                      <w:bCs/>
                      <w:kern w:val="0"/>
                      <w:szCs w:val="21"/>
                    </w:rPr>
                  </w:pPr>
                  <w:r>
                    <w:rPr>
                      <w:rFonts w:hint="eastAsia"/>
                      <w:bCs/>
                      <w:kern w:val="0"/>
                      <w:szCs w:val="21"/>
                    </w:rPr>
                    <w:t>来源或</w:t>
                  </w:r>
                  <w:r>
                    <w:rPr>
                      <w:bCs/>
                      <w:kern w:val="0"/>
                      <w:szCs w:val="21"/>
                    </w:rPr>
                    <w:t>产生工序</w:t>
                  </w:r>
                </w:p>
              </w:tc>
              <w:tc>
                <w:tcPr>
                  <w:tcW w:w="400" w:type="pct"/>
                  <w:vAlign w:val="center"/>
                </w:tcPr>
                <w:p w14:paraId="70C56353">
                  <w:pPr>
                    <w:topLinePunct/>
                    <w:adjustRightInd w:val="0"/>
                    <w:snapToGrid w:val="0"/>
                    <w:jc w:val="center"/>
                    <w:rPr>
                      <w:bCs/>
                      <w:kern w:val="0"/>
                      <w:szCs w:val="21"/>
                    </w:rPr>
                  </w:pPr>
                  <w:r>
                    <w:rPr>
                      <w:rFonts w:hint="eastAsia"/>
                      <w:bCs/>
                      <w:kern w:val="0"/>
                      <w:szCs w:val="21"/>
                    </w:rPr>
                    <w:t>物理性状</w:t>
                  </w:r>
                </w:p>
              </w:tc>
              <w:tc>
                <w:tcPr>
                  <w:tcW w:w="558" w:type="pct"/>
                  <w:vAlign w:val="center"/>
                </w:tcPr>
                <w:p w14:paraId="0B7F3693">
                  <w:pPr>
                    <w:topLinePunct/>
                    <w:adjustRightInd w:val="0"/>
                    <w:snapToGrid w:val="0"/>
                    <w:jc w:val="center"/>
                    <w:rPr>
                      <w:bCs/>
                      <w:kern w:val="0"/>
                      <w:szCs w:val="21"/>
                    </w:rPr>
                  </w:pPr>
                  <w:r>
                    <w:rPr>
                      <w:rFonts w:hint="eastAsia"/>
                      <w:bCs/>
                      <w:kern w:val="0"/>
                      <w:szCs w:val="21"/>
                    </w:rPr>
                    <w:t>主要成分</w:t>
                  </w:r>
                </w:p>
              </w:tc>
              <w:tc>
                <w:tcPr>
                  <w:tcW w:w="690" w:type="pct"/>
                  <w:vAlign w:val="center"/>
                </w:tcPr>
                <w:p w14:paraId="114E1A62">
                  <w:pPr>
                    <w:topLinePunct/>
                    <w:adjustRightInd w:val="0"/>
                    <w:snapToGrid w:val="0"/>
                    <w:jc w:val="center"/>
                    <w:rPr>
                      <w:bCs/>
                      <w:kern w:val="0"/>
                      <w:szCs w:val="21"/>
                    </w:rPr>
                  </w:pPr>
                  <w:r>
                    <w:rPr>
                      <w:rFonts w:hint="eastAsia"/>
                      <w:bCs/>
                      <w:kern w:val="0"/>
                      <w:szCs w:val="21"/>
                    </w:rPr>
                    <w:t>类别</w:t>
                  </w:r>
                  <w:r>
                    <w:rPr>
                      <w:bCs/>
                      <w:kern w:val="0"/>
                      <w:szCs w:val="21"/>
                    </w:rPr>
                    <w:t>代码</w:t>
                  </w:r>
                </w:p>
              </w:tc>
              <w:tc>
                <w:tcPr>
                  <w:tcW w:w="558" w:type="pct"/>
                  <w:vAlign w:val="center"/>
                </w:tcPr>
                <w:p w14:paraId="7899F20D">
                  <w:pPr>
                    <w:topLinePunct/>
                    <w:adjustRightInd w:val="0"/>
                    <w:snapToGrid w:val="0"/>
                    <w:jc w:val="center"/>
                    <w:rPr>
                      <w:rFonts w:ascii="宋体" w:hAnsi="宋体" w:cs="宋体"/>
                      <w:bCs/>
                      <w:kern w:val="0"/>
                      <w:szCs w:val="21"/>
                    </w:rPr>
                  </w:pPr>
                  <w:r>
                    <w:rPr>
                      <w:bCs/>
                      <w:kern w:val="0"/>
                      <w:szCs w:val="21"/>
                    </w:rPr>
                    <w:t>产生量（t/a）</w:t>
                  </w:r>
                </w:p>
              </w:tc>
              <w:tc>
                <w:tcPr>
                  <w:tcW w:w="895" w:type="pct"/>
                  <w:vAlign w:val="center"/>
                </w:tcPr>
                <w:p w14:paraId="70DF7CF5">
                  <w:pPr>
                    <w:topLinePunct/>
                    <w:adjustRightInd w:val="0"/>
                    <w:snapToGrid w:val="0"/>
                    <w:jc w:val="center"/>
                    <w:rPr>
                      <w:rFonts w:ascii="宋体" w:hAnsi="宋体" w:cs="宋体"/>
                      <w:bCs/>
                      <w:kern w:val="0"/>
                      <w:szCs w:val="21"/>
                    </w:rPr>
                  </w:pPr>
                  <w:r>
                    <w:rPr>
                      <w:rFonts w:hint="eastAsia" w:ascii="宋体" w:hAnsi="宋体" w:cs="宋体"/>
                      <w:bCs/>
                      <w:kern w:val="0"/>
                      <w:szCs w:val="21"/>
                    </w:rPr>
                    <w:t>处置方式和去向</w:t>
                  </w:r>
                </w:p>
              </w:tc>
            </w:tr>
            <w:tr w14:paraId="0200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 w:type="pct"/>
                  <w:vAlign w:val="center"/>
                </w:tcPr>
                <w:p w14:paraId="73D03F29">
                  <w:pPr>
                    <w:topLinePunct/>
                    <w:adjustRightInd w:val="0"/>
                    <w:snapToGrid w:val="0"/>
                    <w:jc w:val="center"/>
                    <w:rPr>
                      <w:bCs/>
                      <w:kern w:val="0"/>
                      <w:szCs w:val="21"/>
                    </w:rPr>
                  </w:pPr>
                  <w:r>
                    <w:rPr>
                      <w:rFonts w:hint="eastAsia"/>
                      <w:bCs/>
                      <w:kern w:val="0"/>
                      <w:szCs w:val="21"/>
                    </w:rPr>
                    <w:t>1</w:t>
                  </w:r>
                </w:p>
              </w:tc>
              <w:tc>
                <w:tcPr>
                  <w:tcW w:w="236" w:type="pct"/>
                  <w:shd w:val="clear" w:color="auto" w:fill="auto"/>
                  <w:vAlign w:val="center"/>
                </w:tcPr>
                <w:p w14:paraId="408F530B">
                  <w:pPr>
                    <w:topLinePunct/>
                    <w:adjustRightInd w:val="0"/>
                    <w:snapToGrid w:val="0"/>
                    <w:jc w:val="center"/>
                    <w:rPr>
                      <w:rFonts w:ascii="Times New Roman" w:hAnsi="Times New Roman" w:eastAsia="宋体" w:cs="Times New Roman"/>
                      <w:bCs/>
                      <w:kern w:val="0"/>
                      <w:sz w:val="21"/>
                      <w:szCs w:val="21"/>
                      <w:lang w:val="en-US" w:eastAsia="zh-CN" w:bidi="ar-SA"/>
                    </w:rPr>
                  </w:pPr>
                  <w:r>
                    <w:rPr>
                      <w:rFonts w:hint="eastAsia"/>
                      <w:bCs/>
                      <w:kern w:val="0"/>
                      <w:szCs w:val="21"/>
                    </w:rPr>
                    <w:t>危险废物</w:t>
                  </w:r>
                </w:p>
              </w:tc>
              <w:tc>
                <w:tcPr>
                  <w:tcW w:w="688" w:type="pct"/>
                  <w:shd w:val="clear" w:color="auto" w:fill="auto"/>
                  <w:vAlign w:val="center"/>
                </w:tcPr>
                <w:p w14:paraId="705049D2">
                  <w:pPr>
                    <w:topLinePunct/>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bCs/>
                      <w:kern w:val="0"/>
                      <w:szCs w:val="21"/>
                      <w:lang w:val="en-US" w:eastAsia="zh-CN"/>
                    </w:rPr>
                    <w:t>废液</w:t>
                  </w:r>
                </w:p>
              </w:tc>
              <w:tc>
                <w:tcPr>
                  <w:tcW w:w="680" w:type="pct"/>
                  <w:shd w:val="clear" w:color="auto" w:fill="auto"/>
                  <w:vAlign w:val="center"/>
                </w:tcPr>
                <w:p w14:paraId="200A1EA9">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cs="Times New Roman"/>
                      <w:bCs/>
                      <w:kern w:val="0"/>
                      <w:sz w:val="21"/>
                      <w:szCs w:val="21"/>
                      <w:lang w:val="en-US" w:eastAsia="zh-CN" w:bidi="ar-SA"/>
                    </w:rPr>
                    <w:t>釜底液</w:t>
                  </w:r>
                </w:p>
              </w:tc>
              <w:tc>
                <w:tcPr>
                  <w:tcW w:w="400" w:type="pct"/>
                  <w:shd w:val="clear" w:color="auto" w:fill="auto"/>
                  <w:vAlign w:val="center"/>
                </w:tcPr>
                <w:p w14:paraId="4C1C9BF2">
                  <w:pPr>
                    <w:topLinePunct/>
                    <w:adjustRightInd w:val="0"/>
                    <w:snapToGrid w:val="0"/>
                    <w:jc w:val="center"/>
                    <w:rPr>
                      <w:rFonts w:ascii="Times New Roman" w:hAnsi="Times New Roman" w:eastAsia="宋体" w:cs="Times New Roman"/>
                      <w:bCs/>
                      <w:kern w:val="0"/>
                      <w:sz w:val="21"/>
                      <w:szCs w:val="21"/>
                      <w:lang w:val="en-US" w:eastAsia="zh-CN" w:bidi="ar-SA"/>
                    </w:rPr>
                  </w:pPr>
                  <w:r>
                    <w:rPr>
                      <w:rFonts w:hint="eastAsia"/>
                      <w:bCs/>
                      <w:kern w:val="0"/>
                      <w:szCs w:val="21"/>
                    </w:rPr>
                    <w:t>液态</w:t>
                  </w:r>
                </w:p>
              </w:tc>
              <w:tc>
                <w:tcPr>
                  <w:tcW w:w="558" w:type="pct"/>
                  <w:shd w:val="clear" w:color="auto" w:fill="auto"/>
                  <w:vAlign w:val="center"/>
                </w:tcPr>
                <w:p w14:paraId="1FC928A8">
                  <w:pPr>
                    <w:topLinePunct/>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高沸物、腐蚀金属离子和盐类</w:t>
                  </w:r>
                  <w:r>
                    <w:rPr>
                      <w:rFonts w:hint="eastAsia" w:cs="Times New Roman"/>
                      <w:bCs/>
                      <w:kern w:val="0"/>
                      <w:sz w:val="21"/>
                      <w:szCs w:val="21"/>
                      <w:lang w:val="en-US" w:eastAsia="zh-CN" w:bidi="ar-SA"/>
                    </w:rPr>
                    <w:t>、重组分</w:t>
                  </w:r>
                </w:p>
              </w:tc>
              <w:tc>
                <w:tcPr>
                  <w:tcW w:w="690" w:type="pct"/>
                  <w:shd w:val="clear" w:color="auto" w:fill="auto"/>
                  <w:vAlign w:val="center"/>
                </w:tcPr>
                <w:p w14:paraId="4CC6C022">
                  <w:pPr>
                    <w:topLinePunct/>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Cs w:val="21"/>
                    </w:rPr>
                    <w:t>HW</w:t>
                  </w:r>
                  <w:r>
                    <w:rPr>
                      <w:rFonts w:hint="eastAsia"/>
                      <w:kern w:val="0"/>
                      <w:szCs w:val="21"/>
                      <w:lang w:val="en-US" w:eastAsia="zh-CN"/>
                    </w:rPr>
                    <w:t>11</w:t>
                  </w:r>
                  <w:r>
                    <w:rPr>
                      <w:rFonts w:hint="eastAsia"/>
                      <w:kern w:val="0"/>
                      <w:szCs w:val="21"/>
                    </w:rPr>
                    <w:t xml:space="preserve"> 900-</w:t>
                  </w:r>
                  <w:r>
                    <w:rPr>
                      <w:rFonts w:hint="eastAsia"/>
                      <w:kern w:val="0"/>
                      <w:szCs w:val="21"/>
                      <w:lang w:val="en-US" w:eastAsia="zh-CN"/>
                    </w:rPr>
                    <w:t>013</w:t>
                  </w:r>
                  <w:r>
                    <w:rPr>
                      <w:rFonts w:hint="eastAsia"/>
                      <w:kern w:val="0"/>
                      <w:szCs w:val="21"/>
                    </w:rPr>
                    <w:t>-</w:t>
                  </w:r>
                  <w:r>
                    <w:rPr>
                      <w:rFonts w:hint="eastAsia"/>
                      <w:kern w:val="0"/>
                      <w:szCs w:val="21"/>
                      <w:lang w:val="en-US" w:eastAsia="zh-CN"/>
                    </w:rPr>
                    <w:t>11</w:t>
                  </w:r>
                </w:p>
              </w:tc>
              <w:tc>
                <w:tcPr>
                  <w:tcW w:w="558" w:type="pct"/>
                  <w:shd w:val="clear" w:color="auto" w:fill="auto"/>
                  <w:vAlign w:val="center"/>
                </w:tcPr>
                <w:p w14:paraId="7A23DA43">
                  <w:pPr>
                    <w:topLinePunct/>
                    <w:autoSpaceDE w:val="0"/>
                    <w:autoSpaceDN w:val="0"/>
                    <w:adjustRightInd w:val="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776</w:t>
                  </w:r>
                </w:p>
              </w:tc>
              <w:tc>
                <w:tcPr>
                  <w:tcW w:w="895" w:type="pct"/>
                  <w:shd w:val="clear" w:color="auto" w:fill="auto"/>
                  <w:vAlign w:val="center"/>
                </w:tcPr>
                <w:p w14:paraId="141B9036">
                  <w:pPr>
                    <w:topLinePunct/>
                    <w:adjustRightInd w:val="0"/>
                    <w:snapToGrid w:val="0"/>
                    <w:jc w:val="center"/>
                    <w:rPr>
                      <w:rFonts w:ascii="宋体" w:hAnsi="宋体" w:eastAsia="宋体" w:cs="宋体"/>
                      <w:bCs/>
                      <w:kern w:val="0"/>
                      <w:sz w:val="21"/>
                      <w:szCs w:val="21"/>
                      <w:lang w:val="en-US" w:eastAsia="zh-CN" w:bidi="ar-SA"/>
                    </w:rPr>
                  </w:pPr>
                  <w:r>
                    <w:rPr>
                      <w:rFonts w:hint="eastAsia" w:ascii="宋体" w:hAnsi="宋体" w:cs="宋体"/>
                      <w:bCs/>
                      <w:kern w:val="0"/>
                      <w:szCs w:val="21"/>
                    </w:rPr>
                    <w:t>交由有危险废物处置资质的单位处置</w:t>
                  </w:r>
                </w:p>
              </w:tc>
            </w:tr>
          </w:tbl>
          <w:p w14:paraId="38A518FD">
            <w:pPr>
              <w:spacing w:line="500" w:lineRule="exact"/>
              <w:ind w:firstLine="482"/>
              <w:rPr>
                <w:b/>
                <w:kern w:val="0"/>
                <w:sz w:val="24"/>
              </w:rPr>
            </w:pPr>
            <w:r>
              <w:rPr>
                <w:rFonts w:hint="eastAsia"/>
                <w:b/>
                <w:kern w:val="0"/>
                <w:sz w:val="24"/>
              </w:rPr>
              <w:t>3、管理要求</w:t>
            </w:r>
          </w:p>
          <w:p w14:paraId="7C0E33F1">
            <w:pPr>
              <w:spacing w:line="500" w:lineRule="exact"/>
              <w:ind w:firstLine="482"/>
              <w:rPr>
                <w:rFonts w:hint="eastAsia"/>
                <w:bCs/>
                <w:kern w:val="0"/>
                <w:sz w:val="24"/>
                <w:u w:val="single"/>
                <w:lang w:val="en-US" w:eastAsia="zh-CN"/>
              </w:rPr>
            </w:pPr>
            <w:r>
              <w:rPr>
                <w:rFonts w:hint="eastAsia"/>
                <w:bCs/>
                <w:kern w:val="0"/>
                <w:sz w:val="24"/>
                <w:u w:val="single"/>
                <w:lang w:val="en-US" w:eastAsia="zh-CN"/>
              </w:rPr>
              <w:t>（1）危险废物暂存措施</w:t>
            </w:r>
          </w:p>
          <w:p w14:paraId="4BF4261E">
            <w:pPr>
              <w:spacing w:line="500" w:lineRule="exact"/>
              <w:ind w:firstLine="482"/>
              <w:rPr>
                <w:rFonts w:hint="eastAsia"/>
                <w:bCs/>
                <w:kern w:val="0"/>
                <w:sz w:val="24"/>
                <w:u w:val="single"/>
                <w:lang w:val="en-US" w:eastAsia="zh-CN"/>
              </w:rPr>
            </w:pPr>
            <w:r>
              <w:rPr>
                <w:rFonts w:hint="eastAsia"/>
                <w:bCs/>
                <w:kern w:val="0"/>
                <w:sz w:val="24"/>
                <w:u w:val="single"/>
                <w:lang w:val="en-US" w:eastAsia="zh-CN"/>
              </w:rPr>
              <w:t>为防止危险废物产生二次污染，废液在废液罐贮存和转运过程，应严格按《危险废物贮存污染控制标准》（GB18597-2023）和《危险废物转移管理办法》（2021年部令第 23 号）要求执行。</w:t>
            </w:r>
          </w:p>
          <w:p w14:paraId="4CB994C4">
            <w:pPr>
              <w:spacing w:line="500" w:lineRule="exact"/>
              <w:ind w:firstLine="482"/>
              <w:rPr>
                <w:rFonts w:hint="eastAsia"/>
                <w:bCs/>
                <w:kern w:val="0"/>
                <w:sz w:val="24"/>
                <w:u w:val="single"/>
                <w:lang w:val="en-US" w:eastAsia="zh-CN"/>
              </w:rPr>
            </w:pPr>
            <w:r>
              <w:rPr>
                <w:rFonts w:hint="eastAsia"/>
                <w:bCs/>
                <w:kern w:val="0"/>
                <w:sz w:val="24"/>
                <w:u w:val="single"/>
                <w:lang w:val="en-US" w:eastAsia="zh-CN"/>
              </w:rPr>
              <w:t>（2）运输过程</w:t>
            </w:r>
          </w:p>
          <w:p w14:paraId="353CA178">
            <w:pPr>
              <w:spacing w:line="500" w:lineRule="exact"/>
              <w:ind w:firstLine="482"/>
              <w:rPr>
                <w:rFonts w:hint="eastAsia"/>
                <w:bCs/>
                <w:kern w:val="0"/>
                <w:sz w:val="24"/>
                <w:u w:val="single"/>
                <w:lang w:val="en-US" w:eastAsia="zh-CN"/>
              </w:rPr>
            </w:pPr>
            <w:r>
              <w:rPr>
                <w:rFonts w:hint="eastAsia"/>
                <w:bCs/>
                <w:kern w:val="0"/>
                <w:sz w:val="24"/>
                <w:u w:val="single"/>
                <w:lang w:val="en-US" w:eastAsia="zh-CN"/>
              </w:rPr>
              <w:t>项目废液厂外运输方式为汽车运输，危险废物运输应由具有从事危险废物运输经营许可证的运输单位完成，运输应满足《危险废物收集 贮存 运输技术规范》(HJ 2025-2012)。</w:t>
            </w:r>
          </w:p>
          <w:p w14:paraId="6A7A3232">
            <w:pPr>
              <w:spacing w:line="500" w:lineRule="exact"/>
              <w:ind w:firstLine="482"/>
              <w:rPr>
                <w:rFonts w:hint="eastAsia"/>
                <w:bCs/>
                <w:kern w:val="0"/>
                <w:sz w:val="24"/>
                <w:u w:val="single"/>
                <w:lang w:val="en-US" w:eastAsia="zh-CN"/>
              </w:rPr>
            </w:pPr>
            <w:r>
              <w:rPr>
                <w:rFonts w:hint="eastAsia"/>
                <w:bCs/>
                <w:kern w:val="0"/>
                <w:sz w:val="24"/>
                <w:u w:val="single"/>
                <w:lang w:val="en-US" w:eastAsia="zh-CN"/>
              </w:rPr>
              <w:t>①运输危险废物的车辆必须严格交通、消防、治安等法规并控制车速，保持与前车的距离，严禁违章超车，确保行车安全；装载危废的车辆不得在居民集聚区、行人稠密地段、风景游览区停车；</w:t>
            </w:r>
          </w:p>
          <w:p w14:paraId="57ABE2B7">
            <w:pPr>
              <w:spacing w:line="500" w:lineRule="exact"/>
              <w:ind w:firstLine="482"/>
              <w:rPr>
                <w:rFonts w:hint="eastAsia"/>
                <w:bCs/>
                <w:kern w:val="0"/>
                <w:sz w:val="24"/>
                <w:u w:val="single"/>
                <w:lang w:val="en-US" w:eastAsia="zh-CN"/>
              </w:rPr>
            </w:pPr>
            <w:r>
              <w:rPr>
                <w:rFonts w:hint="eastAsia"/>
                <w:bCs/>
                <w:kern w:val="0"/>
                <w:sz w:val="24"/>
                <w:u w:val="single"/>
                <w:lang w:val="en-US" w:eastAsia="zh-CN"/>
              </w:rPr>
              <w:t>②运输危险废物必须配备随车人员在途中经常检查，不得搭乘无关人员，车上人员严禁吸烟；</w:t>
            </w:r>
          </w:p>
          <w:p w14:paraId="222870BF">
            <w:pPr>
              <w:spacing w:line="500" w:lineRule="exact"/>
              <w:ind w:firstLine="482"/>
              <w:rPr>
                <w:rFonts w:hint="eastAsia"/>
                <w:bCs/>
                <w:kern w:val="0"/>
                <w:sz w:val="24"/>
                <w:u w:val="single"/>
                <w:lang w:val="en-US" w:eastAsia="zh-CN"/>
              </w:rPr>
            </w:pPr>
            <w:r>
              <w:rPr>
                <w:rFonts w:hint="eastAsia"/>
                <w:bCs/>
                <w:kern w:val="0"/>
                <w:sz w:val="24"/>
                <w:u w:val="single"/>
                <w:lang w:val="en-US" w:eastAsia="zh-CN"/>
              </w:rPr>
              <w:t>③根据车上废物性质，采取遮阳、控温、防火、防爆、防震、防水、防冻等措施；</w:t>
            </w:r>
          </w:p>
          <w:p w14:paraId="0DF8E505">
            <w:pPr>
              <w:spacing w:line="500" w:lineRule="exact"/>
              <w:ind w:firstLine="482"/>
              <w:rPr>
                <w:rFonts w:hint="eastAsia"/>
                <w:bCs/>
                <w:kern w:val="0"/>
                <w:sz w:val="24"/>
                <w:u w:val="single"/>
                <w:lang w:val="en-US" w:eastAsia="zh-CN"/>
              </w:rPr>
            </w:pPr>
            <w:r>
              <w:rPr>
                <w:rFonts w:hint="eastAsia"/>
                <w:bCs/>
                <w:kern w:val="0"/>
                <w:sz w:val="24"/>
                <w:u w:val="single"/>
                <w:lang w:val="en-US" w:eastAsia="zh-CN"/>
              </w:rPr>
              <w:t>④危险废物随车人员不得擅自改变作业计划，严禁擅自拼装、超载。危险废物运输应优先安排；</w:t>
            </w:r>
          </w:p>
          <w:p w14:paraId="44D978AF">
            <w:pPr>
              <w:spacing w:line="500" w:lineRule="exact"/>
              <w:ind w:firstLine="482"/>
              <w:rPr>
                <w:rFonts w:hint="eastAsia"/>
                <w:bCs/>
                <w:kern w:val="0"/>
                <w:sz w:val="24"/>
                <w:u w:val="single"/>
                <w:lang w:val="en-US" w:eastAsia="zh-CN"/>
              </w:rPr>
            </w:pPr>
            <w:r>
              <w:rPr>
                <w:rFonts w:hint="eastAsia"/>
                <w:bCs/>
                <w:kern w:val="0"/>
                <w:sz w:val="24"/>
                <w:u w:val="single"/>
                <w:lang w:val="en-US" w:eastAsia="zh-CN"/>
              </w:rPr>
              <w:t>⑤危险废物装卸作业必须严格遵守操作规程，轻装、轻卸，严禁摔碰、撞击、重压、倒置</w:t>
            </w:r>
          </w:p>
          <w:p w14:paraId="62840D5A">
            <w:pPr>
              <w:spacing w:line="500" w:lineRule="exact"/>
              <w:ind w:firstLine="482"/>
              <w:rPr>
                <w:rFonts w:hint="eastAsia"/>
                <w:bCs/>
                <w:kern w:val="0"/>
                <w:sz w:val="24"/>
                <w:u w:val="single"/>
                <w:lang w:val="en-US" w:eastAsia="zh-CN"/>
              </w:rPr>
            </w:pPr>
            <w:r>
              <w:rPr>
                <w:rFonts w:hint="eastAsia"/>
                <w:bCs/>
                <w:kern w:val="0"/>
                <w:sz w:val="24"/>
                <w:u w:val="single"/>
                <w:lang w:val="en-US" w:eastAsia="zh-CN"/>
              </w:rPr>
              <w:t>（3）管理要求</w:t>
            </w:r>
          </w:p>
          <w:p w14:paraId="6077E041">
            <w:pPr>
              <w:spacing w:line="500" w:lineRule="exact"/>
              <w:ind w:firstLine="482"/>
              <w:rPr>
                <w:rFonts w:hint="default"/>
                <w:bCs/>
                <w:kern w:val="0"/>
                <w:sz w:val="24"/>
                <w:u w:val="single"/>
                <w:lang w:val="en-US" w:eastAsia="zh-CN"/>
              </w:rPr>
            </w:pPr>
            <w:r>
              <w:rPr>
                <w:rFonts w:hint="default"/>
                <w:bCs/>
                <w:kern w:val="0"/>
                <w:sz w:val="24"/>
                <w:u w:val="single"/>
                <w:lang w:val="en-US" w:eastAsia="zh-CN"/>
              </w:rPr>
              <w:t xml:space="preserve">企业应建立固体废物责任制度，并做到将各类固废分类收集贮存，确保固废不产生二次污染。在危险废物日常管理工作中已严格执行国家的有关法律法规，自觉接受环保部门的监督和日常检查，主要的管理工作有： </w:t>
            </w:r>
          </w:p>
          <w:p w14:paraId="26AB9C4D">
            <w:pPr>
              <w:spacing w:line="500" w:lineRule="exact"/>
              <w:ind w:firstLine="482"/>
              <w:rPr>
                <w:rFonts w:hint="default"/>
                <w:bCs/>
                <w:kern w:val="0"/>
                <w:sz w:val="24"/>
                <w:u w:val="single"/>
                <w:lang w:val="en-US" w:eastAsia="zh-CN"/>
              </w:rPr>
            </w:pPr>
            <w:r>
              <w:rPr>
                <w:rFonts w:hint="default"/>
                <w:bCs/>
                <w:kern w:val="0"/>
                <w:sz w:val="24"/>
                <w:u w:val="single"/>
                <w:lang w:val="en-US" w:eastAsia="zh-CN"/>
              </w:rPr>
              <w:t>①履行申报的登记制度、建立危废管理台账制度，每种危废一本；并及时登记各种危废的产生、转移、处置情况。</w:t>
            </w:r>
          </w:p>
          <w:p w14:paraId="080718DF">
            <w:pPr>
              <w:spacing w:line="500" w:lineRule="exact"/>
              <w:ind w:firstLine="482"/>
              <w:rPr>
                <w:rFonts w:hint="default"/>
                <w:bCs/>
                <w:kern w:val="0"/>
                <w:sz w:val="24"/>
                <w:u w:val="single"/>
                <w:lang w:val="en-US" w:eastAsia="zh-CN"/>
              </w:rPr>
            </w:pPr>
            <w:r>
              <w:rPr>
                <w:rFonts w:hint="default"/>
                <w:bCs/>
                <w:kern w:val="0"/>
                <w:sz w:val="24"/>
                <w:u w:val="single"/>
                <w:lang w:val="en-US" w:eastAsia="zh-CN"/>
              </w:rPr>
              <w:t>②在危险废物的转移运输中，按《危险废物转移管理办法》的规定制定危险废物管理计划，明确拟转移危险废物的种类、重量（数量）和流向等信息；建立危险废物管理台账，对转移的危险废物进行计量称重，如实记录、妥善保管转移危险废物的种类、重量（数量）和接收人等相关信息；填写、运行危险废物转移联单，在危险废物转移联单中如实填写移出人、承运人、接收人信息，转移危险废物的种类、重量（数量）、危险特性等信息，以及突发环境事件的防范措施等。</w:t>
            </w:r>
          </w:p>
          <w:p w14:paraId="206225F8">
            <w:pPr>
              <w:spacing w:line="500" w:lineRule="exact"/>
              <w:ind w:firstLine="482"/>
              <w:rPr>
                <w:rFonts w:hint="default"/>
                <w:bCs/>
                <w:kern w:val="0"/>
                <w:sz w:val="24"/>
                <w:u w:val="single"/>
                <w:lang w:val="en-US" w:eastAsia="zh-CN"/>
              </w:rPr>
            </w:pPr>
            <w:r>
              <w:rPr>
                <w:rFonts w:hint="default"/>
                <w:bCs/>
                <w:kern w:val="0"/>
                <w:sz w:val="24"/>
                <w:u w:val="single"/>
                <w:lang w:val="en-US" w:eastAsia="zh-CN"/>
              </w:rPr>
              <w:t>③与有资质的单位签订危废合同，危险废物除贮存的，全部委托有资质的单位处置。</w:t>
            </w:r>
          </w:p>
          <w:p w14:paraId="0E9A0056">
            <w:pPr>
              <w:spacing w:line="500" w:lineRule="exact"/>
              <w:ind w:firstLine="482"/>
              <w:rPr>
                <w:rFonts w:hint="default"/>
                <w:bCs/>
                <w:kern w:val="0"/>
                <w:sz w:val="24"/>
                <w:u w:val="single"/>
                <w:lang w:val="en-US" w:eastAsia="zh-CN"/>
              </w:rPr>
            </w:pPr>
            <w:r>
              <w:rPr>
                <w:rFonts w:hint="default"/>
                <w:bCs/>
                <w:kern w:val="0"/>
                <w:sz w:val="24"/>
                <w:u w:val="single"/>
                <w:lang w:val="en-US" w:eastAsia="zh-CN"/>
              </w:rPr>
              <w:t>④项目危险废物运输方式均为汽车运输，危险废物运输均由具有从事危险废物运输经营许可证的运输单位完成。危险废物运输已满足《危险废物收集 贮存 运输技术规范》(HJ 2025-2012）相关要求。</w:t>
            </w:r>
          </w:p>
          <w:p w14:paraId="15F7116D">
            <w:pPr>
              <w:spacing w:line="500" w:lineRule="exact"/>
              <w:ind w:firstLine="482"/>
              <w:rPr>
                <w:kern w:val="0"/>
                <w:sz w:val="24"/>
              </w:rPr>
            </w:pPr>
            <w:r>
              <w:rPr>
                <w:rFonts w:hint="eastAsia"/>
                <w:kern w:val="0"/>
                <w:sz w:val="24"/>
              </w:rPr>
              <w:t>采取上述措施后项目固体废物均可得到妥善、合理地处置，符合国家对固体废物处置的“减量化、资源化和无害化”的基本原则，处置率达100%，对周围环境的影响可接受。</w:t>
            </w:r>
          </w:p>
          <w:p w14:paraId="3E087139">
            <w:pPr>
              <w:spacing w:line="500" w:lineRule="exact"/>
              <w:ind w:firstLine="482"/>
              <w:rPr>
                <w:b/>
                <w:kern w:val="0"/>
                <w:sz w:val="24"/>
              </w:rPr>
            </w:pPr>
            <w:r>
              <w:rPr>
                <w:rFonts w:hint="eastAsia"/>
                <w:b/>
                <w:kern w:val="0"/>
                <w:sz w:val="24"/>
              </w:rPr>
              <w:t>5、地下水、土壤</w:t>
            </w:r>
          </w:p>
          <w:p w14:paraId="59A80E99">
            <w:pPr>
              <w:spacing w:line="500" w:lineRule="exact"/>
              <w:ind w:firstLine="482"/>
              <w:rPr>
                <w:kern w:val="0"/>
                <w:sz w:val="24"/>
              </w:rPr>
            </w:pPr>
            <w:r>
              <w:rPr>
                <w:rFonts w:hint="eastAsia"/>
                <w:kern w:val="0"/>
                <w:sz w:val="24"/>
              </w:rPr>
              <w:t xml:space="preserve">根据《建设项目环境影响报告表编制技术指南》（污染影响类）（试行），本项目无需开展地下水及土壤的专项评价；本次评价仅对地下水和土壤污染进行简单分析。 </w:t>
            </w:r>
          </w:p>
          <w:p w14:paraId="7FADB10E">
            <w:pPr>
              <w:spacing w:line="500" w:lineRule="exact"/>
              <w:ind w:firstLine="482"/>
              <w:rPr>
                <w:kern w:val="0"/>
                <w:sz w:val="24"/>
              </w:rPr>
            </w:pPr>
            <w:r>
              <w:rPr>
                <w:rFonts w:hint="eastAsia"/>
                <w:kern w:val="0"/>
                <w:sz w:val="24"/>
              </w:rPr>
              <w:t>本项目运营期污染物进入土壤、地下水环境的途径主要是废水排放或原料、固废泄漏等通过垂直渗透进入土壤、地下水环境。根据本项目特点及现场勘查，</w:t>
            </w:r>
            <w:r>
              <w:rPr>
                <w:rFonts w:hint="eastAsia"/>
                <w:kern w:val="0"/>
                <w:sz w:val="24"/>
                <w:lang w:val="en-US" w:eastAsia="zh-CN"/>
              </w:rPr>
              <w:t>本项目运营期无废水产生，不会发生废水泄漏污染地下水和土壤的情况，主要污染途径为废液罐、丙酸缓冲罐发生泄漏对地下水和土壤造成影响</w:t>
            </w:r>
            <w:r>
              <w:rPr>
                <w:rFonts w:hint="eastAsia"/>
                <w:kern w:val="0"/>
                <w:sz w:val="24"/>
              </w:rPr>
              <w:t>，因此建设单位应</w:t>
            </w:r>
            <w:r>
              <w:rPr>
                <w:rFonts w:hint="eastAsia"/>
                <w:kern w:val="0"/>
                <w:sz w:val="24"/>
                <w:lang w:val="en-US" w:eastAsia="zh-CN"/>
              </w:rPr>
              <w:t>做好罐体防渗措施，</w:t>
            </w:r>
            <w:r>
              <w:rPr>
                <w:rFonts w:hint="eastAsia"/>
                <w:kern w:val="0"/>
                <w:sz w:val="24"/>
              </w:rPr>
              <w:t>定期检查</w:t>
            </w:r>
            <w:r>
              <w:rPr>
                <w:rFonts w:hint="eastAsia"/>
                <w:kern w:val="0"/>
                <w:sz w:val="24"/>
                <w:lang w:val="en-US" w:eastAsia="zh-CN"/>
              </w:rPr>
              <w:t>罐体</w:t>
            </w:r>
            <w:r>
              <w:rPr>
                <w:rFonts w:hint="eastAsia"/>
                <w:kern w:val="0"/>
                <w:sz w:val="24"/>
              </w:rPr>
              <w:t>，避免破损，发生泄漏污染地下水和土壤的情况发生。在采取了有效的土壤、地下水污染防控措施后，项目运营期不会对区域土壤、地下水环境产生明显影响。</w:t>
            </w:r>
          </w:p>
          <w:p w14:paraId="0F328EE9">
            <w:pPr>
              <w:spacing w:line="500" w:lineRule="exact"/>
              <w:ind w:firstLine="482"/>
              <w:rPr>
                <w:b/>
                <w:sz w:val="24"/>
              </w:rPr>
            </w:pPr>
            <w:r>
              <w:rPr>
                <w:rFonts w:hint="eastAsia"/>
                <w:b/>
                <w:sz w:val="24"/>
              </w:rPr>
              <w:t>6、生态</w:t>
            </w:r>
          </w:p>
          <w:p w14:paraId="2F2832A1">
            <w:pPr>
              <w:spacing w:line="500" w:lineRule="exact"/>
              <w:ind w:firstLine="482"/>
              <w:rPr>
                <w:rFonts w:hint="eastAsia"/>
                <w:sz w:val="24"/>
              </w:rPr>
            </w:pPr>
            <w:r>
              <w:rPr>
                <w:rFonts w:hint="eastAsia"/>
                <w:sz w:val="24"/>
              </w:rPr>
              <w:t>项目位于工业园区内，在现有厂区内进行建设，且项目评价范围内无自然保护区，因此项目基本不会影响和改变当地生态环境的变化，对生态环境影响可接受。</w:t>
            </w:r>
          </w:p>
          <w:p w14:paraId="1F092877">
            <w:pPr>
              <w:spacing w:line="500" w:lineRule="exact"/>
              <w:ind w:firstLine="482"/>
              <w:rPr>
                <w:b/>
                <w:sz w:val="24"/>
              </w:rPr>
            </w:pPr>
            <w:r>
              <w:rPr>
                <w:rFonts w:hint="eastAsia"/>
                <w:b/>
                <w:sz w:val="24"/>
              </w:rPr>
              <w:t>7、环境风险</w:t>
            </w:r>
          </w:p>
          <w:p w14:paraId="695D9F1F">
            <w:pPr>
              <w:spacing w:line="500" w:lineRule="exact"/>
              <w:ind w:firstLine="482"/>
              <w:rPr>
                <w:rFonts w:hint="eastAsia"/>
                <w:sz w:val="24"/>
              </w:rPr>
            </w:pPr>
            <w:r>
              <w:rPr>
                <w:rFonts w:hint="eastAsia"/>
                <w:sz w:val="24"/>
              </w:rPr>
              <w:t>根据风险环境影响专项评价结论：</w:t>
            </w:r>
          </w:p>
          <w:p w14:paraId="2E209F60">
            <w:pPr>
              <w:spacing w:line="500" w:lineRule="exact"/>
              <w:ind w:firstLine="482"/>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项目危险因素</w:t>
            </w:r>
          </w:p>
          <w:p w14:paraId="3055599D">
            <w:pPr>
              <w:spacing w:line="500" w:lineRule="exact"/>
              <w:ind w:firstLine="482"/>
              <w:rPr>
                <w:rFonts w:hint="eastAsia"/>
                <w:sz w:val="24"/>
              </w:rPr>
            </w:pPr>
            <w:r>
              <w:rPr>
                <w:rFonts w:hint="eastAsia"/>
                <w:sz w:val="24"/>
              </w:rPr>
              <w:t>项目涉及的主要原料、产品及中间产品中多数物质属于易燃易爆和有毒有害物质，其中醋酸、丙酸、丁酸、戊酸具有泄漏及火灾爆炸的危险性，属于本次评价的风险物质。根据风险识别，项目的醋酸储罐</w:t>
            </w:r>
            <w:r>
              <w:rPr>
                <w:rFonts w:hint="eastAsia"/>
                <w:sz w:val="24"/>
                <w:lang w:eastAsia="zh-CN"/>
              </w:rPr>
              <w:t>、</w:t>
            </w:r>
            <w:r>
              <w:rPr>
                <w:rFonts w:hint="eastAsia"/>
                <w:sz w:val="24"/>
                <w:lang w:val="en-US" w:eastAsia="zh-CN"/>
              </w:rPr>
              <w:t>废液罐</w:t>
            </w:r>
            <w:r>
              <w:rPr>
                <w:rFonts w:hint="eastAsia"/>
                <w:sz w:val="24"/>
              </w:rPr>
              <w:t>为重点风险源。</w:t>
            </w:r>
          </w:p>
          <w:p w14:paraId="22FD23B5">
            <w:pPr>
              <w:spacing w:line="500" w:lineRule="exact"/>
              <w:ind w:firstLine="482"/>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环境敏感性及事故环境影响</w:t>
            </w:r>
          </w:p>
          <w:p w14:paraId="119CFCF2">
            <w:pPr>
              <w:spacing w:line="500" w:lineRule="exact"/>
              <w:ind w:firstLine="482"/>
              <w:rPr>
                <w:rFonts w:hint="eastAsia"/>
                <w:sz w:val="24"/>
              </w:rPr>
            </w:pPr>
            <w:r>
              <w:rPr>
                <w:rFonts w:hint="eastAsia"/>
                <w:sz w:val="24"/>
              </w:rPr>
              <w:t>根据《建设项目环境风险评价技术导则》（HJ169-2018）附录 D，大气、地表水、地下水环境风险潜势分别为III、III和III，本项目环境风险潜势相对高值为III，环境风险评价等级为二级。</w:t>
            </w:r>
          </w:p>
          <w:p w14:paraId="69B0F4AE">
            <w:pPr>
              <w:spacing w:line="500" w:lineRule="exact"/>
              <w:ind w:firstLine="482"/>
              <w:rPr>
                <w:rFonts w:hint="eastAsia"/>
                <w:sz w:val="24"/>
              </w:rPr>
            </w:pPr>
            <w:r>
              <w:rPr>
                <w:rFonts w:hint="eastAsia"/>
                <w:sz w:val="24"/>
              </w:rPr>
              <w:t>项目设定的最大可信环境风险事故，根据预测结果：</w:t>
            </w:r>
          </w:p>
          <w:p w14:paraId="37A457E7">
            <w:pPr>
              <w:spacing w:line="500" w:lineRule="exact"/>
              <w:ind w:firstLine="482"/>
              <w:rPr>
                <w:rFonts w:hint="eastAsia"/>
                <w:sz w:val="24"/>
              </w:rPr>
            </w:pPr>
            <w:r>
              <w:rPr>
                <w:rFonts w:hint="eastAsia" w:ascii="宋体" w:hAnsi="宋体" w:eastAsia="宋体" w:cs="宋体"/>
                <w:sz w:val="24"/>
              </w:rPr>
              <w:t>①</w:t>
            </w:r>
            <w:r>
              <w:rPr>
                <w:rFonts w:hint="eastAsia"/>
                <w:sz w:val="24"/>
              </w:rPr>
              <w:t>醋酸中间罐泄漏，污染物释放进入大气环境，造成大气风险事故情形下，出现超大气毒性终点浓度-1的最远距离为110m，出现超大气毒性终点浓度-2 的最远距离为370m，此情境下，风险源（醋酸储罐）</w:t>
            </w:r>
            <w:r>
              <w:rPr>
                <w:rFonts w:hint="eastAsia"/>
                <w:sz w:val="24"/>
                <w:lang w:val="en-US" w:eastAsia="zh-CN"/>
              </w:rPr>
              <w:t>下风向</w:t>
            </w:r>
            <w:r>
              <w:rPr>
                <w:rFonts w:hint="eastAsia"/>
                <w:sz w:val="24"/>
              </w:rPr>
              <w:t>最大影响区域范围内无环境风险敏感点。</w:t>
            </w:r>
          </w:p>
          <w:p w14:paraId="378B6D98">
            <w:pPr>
              <w:spacing w:line="500" w:lineRule="exact"/>
              <w:ind w:firstLine="482"/>
              <w:rPr>
                <w:rFonts w:hint="eastAsia"/>
                <w:sz w:val="24"/>
              </w:rPr>
            </w:pPr>
            <w:r>
              <w:rPr>
                <w:rFonts w:hint="eastAsia" w:ascii="宋体" w:hAnsi="宋体" w:eastAsia="宋体" w:cs="宋体"/>
                <w:sz w:val="24"/>
              </w:rPr>
              <w:t>②</w:t>
            </w:r>
            <w:r>
              <w:rPr>
                <w:rFonts w:hint="eastAsia"/>
                <w:sz w:val="24"/>
              </w:rPr>
              <w:t>醋酸</w:t>
            </w:r>
            <w:r>
              <w:rPr>
                <w:rFonts w:hint="eastAsia"/>
                <w:sz w:val="24"/>
                <w:lang w:eastAsia="zh-CN"/>
              </w:rPr>
              <w:t>、</w:t>
            </w:r>
            <w:r>
              <w:rPr>
                <w:rFonts w:hint="eastAsia"/>
                <w:sz w:val="24"/>
                <w:lang w:val="en-US" w:eastAsia="zh-CN"/>
              </w:rPr>
              <w:t>废液</w:t>
            </w:r>
            <w:r>
              <w:rPr>
                <w:rFonts w:hint="eastAsia"/>
                <w:sz w:val="24"/>
              </w:rPr>
              <w:t>泄漏，遇明火，燃烧伴生污染物释放进入大气环境，造成大气风险事故情形下，大气CO出现超大气毒性终点浓度-1的最远距离为</w:t>
            </w:r>
            <w:r>
              <w:rPr>
                <w:rFonts w:hint="eastAsia"/>
                <w:sz w:val="24"/>
                <w:lang w:val="en-US" w:eastAsia="zh-CN"/>
              </w:rPr>
              <w:t>660</w:t>
            </w:r>
            <w:r>
              <w:rPr>
                <w:rFonts w:hint="eastAsia"/>
                <w:sz w:val="24"/>
              </w:rPr>
              <w:t>m，出现超大气毒性终点浓度-2 的最远距离为</w:t>
            </w:r>
            <w:r>
              <w:rPr>
                <w:rFonts w:hint="eastAsia"/>
                <w:sz w:val="24"/>
                <w:lang w:val="en-US" w:eastAsia="zh-CN"/>
              </w:rPr>
              <w:t>1150</w:t>
            </w:r>
            <w:r>
              <w:rPr>
                <w:rFonts w:hint="eastAsia"/>
                <w:sz w:val="24"/>
              </w:rPr>
              <w:t>m，此情境下，</w:t>
            </w:r>
            <w:r>
              <w:rPr>
                <w:rFonts w:hint="eastAsia"/>
                <w:sz w:val="24"/>
                <w:lang w:val="en-US" w:eastAsia="zh-CN"/>
              </w:rPr>
              <w:t>风险源（醋酸储罐、废液罐）下风向</w:t>
            </w:r>
            <w:r>
              <w:rPr>
                <w:rFonts w:hint="eastAsia"/>
                <w:sz w:val="24"/>
              </w:rPr>
              <w:t>最大影响区域范围内无环境风险敏感点。</w:t>
            </w:r>
          </w:p>
          <w:p w14:paraId="5FAB2429">
            <w:pPr>
              <w:spacing w:line="500" w:lineRule="exact"/>
              <w:ind w:firstLine="482"/>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环境风险防范措施和应急预案</w:t>
            </w:r>
          </w:p>
          <w:p w14:paraId="005E0C2D">
            <w:pPr>
              <w:spacing w:line="500" w:lineRule="exact"/>
              <w:ind w:firstLine="482"/>
              <w:rPr>
                <w:rFonts w:hint="eastAsia"/>
                <w:sz w:val="24"/>
              </w:rPr>
            </w:pPr>
            <w:r>
              <w:rPr>
                <w:rFonts w:hint="eastAsia"/>
                <w:sz w:val="24"/>
              </w:rPr>
              <w:t>项目风险防范措施及应急预案合理、可行，项目建设水体污染事故三级防控系统可有效防控本项目事故废水不排出厂区。应急预案应在厂区内企业应急预案的基础上，纳入园区环境风险防控体系和管理的衔接要求，实现厂内与园区环境风险防控设施及管理的有效联动，有效防控环境风险。</w:t>
            </w:r>
          </w:p>
          <w:p w14:paraId="7F024091">
            <w:pPr>
              <w:spacing w:line="500" w:lineRule="exact"/>
              <w:ind w:firstLine="482"/>
              <w:rPr>
                <w:rFonts w:hint="eastAsia"/>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环境风险评价结论与建议</w:t>
            </w:r>
          </w:p>
          <w:p w14:paraId="6345C898">
            <w:pPr>
              <w:spacing w:line="500" w:lineRule="exact"/>
              <w:ind w:firstLine="482"/>
              <w:rPr>
                <w:rFonts w:hint="eastAsia"/>
                <w:sz w:val="24"/>
              </w:rPr>
            </w:pPr>
            <w:r>
              <w:rPr>
                <w:rFonts w:hint="eastAsia"/>
                <w:sz w:val="24"/>
              </w:rPr>
              <w:t>项目环境风险的影响范围内没有敏感点。在落实本报告提出的各项风险管控措施和建议的前提下，并与现有工程风险事故应急体系有效衔接的基础上，项目环境风险可防可控。</w:t>
            </w:r>
            <w:r>
              <w:rPr>
                <w:rFonts w:hint="eastAsia"/>
                <w:sz w:val="24"/>
                <w:lang w:val="en-US" w:eastAsia="zh-CN"/>
              </w:rPr>
              <w:t>详细内容</w:t>
            </w:r>
            <w:r>
              <w:rPr>
                <w:rFonts w:hint="eastAsia"/>
                <w:sz w:val="24"/>
              </w:rPr>
              <w:t>见环境风险专项评价。</w:t>
            </w:r>
          </w:p>
          <w:p w14:paraId="7A83B07D">
            <w:pPr>
              <w:spacing w:line="500" w:lineRule="exact"/>
              <w:ind w:firstLine="482"/>
              <w:rPr>
                <w:b/>
                <w:sz w:val="24"/>
              </w:rPr>
            </w:pPr>
            <w:r>
              <w:rPr>
                <w:rFonts w:hint="eastAsia"/>
                <w:b/>
                <w:sz w:val="24"/>
              </w:rPr>
              <w:t>8、电磁辐射</w:t>
            </w:r>
          </w:p>
          <w:p w14:paraId="4DB0ECC6">
            <w:pPr>
              <w:spacing w:line="500" w:lineRule="exact"/>
              <w:ind w:firstLine="482"/>
              <w:rPr>
                <w:sz w:val="24"/>
              </w:rPr>
            </w:pPr>
            <w:r>
              <w:rPr>
                <w:rFonts w:hint="eastAsia"/>
                <w:sz w:val="24"/>
              </w:rPr>
              <w:t>不涉及。</w:t>
            </w:r>
          </w:p>
          <w:p w14:paraId="34AE5972">
            <w:pPr>
              <w:spacing w:line="500" w:lineRule="exact"/>
              <w:ind w:firstLine="482"/>
              <w:rPr>
                <w:b/>
                <w:sz w:val="24"/>
              </w:rPr>
            </w:pPr>
            <w:r>
              <w:rPr>
                <w:rFonts w:hint="eastAsia"/>
                <w:b/>
                <w:sz w:val="24"/>
              </w:rPr>
              <w:t>9、环保投资估算</w:t>
            </w:r>
          </w:p>
          <w:p w14:paraId="677C45E8">
            <w:pPr>
              <w:spacing w:line="500" w:lineRule="exact"/>
              <w:ind w:firstLine="482"/>
              <w:rPr>
                <w:sz w:val="24"/>
              </w:rPr>
            </w:pPr>
            <w:r>
              <w:rPr>
                <w:rFonts w:hint="eastAsia"/>
                <w:sz w:val="24"/>
              </w:rPr>
              <w:t>本项目总投资</w:t>
            </w:r>
            <w:r>
              <w:rPr>
                <w:rFonts w:hint="eastAsia"/>
                <w:sz w:val="24"/>
                <w:highlight w:val="none"/>
                <w:lang w:val="en-US" w:eastAsia="zh-CN"/>
              </w:rPr>
              <w:t>961.8</w:t>
            </w:r>
            <w:r>
              <w:rPr>
                <w:rFonts w:hint="eastAsia"/>
                <w:sz w:val="24"/>
              </w:rPr>
              <w:t>万元，环保投资总额约</w:t>
            </w:r>
            <w:r>
              <w:rPr>
                <w:rFonts w:hint="eastAsia"/>
                <w:sz w:val="24"/>
                <w:lang w:val="en-US" w:eastAsia="zh-CN"/>
              </w:rPr>
              <w:t>57</w:t>
            </w:r>
            <w:r>
              <w:rPr>
                <w:rFonts w:hint="eastAsia"/>
                <w:sz w:val="24"/>
              </w:rPr>
              <w:t>万元，占总投资的</w:t>
            </w:r>
            <w:r>
              <w:rPr>
                <w:rFonts w:hint="eastAsia"/>
                <w:sz w:val="24"/>
                <w:lang w:val="en-US" w:eastAsia="zh-CN"/>
              </w:rPr>
              <w:t>5.93</w:t>
            </w:r>
            <w:r>
              <w:rPr>
                <w:rFonts w:hint="eastAsia"/>
                <w:sz w:val="24"/>
              </w:rPr>
              <w:t>%，具体环保投资情况见表4-</w:t>
            </w:r>
            <w:r>
              <w:rPr>
                <w:rFonts w:hint="eastAsia"/>
                <w:sz w:val="24"/>
                <w:lang w:val="en-US" w:eastAsia="zh-CN"/>
              </w:rPr>
              <w:t>8</w:t>
            </w:r>
            <w:r>
              <w:rPr>
                <w:rFonts w:hint="eastAsia"/>
                <w:sz w:val="24"/>
              </w:rPr>
              <w:t>。</w:t>
            </w:r>
          </w:p>
          <w:p w14:paraId="2D7D9CFF">
            <w:pPr>
              <w:pStyle w:val="51"/>
              <w:numPr>
                <w:ilvl w:val="2"/>
                <w:numId w:val="7"/>
              </w:numPr>
              <w:spacing w:line="500" w:lineRule="atLeast"/>
              <w:ind w:firstLineChars="0"/>
              <w:jc w:val="center"/>
              <w:rPr>
                <w:b/>
                <w:sz w:val="24"/>
              </w:rPr>
            </w:pPr>
            <w:r>
              <w:rPr>
                <w:rFonts w:hint="eastAsia"/>
                <w:b/>
                <w:sz w:val="24"/>
              </w:rPr>
              <w:t>环保投资情况一览表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1186"/>
              <w:gridCol w:w="4441"/>
              <w:gridCol w:w="1727"/>
            </w:tblGrid>
            <w:tr w14:paraId="49D5A4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7" w:type="dxa"/>
                  <w:gridSpan w:val="2"/>
                  <w:tcBorders>
                    <w:top w:val="single" w:color="auto" w:sz="4" w:space="0"/>
                    <w:left w:val="single" w:color="auto" w:sz="4" w:space="0"/>
                    <w:bottom w:val="single" w:color="auto" w:sz="6" w:space="0"/>
                    <w:right w:val="single" w:color="auto" w:sz="6" w:space="0"/>
                  </w:tcBorders>
                  <w:vAlign w:val="center"/>
                </w:tcPr>
                <w:p w14:paraId="40532844">
                  <w:pPr>
                    <w:pStyle w:val="79"/>
                    <w:spacing w:line="240" w:lineRule="exact"/>
                    <w:ind w:firstLine="0" w:firstLineChars="0"/>
                    <w:jc w:val="center"/>
                    <w:rPr>
                      <w:color w:val="000000"/>
                      <w:szCs w:val="21"/>
                    </w:rPr>
                  </w:pPr>
                  <w:r>
                    <w:rPr>
                      <w:color w:val="000000"/>
                      <w:szCs w:val="21"/>
                    </w:rPr>
                    <w:t>投资项目</w:t>
                  </w:r>
                </w:p>
              </w:tc>
              <w:tc>
                <w:tcPr>
                  <w:tcW w:w="4441" w:type="dxa"/>
                  <w:tcBorders>
                    <w:top w:val="single" w:color="auto" w:sz="4" w:space="0"/>
                    <w:left w:val="single" w:color="auto" w:sz="6" w:space="0"/>
                    <w:bottom w:val="single" w:color="auto" w:sz="6" w:space="0"/>
                    <w:right w:val="single" w:color="auto" w:sz="6" w:space="0"/>
                  </w:tcBorders>
                  <w:vAlign w:val="center"/>
                </w:tcPr>
                <w:p w14:paraId="2F5DCA54">
                  <w:pPr>
                    <w:pStyle w:val="79"/>
                    <w:spacing w:line="240" w:lineRule="exact"/>
                    <w:ind w:firstLine="0" w:firstLineChars="0"/>
                    <w:jc w:val="center"/>
                    <w:rPr>
                      <w:color w:val="000000"/>
                      <w:szCs w:val="21"/>
                    </w:rPr>
                  </w:pPr>
                  <w:r>
                    <w:rPr>
                      <w:color w:val="000000"/>
                      <w:szCs w:val="21"/>
                    </w:rPr>
                    <w:t>建设内容</w:t>
                  </w:r>
                </w:p>
              </w:tc>
              <w:tc>
                <w:tcPr>
                  <w:tcW w:w="1727" w:type="dxa"/>
                  <w:tcBorders>
                    <w:top w:val="single" w:color="auto" w:sz="4" w:space="0"/>
                    <w:left w:val="single" w:color="auto" w:sz="6" w:space="0"/>
                    <w:bottom w:val="single" w:color="auto" w:sz="6" w:space="0"/>
                    <w:right w:val="single" w:color="auto" w:sz="4" w:space="0"/>
                  </w:tcBorders>
                  <w:vAlign w:val="center"/>
                </w:tcPr>
                <w:p w14:paraId="3CEFCF6A">
                  <w:pPr>
                    <w:pStyle w:val="79"/>
                    <w:spacing w:line="240" w:lineRule="exact"/>
                    <w:ind w:firstLine="0" w:firstLineChars="0"/>
                    <w:jc w:val="center"/>
                    <w:rPr>
                      <w:color w:val="000000"/>
                      <w:szCs w:val="21"/>
                    </w:rPr>
                  </w:pPr>
                  <w:r>
                    <w:rPr>
                      <w:color w:val="000000"/>
                      <w:szCs w:val="21"/>
                    </w:rPr>
                    <w:t>投资估算（万元）</w:t>
                  </w:r>
                </w:p>
              </w:tc>
            </w:tr>
            <w:tr w14:paraId="2DAA88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restart"/>
                  <w:tcBorders>
                    <w:top w:val="single" w:color="auto" w:sz="6" w:space="0"/>
                    <w:left w:val="single" w:color="auto" w:sz="4" w:space="0"/>
                    <w:right w:val="single" w:color="auto" w:sz="6" w:space="0"/>
                  </w:tcBorders>
                  <w:vAlign w:val="center"/>
                </w:tcPr>
                <w:p w14:paraId="6A54B75B">
                  <w:pPr>
                    <w:pStyle w:val="79"/>
                    <w:spacing w:line="240" w:lineRule="exact"/>
                    <w:ind w:firstLine="0" w:firstLineChars="0"/>
                    <w:jc w:val="center"/>
                    <w:rPr>
                      <w:color w:val="000000"/>
                      <w:szCs w:val="21"/>
                    </w:rPr>
                  </w:pPr>
                  <w:r>
                    <w:rPr>
                      <w:color w:val="000000"/>
                      <w:szCs w:val="21"/>
                    </w:rPr>
                    <w:t>施工期</w:t>
                  </w:r>
                </w:p>
              </w:tc>
              <w:tc>
                <w:tcPr>
                  <w:tcW w:w="1186" w:type="dxa"/>
                  <w:tcBorders>
                    <w:top w:val="single" w:color="auto" w:sz="6" w:space="0"/>
                    <w:left w:val="single" w:color="auto" w:sz="6" w:space="0"/>
                    <w:bottom w:val="single" w:color="auto" w:sz="6" w:space="0"/>
                    <w:right w:val="single" w:color="auto" w:sz="6" w:space="0"/>
                  </w:tcBorders>
                  <w:vAlign w:val="center"/>
                </w:tcPr>
                <w:p w14:paraId="2A018AAC">
                  <w:pPr>
                    <w:pStyle w:val="79"/>
                    <w:spacing w:line="240" w:lineRule="exact"/>
                    <w:ind w:firstLine="0" w:firstLineChars="0"/>
                    <w:jc w:val="center"/>
                    <w:rPr>
                      <w:color w:val="000000"/>
                      <w:szCs w:val="21"/>
                    </w:rPr>
                  </w:pPr>
                  <w:r>
                    <w:rPr>
                      <w:color w:val="000000"/>
                      <w:szCs w:val="21"/>
                    </w:rPr>
                    <w:t>废气治理</w:t>
                  </w:r>
                </w:p>
              </w:tc>
              <w:tc>
                <w:tcPr>
                  <w:tcW w:w="4441" w:type="dxa"/>
                  <w:tcBorders>
                    <w:top w:val="single" w:color="auto" w:sz="6" w:space="0"/>
                    <w:left w:val="single" w:color="auto" w:sz="6" w:space="0"/>
                    <w:bottom w:val="single" w:color="auto" w:sz="6" w:space="0"/>
                    <w:right w:val="single" w:color="auto" w:sz="6" w:space="0"/>
                  </w:tcBorders>
                  <w:vAlign w:val="center"/>
                </w:tcPr>
                <w:p w14:paraId="6A2CEE7D">
                  <w:pPr>
                    <w:pStyle w:val="79"/>
                    <w:spacing w:line="240" w:lineRule="exact"/>
                    <w:ind w:firstLine="0" w:firstLineChars="0"/>
                    <w:jc w:val="center"/>
                    <w:rPr>
                      <w:color w:val="000000"/>
                      <w:szCs w:val="21"/>
                    </w:rPr>
                  </w:pPr>
                  <w:r>
                    <w:rPr>
                      <w:color w:val="000000"/>
                      <w:szCs w:val="21"/>
                    </w:rPr>
                    <w:t>洒水抑尘等</w:t>
                  </w:r>
                </w:p>
              </w:tc>
              <w:tc>
                <w:tcPr>
                  <w:tcW w:w="1727" w:type="dxa"/>
                  <w:tcBorders>
                    <w:top w:val="single" w:color="auto" w:sz="6" w:space="0"/>
                    <w:left w:val="single" w:color="auto" w:sz="6" w:space="0"/>
                    <w:bottom w:val="single" w:color="auto" w:sz="6" w:space="0"/>
                    <w:right w:val="single" w:color="auto" w:sz="4" w:space="0"/>
                  </w:tcBorders>
                  <w:vAlign w:val="center"/>
                </w:tcPr>
                <w:p w14:paraId="03D89CE8">
                  <w:pPr>
                    <w:pStyle w:val="79"/>
                    <w:spacing w:line="240" w:lineRule="exact"/>
                    <w:ind w:firstLine="0" w:firstLineChars="0"/>
                    <w:jc w:val="center"/>
                    <w:rPr>
                      <w:color w:val="000000"/>
                      <w:szCs w:val="21"/>
                    </w:rPr>
                  </w:pPr>
                  <w:r>
                    <w:rPr>
                      <w:rFonts w:hint="eastAsia"/>
                      <w:color w:val="000000"/>
                      <w:szCs w:val="21"/>
                    </w:rPr>
                    <w:t>1</w:t>
                  </w:r>
                </w:p>
              </w:tc>
            </w:tr>
            <w:tr w14:paraId="5BF89D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continue"/>
                  <w:tcBorders>
                    <w:left w:val="single" w:color="auto" w:sz="4" w:space="0"/>
                    <w:right w:val="single" w:color="auto" w:sz="6" w:space="0"/>
                  </w:tcBorders>
                  <w:vAlign w:val="center"/>
                </w:tcPr>
                <w:p w14:paraId="28E89614">
                  <w:pPr>
                    <w:pStyle w:val="79"/>
                    <w:spacing w:line="240" w:lineRule="exact"/>
                    <w:ind w:firstLine="0" w:firstLineChars="0"/>
                    <w:jc w:val="center"/>
                    <w:rPr>
                      <w:color w:val="000000"/>
                      <w:szCs w:val="21"/>
                    </w:rPr>
                  </w:pPr>
                </w:p>
              </w:tc>
              <w:tc>
                <w:tcPr>
                  <w:tcW w:w="1186" w:type="dxa"/>
                  <w:tcBorders>
                    <w:top w:val="single" w:color="auto" w:sz="6" w:space="0"/>
                    <w:left w:val="single" w:color="auto" w:sz="6" w:space="0"/>
                    <w:bottom w:val="single" w:color="auto" w:sz="6" w:space="0"/>
                    <w:right w:val="single" w:color="auto" w:sz="6" w:space="0"/>
                  </w:tcBorders>
                  <w:vAlign w:val="center"/>
                </w:tcPr>
                <w:p w14:paraId="0CAFB2BD">
                  <w:pPr>
                    <w:pStyle w:val="79"/>
                    <w:spacing w:line="240" w:lineRule="exact"/>
                    <w:ind w:firstLine="0" w:firstLineChars="0"/>
                    <w:jc w:val="center"/>
                    <w:rPr>
                      <w:color w:val="000000"/>
                      <w:szCs w:val="21"/>
                    </w:rPr>
                  </w:pPr>
                  <w:r>
                    <w:rPr>
                      <w:color w:val="000000"/>
                      <w:szCs w:val="21"/>
                    </w:rPr>
                    <w:t>废水治理</w:t>
                  </w:r>
                </w:p>
              </w:tc>
              <w:tc>
                <w:tcPr>
                  <w:tcW w:w="4441" w:type="dxa"/>
                  <w:tcBorders>
                    <w:top w:val="single" w:color="auto" w:sz="6" w:space="0"/>
                    <w:left w:val="single" w:color="auto" w:sz="6" w:space="0"/>
                    <w:bottom w:val="single" w:color="auto" w:sz="6" w:space="0"/>
                    <w:right w:val="single" w:color="auto" w:sz="6" w:space="0"/>
                  </w:tcBorders>
                  <w:vAlign w:val="center"/>
                </w:tcPr>
                <w:p w14:paraId="490D5C36">
                  <w:pPr>
                    <w:pStyle w:val="79"/>
                    <w:spacing w:line="240" w:lineRule="exact"/>
                    <w:ind w:firstLine="0" w:firstLineChars="0"/>
                    <w:jc w:val="center"/>
                    <w:rPr>
                      <w:color w:val="000000"/>
                      <w:szCs w:val="21"/>
                    </w:rPr>
                  </w:pPr>
                  <w:r>
                    <w:rPr>
                      <w:rFonts w:hint="eastAsia"/>
                      <w:color w:val="000000"/>
                      <w:szCs w:val="21"/>
                    </w:rPr>
                    <w:t>设置专管输送至天宜</w:t>
                  </w:r>
                  <w:r>
                    <w:rPr>
                      <w:rFonts w:hint="eastAsia"/>
                      <w:color w:val="000000"/>
                      <w:szCs w:val="21"/>
                      <w:lang w:eastAsia="zh-CN"/>
                    </w:rPr>
                    <w:t>污水处理厂</w:t>
                  </w:r>
                  <w:r>
                    <w:rPr>
                      <w:rFonts w:hint="eastAsia"/>
                      <w:color w:val="000000"/>
                      <w:szCs w:val="21"/>
                    </w:rPr>
                    <w:t>（一期）进行处理</w:t>
                  </w:r>
                </w:p>
              </w:tc>
              <w:tc>
                <w:tcPr>
                  <w:tcW w:w="1727" w:type="dxa"/>
                  <w:tcBorders>
                    <w:top w:val="single" w:color="auto" w:sz="6" w:space="0"/>
                    <w:left w:val="single" w:color="auto" w:sz="6" w:space="0"/>
                    <w:bottom w:val="single" w:color="auto" w:sz="6" w:space="0"/>
                    <w:right w:val="single" w:color="auto" w:sz="4" w:space="0"/>
                  </w:tcBorders>
                  <w:vAlign w:val="center"/>
                </w:tcPr>
                <w:p w14:paraId="539C173F">
                  <w:pPr>
                    <w:pStyle w:val="79"/>
                    <w:spacing w:line="240" w:lineRule="exact"/>
                    <w:ind w:firstLine="0" w:firstLineChars="0"/>
                    <w:jc w:val="center"/>
                    <w:rPr>
                      <w:color w:val="000000"/>
                      <w:szCs w:val="21"/>
                    </w:rPr>
                  </w:pPr>
                  <w:r>
                    <w:rPr>
                      <w:rFonts w:hint="eastAsia"/>
                      <w:color w:val="000000"/>
                      <w:szCs w:val="21"/>
                    </w:rPr>
                    <w:t>1</w:t>
                  </w:r>
                </w:p>
              </w:tc>
            </w:tr>
            <w:tr w14:paraId="07825A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continue"/>
                  <w:tcBorders>
                    <w:left w:val="single" w:color="auto" w:sz="4" w:space="0"/>
                    <w:right w:val="single" w:color="auto" w:sz="6" w:space="0"/>
                  </w:tcBorders>
                  <w:vAlign w:val="center"/>
                </w:tcPr>
                <w:p w14:paraId="46B45706">
                  <w:pPr>
                    <w:pStyle w:val="79"/>
                    <w:spacing w:line="240" w:lineRule="exact"/>
                    <w:ind w:firstLine="0" w:firstLineChars="0"/>
                    <w:jc w:val="center"/>
                    <w:rPr>
                      <w:color w:val="000000"/>
                      <w:szCs w:val="21"/>
                    </w:rPr>
                  </w:pPr>
                </w:p>
              </w:tc>
              <w:tc>
                <w:tcPr>
                  <w:tcW w:w="1186" w:type="dxa"/>
                  <w:tcBorders>
                    <w:top w:val="single" w:color="auto" w:sz="6" w:space="0"/>
                    <w:left w:val="single" w:color="auto" w:sz="6" w:space="0"/>
                    <w:bottom w:val="single" w:color="auto" w:sz="6" w:space="0"/>
                    <w:right w:val="single" w:color="auto" w:sz="6" w:space="0"/>
                  </w:tcBorders>
                  <w:vAlign w:val="center"/>
                </w:tcPr>
                <w:p w14:paraId="687DEE2F">
                  <w:pPr>
                    <w:pStyle w:val="79"/>
                    <w:spacing w:line="240" w:lineRule="exact"/>
                    <w:ind w:firstLine="0" w:firstLineChars="0"/>
                    <w:jc w:val="center"/>
                    <w:rPr>
                      <w:color w:val="000000"/>
                      <w:szCs w:val="21"/>
                    </w:rPr>
                  </w:pPr>
                  <w:r>
                    <w:rPr>
                      <w:color w:val="000000"/>
                      <w:szCs w:val="21"/>
                    </w:rPr>
                    <w:t>固废</w:t>
                  </w:r>
                </w:p>
              </w:tc>
              <w:tc>
                <w:tcPr>
                  <w:tcW w:w="4441" w:type="dxa"/>
                  <w:tcBorders>
                    <w:top w:val="single" w:color="auto" w:sz="6" w:space="0"/>
                    <w:left w:val="single" w:color="auto" w:sz="6" w:space="0"/>
                    <w:bottom w:val="single" w:color="auto" w:sz="6" w:space="0"/>
                    <w:right w:val="single" w:color="auto" w:sz="6" w:space="0"/>
                  </w:tcBorders>
                  <w:vAlign w:val="center"/>
                </w:tcPr>
                <w:p w14:paraId="03B43BDA">
                  <w:pPr>
                    <w:pStyle w:val="79"/>
                    <w:spacing w:line="240" w:lineRule="exact"/>
                    <w:ind w:firstLine="0" w:firstLineChars="0"/>
                    <w:jc w:val="center"/>
                    <w:rPr>
                      <w:color w:val="000000"/>
                      <w:szCs w:val="21"/>
                    </w:rPr>
                  </w:pPr>
                  <w:r>
                    <w:rPr>
                      <w:rFonts w:hint="eastAsia"/>
                      <w:color w:val="000000"/>
                      <w:szCs w:val="21"/>
                      <w:lang w:val="en-US" w:eastAsia="zh-CN"/>
                    </w:rPr>
                    <w:t>施工</w:t>
                  </w:r>
                  <w:r>
                    <w:rPr>
                      <w:color w:val="000000"/>
                      <w:szCs w:val="21"/>
                    </w:rPr>
                    <w:t>固废储存及清运车辆</w:t>
                  </w:r>
                </w:p>
              </w:tc>
              <w:tc>
                <w:tcPr>
                  <w:tcW w:w="1727" w:type="dxa"/>
                  <w:tcBorders>
                    <w:top w:val="single" w:color="auto" w:sz="6" w:space="0"/>
                    <w:left w:val="single" w:color="auto" w:sz="6" w:space="0"/>
                    <w:bottom w:val="single" w:color="auto" w:sz="6" w:space="0"/>
                    <w:right w:val="single" w:color="auto" w:sz="4" w:space="0"/>
                  </w:tcBorders>
                  <w:vAlign w:val="center"/>
                </w:tcPr>
                <w:p w14:paraId="6C75AA55">
                  <w:pPr>
                    <w:pStyle w:val="79"/>
                    <w:spacing w:line="240" w:lineRule="exact"/>
                    <w:ind w:firstLine="0" w:firstLineChars="0"/>
                    <w:jc w:val="center"/>
                    <w:rPr>
                      <w:rFonts w:hint="eastAsia" w:eastAsia="宋体"/>
                      <w:color w:val="000000"/>
                      <w:szCs w:val="21"/>
                      <w:lang w:eastAsia="zh-CN"/>
                    </w:rPr>
                  </w:pPr>
                  <w:r>
                    <w:rPr>
                      <w:rFonts w:hint="eastAsia"/>
                      <w:color w:val="000000"/>
                      <w:szCs w:val="21"/>
                      <w:lang w:val="en-US" w:eastAsia="zh-CN"/>
                    </w:rPr>
                    <w:t>1</w:t>
                  </w:r>
                </w:p>
              </w:tc>
            </w:tr>
            <w:tr w14:paraId="6E03AC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continue"/>
                  <w:tcBorders>
                    <w:left w:val="single" w:color="auto" w:sz="4" w:space="0"/>
                    <w:bottom w:val="single" w:color="auto" w:sz="6" w:space="0"/>
                    <w:right w:val="single" w:color="auto" w:sz="6" w:space="0"/>
                  </w:tcBorders>
                  <w:vAlign w:val="center"/>
                </w:tcPr>
                <w:p w14:paraId="25DC7A35">
                  <w:pPr>
                    <w:pStyle w:val="79"/>
                    <w:spacing w:line="240" w:lineRule="exact"/>
                    <w:ind w:firstLine="0" w:firstLineChars="0"/>
                    <w:jc w:val="center"/>
                    <w:rPr>
                      <w:color w:val="000000"/>
                      <w:szCs w:val="21"/>
                    </w:rPr>
                  </w:pPr>
                </w:p>
              </w:tc>
              <w:tc>
                <w:tcPr>
                  <w:tcW w:w="1186" w:type="dxa"/>
                  <w:tcBorders>
                    <w:top w:val="single" w:color="auto" w:sz="6" w:space="0"/>
                    <w:left w:val="single" w:color="auto" w:sz="6" w:space="0"/>
                    <w:bottom w:val="single" w:color="auto" w:sz="6" w:space="0"/>
                    <w:right w:val="single" w:color="auto" w:sz="6" w:space="0"/>
                  </w:tcBorders>
                  <w:vAlign w:val="center"/>
                </w:tcPr>
                <w:p w14:paraId="1CB896D1">
                  <w:pPr>
                    <w:pStyle w:val="79"/>
                    <w:spacing w:line="240" w:lineRule="exact"/>
                    <w:ind w:firstLine="0" w:firstLineChars="0"/>
                    <w:jc w:val="center"/>
                    <w:rPr>
                      <w:color w:val="000000"/>
                      <w:szCs w:val="21"/>
                    </w:rPr>
                  </w:pPr>
                  <w:r>
                    <w:rPr>
                      <w:color w:val="000000"/>
                      <w:szCs w:val="21"/>
                    </w:rPr>
                    <w:t>噪声</w:t>
                  </w:r>
                </w:p>
              </w:tc>
              <w:tc>
                <w:tcPr>
                  <w:tcW w:w="4441" w:type="dxa"/>
                  <w:tcBorders>
                    <w:top w:val="single" w:color="auto" w:sz="6" w:space="0"/>
                    <w:left w:val="single" w:color="auto" w:sz="6" w:space="0"/>
                    <w:bottom w:val="single" w:color="auto" w:sz="6" w:space="0"/>
                    <w:right w:val="single" w:color="auto" w:sz="6" w:space="0"/>
                  </w:tcBorders>
                  <w:vAlign w:val="center"/>
                </w:tcPr>
                <w:p w14:paraId="6ECFF9FA">
                  <w:pPr>
                    <w:pStyle w:val="79"/>
                    <w:spacing w:line="240" w:lineRule="exact"/>
                    <w:ind w:firstLine="0" w:firstLineChars="0"/>
                    <w:jc w:val="center"/>
                    <w:rPr>
                      <w:color w:val="000000"/>
                      <w:szCs w:val="21"/>
                    </w:rPr>
                  </w:pPr>
                  <w:r>
                    <w:rPr>
                      <w:color w:val="000000"/>
                      <w:szCs w:val="21"/>
                    </w:rPr>
                    <w:t>选用低噪声施工机械</w:t>
                  </w:r>
                </w:p>
              </w:tc>
              <w:tc>
                <w:tcPr>
                  <w:tcW w:w="1727" w:type="dxa"/>
                  <w:tcBorders>
                    <w:top w:val="single" w:color="auto" w:sz="6" w:space="0"/>
                    <w:left w:val="single" w:color="auto" w:sz="6" w:space="0"/>
                    <w:bottom w:val="single" w:color="auto" w:sz="6" w:space="0"/>
                    <w:right w:val="single" w:color="auto" w:sz="4" w:space="0"/>
                  </w:tcBorders>
                  <w:vAlign w:val="center"/>
                </w:tcPr>
                <w:p w14:paraId="38B19DD3">
                  <w:pPr>
                    <w:pStyle w:val="79"/>
                    <w:spacing w:line="240" w:lineRule="exact"/>
                    <w:ind w:firstLine="0" w:firstLineChars="0"/>
                    <w:jc w:val="center"/>
                    <w:rPr>
                      <w:rFonts w:hint="eastAsia" w:eastAsia="宋体"/>
                      <w:color w:val="000000"/>
                      <w:szCs w:val="21"/>
                      <w:lang w:eastAsia="zh-CN"/>
                    </w:rPr>
                  </w:pPr>
                  <w:r>
                    <w:rPr>
                      <w:rFonts w:hint="eastAsia"/>
                      <w:color w:val="000000"/>
                      <w:szCs w:val="21"/>
                      <w:lang w:val="en-US" w:eastAsia="zh-CN"/>
                    </w:rPr>
                    <w:t>1</w:t>
                  </w:r>
                </w:p>
              </w:tc>
            </w:tr>
            <w:tr w14:paraId="7889A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restart"/>
                  <w:tcBorders>
                    <w:top w:val="single" w:color="auto" w:sz="6" w:space="0"/>
                    <w:left w:val="single" w:color="auto" w:sz="4" w:space="0"/>
                    <w:right w:val="single" w:color="auto" w:sz="6" w:space="0"/>
                  </w:tcBorders>
                  <w:vAlign w:val="center"/>
                </w:tcPr>
                <w:p w14:paraId="26B0177D">
                  <w:pPr>
                    <w:spacing w:line="240" w:lineRule="exact"/>
                    <w:jc w:val="center"/>
                    <w:rPr>
                      <w:rFonts w:hint="eastAsia" w:eastAsia="宋体"/>
                      <w:color w:val="000000"/>
                      <w:szCs w:val="21"/>
                      <w:lang w:val="en-US" w:eastAsia="zh-CN"/>
                    </w:rPr>
                  </w:pPr>
                  <w:r>
                    <w:rPr>
                      <w:rFonts w:hint="eastAsia"/>
                      <w:color w:val="000000"/>
                      <w:szCs w:val="21"/>
                      <w:lang w:val="en-US" w:eastAsia="zh-CN"/>
                    </w:rPr>
                    <w:t>运营期</w:t>
                  </w:r>
                </w:p>
              </w:tc>
              <w:tc>
                <w:tcPr>
                  <w:tcW w:w="1186" w:type="dxa"/>
                  <w:tcBorders>
                    <w:top w:val="single" w:color="auto" w:sz="6" w:space="0"/>
                    <w:left w:val="single" w:color="auto" w:sz="6" w:space="0"/>
                    <w:bottom w:val="single" w:color="auto" w:sz="6" w:space="0"/>
                    <w:right w:val="single" w:color="auto" w:sz="6" w:space="0"/>
                  </w:tcBorders>
                  <w:vAlign w:val="center"/>
                </w:tcPr>
                <w:p w14:paraId="0CD839CB">
                  <w:pPr>
                    <w:pStyle w:val="79"/>
                    <w:spacing w:line="240" w:lineRule="exact"/>
                    <w:ind w:firstLine="0" w:firstLineChars="0"/>
                    <w:jc w:val="center"/>
                    <w:rPr>
                      <w:color w:val="000000"/>
                      <w:szCs w:val="21"/>
                    </w:rPr>
                  </w:pPr>
                  <w:r>
                    <w:rPr>
                      <w:color w:val="000000"/>
                      <w:szCs w:val="21"/>
                    </w:rPr>
                    <w:t>噪声治理</w:t>
                  </w:r>
                </w:p>
              </w:tc>
              <w:tc>
                <w:tcPr>
                  <w:tcW w:w="4441" w:type="dxa"/>
                  <w:tcBorders>
                    <w:top w:val="single" w:color="auto" w:sz="6" w:space="0"/>
                    <w:left w:val="single" w:color="auto" w:sz="6" w:space="0"/>
                    <w:bottom w:val="single" w:color="auto" w:sz="6" w:space="0"/>
                    <w:right w:val="single" w:color="auto" w:sz="6" w:space="0"/>
                  </w:tcBorders>
                  <w:vAlign w:val="center"/>
                </w:tcPr>
                <w:p w14:paraId="5BAD256E">
                  <w:pPr>
                    <w:pStyle w:val="79"/>
                    <w:spacing w:line="240" w:lineRule="exact"/>
                    <w:ind w:firstLine="0" w:firstLineChars="0"/>
                    <w:jc w:val="center"/>
                    <w:rPr>
                      <w:color w:val="000000"/>
                      <w:szCs w:val="21"/>
                    </w:rPr>
                  </w:pPr>
                  <w:r>
                    <w:rPr>
                      <w:color w:val="000000"/>
                      <w:szCs w:val="21"/>
                    </w:rPr>
                    <w:t>隔声、减震</w:t>
                  </w:r>
                </w:p>
              </w:tc>
              <w:tc>
                <w:tcPr>
                  <w:tcW w:w="1727" w:type="dxa"/>
                  <w:tcBorders>
                    <w:top w:val="single" w:color="auto" w:sz="6" w:space="0"/>
                    <w:left w:val="single" w:color="auto" w:sz="6" w:space="0"/>
                    <w:bottom w:val="single" w:color="auto" w:sz="6" w:space="0"/>
                    <w:right w:val="single" w:color="auto" w:sz="4" w:space="0"/>
                  </w:tcBorders>
                  <w:vAlign w:val="center"/>
                </w:tcPr>
                <w:p w14:paraId="7E8CEF2C">
                  <w:pPr>
                    <w:pStyle w:val="79"/>
                    <w:spacing w:line="240" w:lineRule="exact"/>
                    <w:ind w:firstLine="0" w:firstLineChars="0"/>
                    <w:jc w:val="center"/>
                    <w:rPr>
                      <w:rFonts w:hint="eastAsia" w:eastAsia="宋体"/>
                      <w:color w:val="000000"/>
                      <w:szCs w:val="21"/>
                      <w:lang w:eastAsia="zh-CN"/>
                    </w:rPr>
                  </w:pPr>
                  <w:r>
                    <w:rPr>
                      <w:rFonts w:hint="eastAsia"/>
                      <w:color w:val="000000"/>
                      <w:szCs w:val="21"/>
                      <w:lang w:val="en-US" w:eastAsia="zh-CN"/>
                    </w:rPr>
                    <w:t>1</w:t>
                  </w:r>
                </w:p>
              </w:tc>
            </w:tr>
            <w:tr w14:paraId="26A860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continue"/>
                  <w:tcBorders>
                    <w:left w:val="single" w:color="auto" w:sz="4" w:space="0"/>
                    <w:right w:val="single" w:color="auto" w:sz="6" w:space="0"/>
                  </w:tcBorders>
                  <w:vAlign w:val="center"/>
                </w:tcPr>
                <w:p w14:paraId="619125DD">
                  <w:pPr>
                    <w:spacing w:line="240" w:lineRule="exact"/>
                    <w:jc w:val="center"/>
                    <w:rPr>
                      <w:color w:val="000000"/>
                      <w:szCs w:val="21"/>
                    </w:rPr>
                  </w:pPr>
                </w:p>
              </w:tc>
              <w:tc>
                <w:tcPr>
                  <w:tcW w:w="1186" w:type="dxa"/>
                  <w:tcBorders>
                    <w:top w:val="single" w:color="auto" w:sz="6" w:space="0"/>
                    <w:left w:val="single" w:color="auto" w:sz="6" w:space="0"/>
                    <w:bottom w:val="single" w:color="auto" w:sz="6" w:space="0"/>
                    <w:right w:val="single" w:color="auto" w:sz="6" w:space="0"/>
                  </w:tcBorders>
                  <w:vAlign w:val="center"/>
                </w:tcPr>
                <w:p w14:paraId="0D5A679F">
                  <w:pPr>
                    <w:pStyle w:val="79"/>
                    <w:spacing w:line="240" w:lineRule="exact"/>
                    <w:ind w:firstLine="0" w:firstLineChars="0"/>
                    <w:jc w:val="center"/>
                    <w:rPr>
                      <w:rFonts w:hint="default" w:eastAsia="宋体"/>
                      <w:color w:val="000000"/>
                      <w:szCs w:val="21"/>
                      <w:u w:val="single"/>
                      <w:lang w:val="en-US" w:eastAsia="zh-CN"/>
                    </w:rPr>
                  </w:pPr>
                  <w:r>
                    <w:rPr>
                      <w:rFonts w:hint="eastAsia"/>
                      <w:color w:val="000000"/>
                      <w:szCs w:val="21"/>
                      <w:u w:val="single"/>
                      <w:lang w:val="en-US" w:eastAsia="zh-CN"/>
                    </w:rPr>
                    <w:t>固体废物</w:t>
                  </w:r>
                </w:p>
              </w:tc>
              <w:tc>
                <w:tcPr>
                  <w:tcW w:w="4441" w:type="dxa"/>
                  <w:tcBorders>
                    <w:top w:val="single" w:color="auto" w:sz="6" w:space="0"/>
                    <w:left w:val="single" w:color="auto" w:sz="6" w:space="0"/>
                    <w:bottom w:val="single" w:color="auto" w:sz="6" w:space="0"/>
                    <w:right w:val="single" w:color="auto" w:sz="6" w:space="0"/>
                  </w:tcBorders>
                  <w:vAlign w:val="center"/>
                </w:tcPr>
                <w:p w14:paraId="223873C5">
                  <w:pPr>
                    <w:pStyle w:val="79"/>
                    <w:spacing w:line="240" w:lineRule="exact"/>
                    <w:ind w:firstLine="0" w:firstLineChars="0"/>
                    <w:jc w:val="center"/>
                    <w:rPr>
                      <w:rFonts w:hint="default" w:eastAsia="宋体"/>
                      <w:color w:val="000000"/>
                      <w:szCs w:val="21"/>
                      <w:u w:val="single"/>
                      <w:lang w:val="en-US" w:eastAsia="zh-CN"/>
                    </w:rPr>
                  </w:pPr>
                  <w:r>
                    <w:rPr>
                      <w:rFonts w:hint="eastAsia"/>
                      <w:color w:val="000000"/>
                      <w:szCs w:val="21"/>
                      <w:u w:val="single"/>
                      <w:lang w:val="en-US" w:eastAsia="zh-CN"/>
                    </w:rPr>
                    <w:t>委托有资质单位处置</w:t>
                  </w:r>
                </w:p>
              </w:tc>
              <w:tc>
                <w:tcPr>
                  <w:tcW w:w="1727" w:type="dxa"/>
                  <w:tcBorders>
                    <w:top w:val="single" w:color="auto" w:sz="6" w:space="0"/>
                    <w:left w:val="single" w:color="auto" w:sz="6" w:space="0"/>
                    <w:bottom w:val="single" w:color="auto" w:sz="6" w:space="0"/>
                    <w:right w:val="single" w:color="auto" w:sz="4" w:space="0"/>
                  </w:tcBorders>
                  <w:vAlign w:val="center"/>
                </w:tcPr>
                <w:p w14:paraId="234ABAE9">
                  <w:pPr>
                    <w:pStyle w:val="79"/>
                    <w:spacing w:line="240" w:lineRule="exact"/>
                    <w:ind w:firstLine="0" w:firstLineChars="0"/>
                    <w:jc w:val="center"/>
                    <w:rPr>
                      <w:rFonts w:hint="default" w:eastAsia="宋体"/>
                      <w:color w:val="000000"/>
                      <w:szCs w:val="21"/>
                      <w:u w:val="single"/>
                      <w:lang w:val="en-US" w:eastAsia="zh-CN"/>
                    </w:rPr>
                  </w:pPr>
                  <w:r>
                    <w:rPr>
                      <w:rFonts w:hint="eastAsia"/>
                      <w:color w:val="000000"/>
                      <w:szCs w:val="21"/>
                      <w:u w:val="single"/>
                      <w:lang w:val="en-US" w:eastAsia="zh-CN"/>
                    </w:rPr>
                    <w:t>50</w:t>
                  </w:r>
                </w:p>
              </w:tc>
            </w:tr>
            <w:tr w14:paraId="35E62B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1" w:type="dxa"/>
                  <w:vMerge w:val="continue"/>
                  <w:tcBorders>
                    <w:left w:val="single" w:color="auto" w:sz="4" w:space="0"/>
                    <w:bottom w:val="single" w:color="auto" w:sz="6" w:space="0"/>
                    <w:right w:val="single" w:color="auto" w:sz="6" w:space="0"/>
                  </w:tcBorders>
                  <w:vAlign w:val="center"/>
                </w:tcPr>
                <w:p w14:paraId="3AAA8351">
                  <w:pPr>
                    <w:spacing w:line="240" w:lineRule="exact"/>
                    <w:jc w:val="center"/>
                    <w:rPr>
                      <w:color w:val="000000"/>
                      <w:szCs w:val="21"/>
                    </w:rPr>
                  </w:pPr>
                </w:p>
              </w:tc>
              <w:tc>
                <w:tcPr>
                  <w:tcW w:w="1186" w:type="dxa"/>
                  <w:tcBorders>
                    <w:top w:val="single" w:color="auto" w:sz="6" w:space="0"/>
                    <w:left w:val="single" w:color="auto" w:sz="6" w:space="0"/>
                    <w:bottom w:val="single" w:color="auto" w:sz="6" w:space="0"/>
                    <w:right w:val="single" w:color="auto" w:sz="6" w:space="0"/>
                  </w:tcBorders>
                  <w:vAlign w:val="center"/>
                </w:tcPr>
                <w:p w14:paraId="3C2EFB9C">
                  <w:pPr>
                    <w:pStyle w:val="79"/>
                    <w:spacing w:line="240" w:lineRule="exact"/>
                    <w:ind w:firstLine="0" w:firstLineChars="0"/>
                    <w:jc w:val="center"/>
                    <w:rPr>
                      <w:color w:val="000000"/>
                      <w:szCs w:val="21"/>
                    </w:rPr>
                  </w:pPr>
                  <w:r>
                    <w:rPr>
                      <w:color w:val="000000"/>
                      <w:szCs w:val="21"/>
                    </w:rPr>
                    <w:t>环境风险</w:t>
                  </w:r>
                </w:p>
              </w:tc>
              <w:tc>
                <w:tcPr>
                  <w:tcW w:w="4441" w:type="dxa"/>
                  <w:tcBorders>
                    <w:top w:val="single" w:color="auto" w:sz="6" w:space="0"/>
                    <w:left w:val="single" w:color="auto" w:sz="6" w:space="0"/>
                    <w:bottom w:val="single" w:color="auto" w:sz="6" w:space="0"/>
                    <w:right w:val="single" w:color="auto" w:sz="6" w:space="0"/>
                  </w:tcBorders>
                  <w:vAlign w:val="center"/>
                </w:tcPr>
                <w:p w14:paraId="2358734E">
                  <w:pPr>
                    <w:pStyle w:val="79"/>
                    <w:spacing w:line="240" w:lineRule="exact"/>
                    <w:ind w:firstLine="0" w:firstLineChars="0"/>
                    <w:jc w:val="center"/>
                    <w:rPr>
                      <w:rFonts w:hint="default" w:eastAsia="宋体"/>
                      <w:color w:val="000000"/>
                      <w:szCs w:val="21"/>
                      <w:lang w:val="en-US" w:eastAsia="zh-CN"/>
                    </w:rPr>
                  </w:pPr>
                  <w:r>
                    <w:rPr>
                      <w:rFonts w:hint="eastAsia"/>
                      <w:color w:val="000000"/>
                      <w:szCs w:val="21"/>
                      <w:lang w:val="en-US" w:eastAsia="zh-CN"/>
                    </w:rPr>
                    <w:t>罐体周边设置围堰和地沟</w:t>
                  </w:r>
                </w:p>
              </w:tc>
              <w:tc>
                <w:tcPr>
                  <w:tcW w:w="1727" w:type="dxa"/>
                  <w:tcBorders>
                    <w:top w:val="single" w:color="auto" w:sz="6" w:space="0"/>
                    <w:left w:val="single" w:color="auto" w:sz="6" w:space="0"/>
                    <w:bottom w:val="single" w:color="auto" w:sz="6" w:space="0"/>
                    <w:right w:val="single" w:color="auto" w:sz="4" w:space="0"/>
                  </w:tcBorders>
                  <w:vAlign w:val="center"/>
                </w:tcPr>
                <w:p w14:paraId="36F49C37">
                  <w:pPr>
                    <w:pStyle w:val="79"/>
                    <w:spacing w:line="240" w:lineRule="exact"/>
                    <w:ind w:firstLine="0" w:firstLineChars="0"/>
                    <w:jc w:val="center"/>
                    <w:rPr>
                      <w:rFonts w:hint="eastAsia" w:eastAsia="宋体"/>
                      <w:color w:val="000000"/>
                      <w:szCs w:val="21"/>
                      <w:lang w:eastAsia="zh-CN"/>
                    </w:rPr>
                  </w:pPr>
                  <w:r>
                    <w:rPr>
                      <w:rFonts w:hint="eastAsia"/>
                      <w:color w:val="000000"/>
                      <w:szCs w:val="21"/>
                      <w:lang w:val="en-US" w:eastAsia="zh-CN"/>
                    </w:rPr>
                    <w:t>2</w:t>
                  </w:r>
                </w:p>
              </w:tc>
            </w:tr>
            <w:tr w14:paraId="54079A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48" w:type="dxa"/>
                  <w:gridSpan w:val="3"/>
                  <w:tcBorders>
                    <w:top w:val="single" w:color="auto" w:sz="6" w:space="0"/>
                    <w:left w:val="single" w:color="auto" w:sz="4" w:space="0"/>
                    <w:bottom w:val="single" w:color="auto" w:sz="4" w:space="0"/>
                    <w:right w:val="single" w:color="auto" w:sz="6" w:space="0"/>
                  </w:tcBorders>
                  <w:vAlign w:val="center"/>
                </w:tcPr>
                <w:p w14:paraId="474AE541">
                  <w:pPr>
                    <w:pStyle w:val="79"/>
                    <w:spacing w:line="240" w:lineRule="exact"/>
                    <w:ind w:firstLine="0" w:firstLineChars="0"/>
                    <w:jc w:val="center"/>
                    <w:rPr>
                      <w:color w:val="000000"/>
                      <w:szCs w:val="21"/>
                    </w:rPr>
                  </w:pPr>
                  <w:r>
                    <w:rPr>
                      <w:color w:val="000000"/>
                      <w:szCs w:val="21"/>
                    </w:rPr>
                    <w:t>合计</w:t>
                  </w:r>
                </w:p>
              </w:tc>
              <w:tc>
                <w:tcPr>
                  <w:tcW w:w="1727" w:type="dxa"/>
                  <w:tcBorders>
                    <w:top w:val="single" w:color="auto" w:sz="6" w:space="0"/>
                    <w:left w:val="single" w:color="auto" w:sz="6" w:space="0"/>
                    <w:bottom w:val="single" w:color="auto" w:sz="4" w:space="0"/>
                    <w:right w:val="single" w:color="auto" w:sz="4" w:space="0"/>
                  </w:tcBorders>
                  <w:vAlign w:val="center"/>
                </w:tcPr>
                <w:p w14:paraId="154B75E6">
                  <w:pPr>
                    <w:pStyle w:val="79"/>
                    <w:spacing w:line="240" w:lineRule="exact"/>
                    <w:ind w:firstLine="0" w:firstLineChars="0"/>
                    <w:jc w:val="center"/>
                    <w:rPr>
                      <w:rFonts w:hint="default" w:eastAsia="宋体"/>
                      <w:color w:val="000000"/>
                      <w:szCs w:val="21"/>
                      <w:lang w:val="en-US" w:eastAsia="zh-CN"/>
                    </w:rPr>
                  </w:pPr>
                  <w:r>
                    <w:rPr>
                      <w:rFonts w:hint="eastAsia"/>
                      <w:color w:val="000000"/>
                      <w:szCs w:val="21"/>
                      <w:lang w:val="en-US" w:eastAsia="zh-CN"/>
                    </w:rPr>
                    <w:t>57</w:t>
                  </w:r>
                </w:p>
              </w:tc>
            </w:tr>
          </w:tbl>
          <w:p w14:paraId="4A4DDDB9">
            <w:pPr>
              <w:spacing w:line="500" w:lineRule="exact"/>
              <w:ind w:firstLine="482"/>
              <w:rPr>
                <w:rFonts w:hint="eastAsia"/>
                <w:b/>
                <w:sz w:val="24"/>
              </w:rPr>
            </w:pPr>
          </w:p>
          <w:p w14:paraId="7324C133">
            <w:pPr>
              <w:spacing w:line="500" w:lineRule="exact"/>
              <w:ind w:firstLine="482"/>
              <w:rPr>
                <w:b/>
                <w:sz w:val="24"/>
              </w:rPr>
            </w:pPr>
            <w:r>
              <w:rPr>
                <w:rFonts w:hint="eastAsia"/>
                <w:b/>
                <w:sz w:val="24"/>
              </w:rPr>
              <w:t>10、排污许可证申请</w:t>
            </w:r>
          </w:p>
          <w:p w14:paraId="423EAB9E">
            <w:pPr>
              <w:adjustRightInd w:val="0"/>
              <w:snapToGrid w:val="0"/>
              <w:spacing w:line="500" w:lineRule="exact"/>
              <w:ind w:firstLine="480" w:firstLineChars="200"/>
              <w:rPr>
                <w:kern w:val="0"/>
                <w:sz w:val="24"/>
              </w:rPr>
            </w:pPr>
            <w:r>
              <w:rPr>
                <w:rFonts w:hint="eastAsia"/>
                <w:kern w:val="0"/>
                <w:sz w:val="24"/>
              </w:rPr>
              <w:t>（1）项目的排污单位应当在投入生产或使用并产生实际排污行为之前办理排污许手续。</w:t>
            </w:r>
          </w:p>
          <w:p w14:paraId="684EFEF4">
            <w:pPr>
              <w:adjustRightInd w:val="0"/>
              <w:snapToGrid w:val="0"/>
              <w:spacing w:line="500" w:lineRule="exact"/>
              <w:ind w:firstLine="480" w:firstLineChars="200"/>
              <w:rPr>
                <w:kern w:val="0"/>
                <w:sz w:val="24"/>
              </w:rPr>
            </w:pPr>
            <w:r>
              <w:rPr>
                <w:rFonts w:hint="eastAsia"/>
                <w:kern w:val="0"/>
                <w:sz w:val="24"/>
              </w:rPr>
              <w:t>（2）排污单位依法按照排污许可证申请与核发技术规范提交排污许可申请，申报排放污染物种类、排放浓度等，测算并申报污染物排放量。</w:t>
            </w:r>
          </w:p>
          <w:p w14:paraId="6E5437CD">
            <w:pPr>
              <w:adjustRightInd w:val="0"/>
              <w:snapToGrid w:val="0"/>
              <w:spacing w:line="500" w:lineRule="exact"/>
              <w:ind w:firstLine="480" w:firstLineChars="200"/>
              <w:rPr>
                <w:kern w:val="0"/>
                <w:sz w:val="24"/>
              </w:rPr>
            </w:pPr>
            <w:r>
              <w:rPr>
                <w:rFonts w:hint="eastAsia"/>
                <w:kern w:val="0"/>
                <w:sz w:val="24"/>
              </w:rPr>
              <w:t>（3）排污单位在申请排污许可证前，应当将主要申请内容，包括排污单位基本信息、拟申请的许可事项、产排污环节、污染防治设施，通过国家排污许可证管理信息平台或者其他规定途径等便于公众知晓的方式向社会公开。公开时间不得少于5日。对实行排污许可简化管理的排污单位，可不进行申请前信息公开。</w:t>
            </w:r>
          </w:p>
          <w:p w14:paraId="4E39F11D">
            <w:pPr>
              <w:adjustRightInd w:val="0"/>
              <w:snapToGrid w:val="0"/>
              <w:spacing w:line="500" w:lineRule="exact"/>
              <w:ind w:firstLine="480" w:firstLineChars="200"/>
              <w:rPr>
                <w:kern w:val="0"/>
                <w:sz w:val="24"/>
              </w:rPr>
            </w:pPr>
            <w:r>
              <w:rPr>
                <w:rFonts w:hint="eastAsia"/>
                <w:kern w:val="0"/>
                <w:sz w:val="24"/>
              </w:rPr>
              <w:t>（4）排污单位应当在国家排污许可证管理信息平台上填报并提交排污许可证申请，同时向有核发权限的环境保护主管部门提交通过平台印制的书面申请材料。排污单位对申请材料的真实性、合法性、完整性负法律责任。申请材料应当包括：</w:t>
            </w:r>
          </w:p>
          <w:p w14:paraId="606F24EF">
            <w:pPr>
              <w:adjustRightInd w:val="0"/>
              <w:snapToGrid w:val="0"/>
              <w:spacing w:line="500" w:lineRule="exact"/>
              <w:ind w:firstLine="480" w:firstLineChars="200"/>
              <w:rPr>
                <w:kern w:val="0"/>
                <w:sz w:val="24"/>
              </w:rPr>
            </w:pPr>
            <w:r>
              <w:rPr>
                <w:rFonts w:hint="eastAsia"/>
                <w:kern w:val="0"/>
                <w:sz w:val="24"/>
              </w:rPr>
              <w:t>①排污许可证申请表，主要内容包括：排污单位基本信息，主要生产装置，废气、废水等产排污环节和污染防治设施，申请的排污口位置和数量、排放方式、排放去向、排放污染物种类、排放浓度和排放量、执行的排放标准。有排污单位法定代表人或者实际负责人签字或盖章的承诺书。主要承诺内容包括：对申请材料真实性、合法性、完整性负法律责任；按排污许可证的要求控制污染物排放；按照相关标准规范开展自行监测、台账记录；按时提交执行报告并及时公开相关信息等。</w:t>
            </w:r>
          </w:p>
          <w:p w14:paraId="16FBC3EF">
            <w:pPr>
              <w:adjustRightInd w:val="0"/>
              <w:snapToGrid w:val="0"/>
              <w:spacing w:line="500" w:lineRule="exact"/>
              <w:ind w:firstLine="480" w:firstLineChars="200"/>
              <w:rPr>
                <w:kern w:val="0"/>
                <w:sz w:val="24"/>
              </w:rPr>
            </w:pPr>
            <w:r>
              <w:rPr>
                <w:rFonts w:hint="eastAsia"/>
                <w:kern w:val="0"/>
                <w:sz w:val="24"/>
              </w:rPr>
              <w:t>②排污单位按照有关要求进行排污口和监测孔规范化设置的情况说明。</w:t>
            </w:r>
          </w:p>
          <w:p w14:paraId="7CF73C74">
            <w:pPr>
              <w:adjustRightInd w:val="0"/>
              <w:snapToGrid w:val="0"/>
              <w:spacing w:line="500" w:lineRule="exact"/>
              <w:ind w:firstLine="480" w:firstLineChars="200"/>
              <w:rPr>
                <w:kern w:val="0"/>
                <w:sz w:val="24"/>
              </w:rPr>
            </w:pPr>
            <w:r>
              <w:rPr>
                <w:rFonts w:hint="eastAsia"/>
                <w:kern w:val="0"/>
                <w:sz w:val="24"/>
              </w:rPr>
              <w:t>③建设项目环境影响评价批复文号，或按照《国务院办公厅关于加强环境监管执法的通知》（国办发〔2014〕56号）要求，经地方政府依法处理、整顿规范并符合要求的相关证明材料。</w:t>
            </w:r>
          </w:p>
          <w:p w14:paraId="11E9BFB7">
            <w:pPr>
              <w:adjustRightInd w:val="0"/>
              <w:snapToGrid w:val="0"/>
              <w:spacing w:line="500" w:lineRule="exact"/>
              <w:ind w:firstLine="480" w:firstLineChars="200"/>
              <w:rPr>
                <w:kern w:val="0"/>
                <w:sz w:val="24"/>
              </w:rPr>
            </w:pPr>
            <w:r>
              <w:rPr>
                <w:rFonts w:hint="eastAsia"/>
                <w:kern w:val="0"/>
                <w:sz w:val="24"/>
              </w:rPr>
              <w:t>④法律法规规定的其他材料。对实行排污许可简化管理的排污单位，上述材料可适当简化。</w:t>
            </w:r>
          </w:p>
          <w:p w14:paraId="4DCDD140">
            <w:pPr>
              <w:adjustRightInd w:val="0"/>
              <w:snapToGrid w:val="0"/>
              <w:spacing w:line="500" w:lineRule="exact"/>
              <w:ind w:firstLine="480" w:firstLineChars="200"/>
              <w:rPr>
                <w:rFonts w:ascii="Calibri" w:hAnsi="Calibri" w:cs="Arial"/>
                <w:b/>
                <w:kern w:val="44"/>
                <w:sz w:val="28"/>
                <w:szCs w:val="28"/>
              </w:rPr>
            </w:pPr>
            <w:r>
              <w:rPr>
                <w:rFonts w:hint="eastAsia"/>
                <w:kern w:val="0"/>
                <w:sz w:val="24"/>
              </w:rPr>
              <w:t>⑤其他要求可参照《排污许可证申请与核发技术规范 总则》（HJ 942-2018）。</w:t>
            </w:r>
          </w:p>
        </w:tc>
      </w:tr>
    </w:tbl>
    <w:p w14:paraId="6F56C4C4">
      <w:pPr>
        <w:tabs>
          <w:tab w:val="left" w:pos="3225"/>
        </w:tabs>
        <w:spacing w:line="500" w:lineRule="exact"/>
        <w:rPr>
          <w:rFonts w:ascii="Calibri" w:hAnsi="Calibri" w:cs="Arial"/>
          <w:b/>
          <w:kern w:val="44"/>
          <w:sz w:val="28"/>
          <w:szCs w:val="28"/>
        </w:rPr>
      </w:pPr>
    </w:p>
    <w:p w14:paraId="5C5552C8">
      <w:pPr>
        <w:widowControl/>
        <w:jc w:val="left"/>
        <w:rPr>
          <w:rFonts w:ascii="Calibri" w:hAnsi="Calibri" w:cs="Arial"/>
          <w:b/>
          <w:kern w:val="44"/>
          <w:sz w:val="28"/>
          <w:szCs w:val="28"/>
        </w:rPr>
      </w:pPr>
      <w:r>
        <w:rPr>
          <w:rFonts w:ascii="Calibri" w:hAnsi="Calibri" w:cs="Arial"/>
          <w:b/>
          <w:kern w:val="44"/>
          <w:sz w:val="28"/>
          <w:szCs w:val="28"/>
        </w:rPr>
        <w:br w:type="page"/>
      </w:r>
    </w:p>
    <w:p w14:paraId="2DE2395E">
      <w:pPr>
        <w:tabs>
          <w:tab w:val="left" w:pos="3225"/>
        </w:tabs>
        <w:spacing w:line="500" w:lineRule="exact"/>
        <w:outlineLvl w:val="0"/>
        <w:rPr>
          <w:rFonts w:ascii="Calibri" w:hAnsi="Calibri" w:cs="Arial"/>
          <w:b/>
          <w:kern w:val="44"/>
          <w:sz w:val="28"/>
          <w:szCs w:val="28"/>
        </w:rPr>
      </w:pPr>
      <w:bookmarkStart w:id="22" w:name="_Toc9653"/>
      <w:bookmarkStart w:id="23" w:name="_Toc19978"/>
      <w:bookmarkStart w:id="24" w:name="_Toc23859"/>
      <w:r>
        <w:rPr>
          <w:rFonts w:hint="eastAsia" w:ascii="Calibri" w:hAnsi="Calibri" w:cs="Arial"/>
          <w:b/>
          <w:kern w:val="44"/>
          <w:sz w:val="28"/>
          <w:szCs w:val="28"/>
        </w:rPr>
        <w:t>五、</w:t>
      </w:r>
      <w:bookmarkStart w:id="25" w:name="_Hlk54167917"/>
      <w:r>
        <w:rPr>
          <w:rFonts w:hint="eastAsia" w:ascii="Calibri" w:hAnsi="Calibri" w:cs="Arial"/>
          <w:b/>
          <w:kern w:val="44"/>
          <w:sz w:val="28"/>
          <w:szCs w:val="28"/>
        </w:rPr>
        <w:t>环境保护措施监督检查清单</w:t>
      </w:r>
      <w:bookmarkEnd w:id="22"/>
      <w:bookmarkEnd w:id="23"/>
      <w:bookmarkEnd w:id="24"/>
      <w:bookmarkEnd w:id="25"/>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1276"/>
        <w:gridCol w:w="2551"/>
        <w:gridCol w:w="2006"/>
      </w:tblGrid>
      <w:tr w14:paraId="050B6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tcBorders>
              <w:tl2br w:val="single" w:color="auto" w:sz="4" w:space="0"/>
            </w:tcBorders>
          </w:tcPr>
          <w:p w14:paraId="54F3D953">
            <w:pPr>
              <w:adjustRightInd w:val="0"/>
              <w:snapToGrid w:val="0"/>
              <w:ind w:firstLine="840"/>
              <w:rPr>
                <w:rFonts w:cs="宋体"/>
                <w:szCs w:val="21"/>
              </w:rPr>
            </w:pPr>
            <w:r>
              <w:rPr>
                <w:rFonts w:hint="eastAsia" w:cs="宋体"/>
                <w:szCs w:val="21"/>
              </w:rPr>
              <w:t>内容</w:t>
            </w:r>
          </w:p>
          <w:p w14:paraId="5705F298">
            <w:pPr>
              <w:adjustRightInd w:val="0"/>
              <w:snapToGrid w:val="0"/>
              <w:rPr>
                <w:rFonts w:cs="宋体"/>
                <w:szCs w:val="21"/>
              </w:rPr>
            </w:pPr>
            <w:r>
              <w:rPr>
                <w:rFonts w:hint="eastAsia" w:cs="宋体"/>
                <w:szCs w:val="21"/>
              </w:rPr>
              <w:t>要素</w:t>
            </w:r>
          </w:p>
        </w:tc>
        <w:tc>
          <w:tcPr>
            <w:tcW w:w="1701" w:type="dxa"/>
            <w:vAlign w:val="center"/>
          </w:tcPr>
          <w:p w14:paraId="4FDDB5A2">
            <w:pPr>
              <w:adjustRightInd w:val="0"/>
              <w:snapToGrid w:val="0"/>
              <w:jc w:val="center"/>
              <w:rPr>
                <w:rFonts w:cs="宋体"/>
                <w:szCs w:val="21"/>
              </w:rPr>
            </w:pPr>
            <w:r>
              <w:rPr>
                <w:rFonts w:hint="eastAsia" w:cs="宋体"/>
                <w:szCs w:val="21"/>
              </w:rPr>
              <w:t>排放口（编号、</w:t>
            </w:r>
          </w:p>
          <w:p w14:paraId="49732096">
            <w:pPr>
              <w:adjustRightInd w:val="0"/>
              <w:snapToGrid w:val="0"/>
              <w:jc w:val="center"/>
              <w:rPr>
                <w:rFonts w:cs="宋体"/>
                <w:szCs w:val="21"/>
              </w:rPr>
            </w:pPr>
            <w:r>
              <w:rPr>
                <w:rFonts w:hint="eastAsia" w:cs="宋体"/>
                <w:szCs w:val="21"/>
              </w:rPr>
              <w:t>名称）/污染源</w:t>
            </w:r>
          </w:p>
        </w:tc>
        <w:tc>
          <w:tcPr>
            <w:tcW w:w="1276" w:type="dxa"/>
            <w:vAlign w:val="center"/>
          </w:tcPr>
          <w:p w14:paraId="0199D909">
            <w:pPr>
              <w:adjustRightInd w:val="0"/>
              <w:snapToGrid w:val="0"/>
              <w:jc w:val="center"/>
              <w:rPr>
                <w:rFonts w:cs="宋体"/>
                <w:szCs w:val="21"/>
              </w:rPr>
            </w:pPr>
            <w:r>
              <w:rPr>
                <w:rFonts w:hint="eastAsia" w:cs="宋体"/>
                <w:szCs w:val="21"/>
              </w:rPr>
              <w:t>污染物项目</w:t>
            </w:r>
          </w:p>
        </w:tc>
        <w:tc>
          <w:tcPr>
            <w:tcW w:w="2551" w:type="dxa"/>
            <w:vAlign w:val="center"/>
          </w:tcPr>
          <w:p w14:paraId="3E7533AE">
            <w:pPr>
              <w:adjustRightInd w:val="0"/>
              <w:snapToGrid w:val="0"/>
              <w:jc w:val="center"/>
              <w:rPr>
                <w:rFonts w:cs="宋体"/>
                <w:szCs w:val="21"/>
              </w:rPr>
            </w:pPr>
            <w:r>
              <w:rPr>
                <w:rFonts w:hint="eastAsia" w:cs="宋体"/>
                <w:szCs w:val="21"/>
              </w:rPr>
              <w:t>环境保护措施</w:t>
            </w:r>
          </w:p>
        </w:tc>
        <w:tc>
          <w:tcPr>
            <w:tcW w:w="2006" w:type="dxa"/>
            <w:vAlign w:val="center"/>
          </w:tcPr>
          <w:p w14:paraId="29B4CDAD">
            <w:pPr>
              <w:adjustRightInd w:val="0"/>
              <w:snapToGrid w:val="0"/>
              <w:jc w:val="center"/>
              <w:rPr>
                <w:rFonts w:cs="宋体"/>
                <w:szCs w:val="21"/>
              </w:rPr>
            </w:pPr>
            <w:r>
              <w:rPr>
                <w:rFonts w:hint="eastAsia" w:cs="宋体"/>
                <w:szCs w:val="21"/>
              </w:rPr>
              <w:t>执行标准</w:t>
            </w:r>
          </w:p>
        </w:tc>
      </w:tr>
      <w:tr w14:paraId="60E3F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4CC1966B">
            <w:pPr>
              <w:adjustRightInd w:val="0"/>
              <w:snapToGrid w:val="0"/>
              <w:jc w:val="center"/>
              <w:rPr>
                <w:rFonts w:cs="宋体"/>
                <w:szCs w:val="21"/>
              </w:rPr>
            </w:pPr>
            <w:r>
              <w:rPr>
                <w:rFonts w:hint="eastAsia" w:cs="宋体"/>
                <w:szCs w:val="21"/>
                <w:lang w:val="en-US" w:eastAsia="zh-CN"/>
              </w:rPr>
              <w:t>大气</w:t>
            </w:r>
            <w:r>
              <w:rPr>
                <w:rFonts w:hint="eastAsia" w:cs="宋体"/>
                <w:szCs w:val="21"/>
              </w:rPr>
              <w:t>环境</w:t>
            </w:r>
          </w:p>
        </w:tc>
        <w:tc>
          <w:tcPr>
            <w:tcW w:w="1701" w:type="dxa"/>
            <w:vAlign w:val="center"/>
          </w:tcPr>
          <w:p w14:paraId="5DFF4E64">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厂界</w:t>
            </w:r>
          </w:p>
        </w:tc>
        <w:tc>
          <w:tcPr>
            <w:tcW w:w="1276" w:type="dxa"/>
            <w:vAlign w:val="center"/>
          </w:tcPr>
          <w:p w14:paraId="17971DD9">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2551" w:type="dxa"/>
            <w:vAlign w:val="center"/>
          </w:tcPr>
          <w:p w14:paraId="313F7E93">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经涤塔洗涤后放空排放</w:t>
            </w:r>
          </w:p>
        </w:tc>
        <w:tc>
          <w:tcPr>
            <w:tcW w:w="2006" w:type="dxa"/>
            <w:vAlign w:val="center"/>
          </w:tcPr>
          <w:p w14:paraId="2535FB3F">
            <w:pPr>
              <w:adjustRightInd w:val="0"/>
              <w:snapToGrid w:val="0"/>
              <w:jc w:val="center"/>
              <w:rPr>
                <w:rFonts w:hint="default"/>
                <w:szCs w:val="21"/>
                <w:lang w:val="en-US"/>
              </w:rPr>
            </w:pPr>
            <w:r>
              <w:rPr>
                <w:rFonts w:hint="eastAsia"/>
                <w:szCs w:val="21"/>
                <w:lang w:val="en-US" w:eastAsia="zh-CN"/>
              </w:rPr>
              <w:t>《石油化学工业污染物排放标准》（GB31571-2015）及其修改单</w:t>
            </w:r>
          </w:p>
        </w:tc>
      </w:tr>
      <w:tr w14:paraId="31D9B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278F3F8E">
            <w:pPr>
              <w:adjustRightInd w:val="0"/>
              <w:snapToGrid w:val="0"/>
              <w:jc w:val="center"/>
              <w:rPr>
                <w:rFonts w:hint="default" w:cs="宋体"/>
                <w:szCs w:val="21"/>
                <w:lang w:val="en-US" w:eastAsia="zh-CN"/>
              </w:rPr>
            </w:pPr>
            <w:r>
              <w:rPr>
                <w:rFonts w:hint="eastAsia" w:cs="宋体"/>
                <w:szCs w:val="21"/>
                <w:lang w:val="en-US" w:eastAsia="zh-CN"/>
              </w:rPr>
              <w:t>水环境</w:t>
            </w:r>
          </w:p>
        </w:tc>
        <w:tc>
          <w:tcPr>
            <w:tcW w:w="7534" w:type="dxa"/>
            <w:gridSpan w:val="4"/>
            <w:vAlign w:val="center"/>
          </w:tcPr>
          <w:p w14:paraId="1A7521CB">
            <w:pPr>
              <w:adjustRightInd w:val="0"/>
              <w:snapToGrid w:val="0"/>
              <w:jc w:val="center"/>
              <w:rPr>
                <w:rFonts w:hint="default"/>
                <w:szCs w:val="21"/>
                <w:lang w:val="en-US" w:eastAsia="zh-CN"/>
              </w:rPr>
            </w:pPr>
            <w:r>
              <w:rPr>
                <w:rFonts w:hint="eastAsia"/>
                <w:szCs w:val="21"/>
                <w:lang w:val="en-US" w:eastAsia="zh-CN"/>
              </w:rPr>
              <w:t>无</w:t>
            </w:r>
          </w:p>
        </w:tc>
      </w:tr>
      <w:tr w14:paraId="50DAA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220DFD23">
            <w:pPr>
              <w:adjustRightInd w:val="0"/>
              <w:snapToGrid w:val="0"/>
              <w:jc w:val="center"/>
              <w:rPr>
                <w:rFonts w:cs="宋体"/>
                <w:szCs w:val="21"/>
              </w:rPr>
            </w:pPr>
            <w:r>
              <w:rPr>
                <w:rFonts w:hint="eastAsia" w:cs="宋体"/>
                <w:szCs w:val="21"/>
              </w:rPr>
              <w:t>声环境</w:t>
            </w:r>
          </w:p>
        </w:tc>
        <w:tc>
          <w:tcPr>
            <w:tcW w:w="1701" w:type="dxa"/>
            <w:vAlign w:val="center"/>
          </w:tcPr>
          <w:p w14:paraId="04F55972">
            <w:pPr>
              <w:adjustRightInd w:val="0"/>
              <w:snapToGrid w:val="0"/>
              <w:jc w:val="center"/>
              <w:rPr>
                <w:rFonts w:cs="宋体"/>
                <w:szCs w:val="21"/>
              </w:rPr>
            </w:pPr>
            <w:r>
              <w:rPr>
                <w:rFonts w:hint="eastAsia" w:cs="宋体"/>
                <w:szCs w:val="21"/>
              </w:rPr>
              <w:t>设备噪声</w:t>
            </w:r>
          </w:p>
        </w:tc>
        <w:tc>
          <w:tcPr>
            <w:tcW w:w="1276" w:type="dxa"/>
            <w:vAlign w:val="center"/>
          </w:tcPr>
          <w:p w14:paraId="6588F4EF">
            <w:pPr>
              <w:adjustRightInd w:val="0"/>
              <w:snapToGrid w:val="0"/>
              <w:jc w:val="center"/>
              <w:rPr>
                <w:rFonts w:cs="宋体"/>
                <w:szCs w:val="21"/>
              </w:rPr>
            </w:pPr>
            <w:r>
              <w:rPr>
                <w:rFonts w:hint="eastAsia" w:cs="宋体"/>
                <w:szCs w:val="21"/>
              </w:rPr>
              <w:t>噪声</w:t>
            </w:r>
          </w:p>
        </w:tc>
        <w:tc>
          <w:tcPr>
            <w:tcW w:w="2551" w:type="dxa"/>
            <w:vAlign w:val="center"/>
          </w:tcPr>
          <w:p w14:paraId="2781A311">
            <w:pPr>
              <w:adjustRightInd w:val="0"/>
              <w:snapToGrid w:val="0"/>
              <w:jc w:val="center"/>
              <w:rPr>
                <w:rFonts w:cs="宋体"/>
                <w:szCs w:val="21"/>
              </w:rPr>
            </w:pPr>
            <w:r>
              <w:rPr>
                <w:rFonts w:hint="eastAsia" w:cs="宋体"/>
                <w:szCs w:val="21"/>
              </w:rPr>
              <w:t>减</w:t>
            </w:r>
            <w:r>
              <w:rPr>
                <w:rFonts w:hint="eastAsia" w:cs="宋体"/>
                <w:szCs w:val="21"/>
                <w:lang w:val="en-US" w:eastAsia="zh-CN"/>
              </w:rPr>
              <w:t>振</w:t>
            </w:r>
            <w:r>
              <w:rPr>
                <w:rFonts w:hint="eastAsia" w:cs="宋体"/>
                <w:szCs w:val="21"/>
              </w:rPr>
              <w:t>、隔声</w:t>
            </w:r>
          </w:p>
        </w:tc>
        <w:tc>
          <w:tcPr>
            <w:tcW w:w="2006" w:type="dxa"/>
            <w:vAlign w:val="center"/>
          </w:tcPr>
          <w:p w14:paraId="29ABF0E0">
            <w:pPr>
              <w:adjustRightInd w:val="0"/>
              <w:snapToGrid w:val="0"/>
              <w:jc w:val="center"/>
              <w:rPr>
                <w:rFonts w:cs="宋体"/>
                <w:szCs w:val="21"/>
              </w:rPr>
            </w:pPr>
            <w:r>
              <w:t>《工业企业厂界环境噪声排放标准》（GB12348-2008）中的</w:t>
            </w:r>
            <w:r>
              <w:rPr>
                <w:rFonts w:hint="eastAsia"/>
              </w:rPr>
              <w:t>3</w:t>
            </w:r>
            <w:r>
              <w:t>类标准</w:t>
            </w:r>
          </w:p>
        </w:tc>
      </w:tr>
      <w:tr w14:paraId="398AC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097A4BCF">
            <w:pPr>
              <w:adjustRightInd w:val="0"/>
              <w:snapToGrid w:val="0"/>
              <w:jc w:val="center"/>
              <w:rPr>
                <w:rFonts w:cs="宋体"/>
                <w:szCs w:val="21"/>
              </w:rPr>
            </w:pPr>
            <w:r>
              <w:rPr>
                <w:rFonts w:hint="eastAsia" w:cs="宋体"/>
                <w:szCs w:val="21"/>
              </w:rPr>
              <w:t>电磁辐射</w:t>
            </w:r>
          </w:p>
        </w:tc>
        <w:tc>
          <w:tcPr>
            <w:tcW w:w="1701" w:type="dxa"/>
            <w:vAlign w:val="center"/>
          </w:tcPr>
          <w:p w14:paraId="33E971F3">
            <w:pPr>
              <w:adjustRightInd w:val="0"/>
              <w:snapToGrid w:val="0"/>
              <w:jc w:val="center"/>
              <w:rPr>
                <w:rFonts w:cs="宋体"/>
                <w:szCs w:val="21"/>
              </w:rPr>
            </w:pPr>
            <w:r>
              <w:rPr>
                <w:rFonts w:hint="eastAsia" w:cs="宋体"/>
                <w:szCs w:val="21"/>
              </w:rPr>
              <w:t>/</w:t>
            </w:r>
          </w:p>
        </w:tc>
        <w:tc>
          <w:tcPr>
            <w:tcW w:w="1276" w:type="dxa"/>
            <w:vAlign w:val="center"/>
          </w:tcPr>
          <w:p w14:paraId="3CA6FBDD">
            <w:pPr>
              <w:adjustRightInd w:val="0"/>
              <w:snapToGrid w:val="0"/>
              <w:jc w:val="center"/>
              <w:rPr>
                <w:rFonts w:cs="宋体"/>
                <w:szCs w:val="21"/>
              </w:rPr>
            </w:pPr>
            <w:r>
              <w:rPr>
                <w:rFonts w:hint="eastAsia" w:cs="宋体"/>
                <w:szCs w:val="21"/>
              </w:rPr>
              <w:t>/</w:t>
            </w:r>
          </w:p>
        </w:tc>
        <w:tc>
          <w:tcPr>
            <w:tcW w:w="2551" w:type="dxa"/>
            <w:vAlign w:val="center"/>
          </w:tcPr>
          <w:p w14:paraId="57B1A8D7">
            <w:pPr>
              <w:adjustRightInd w:val="0"/>
              <w:snapToGrid w:val="0"/>
              <w:jc w:val="center"/>
              <w:rPr>
                <w:rFonts w:cs="宋体"/>
                <w:szCs w:val="21"/>
              </w:rPr>
            </w:pPr>
            <w:r>
              <w:rPr>
                <w:rFonts w:hint="eastAsia" w:cs="宋体"/>
                <w:szCs w:val="21"/>
              </w:rPr>
              <w:t>/</w:t>
            </w:r>
          </w:p>
        </w:tc>
        <w:tc>
          <w:tcPr>
            <w:tcW w:w="2006" w:type="dxa"/>
            <w:vAlign w:val="center"/>
          </w:tcPr>
          <w:p w14:paraId="51F08157">
            <w:pPr>
              <w:adjustRightInd w:val="0"/>
              <w:snapToGrid w:val="0"/>
              <w:jc w:val="center"/>
              <w:rPr>
                <w:rFonts w:cs="宋体"/>
                <w:szCs w:val="21"/>
              </w:rPr>
            </w:pPr>
            <w:r>
              <w:rPr>
                <w:rFonts w:hint="eastAsia" w:cs="宋体"/>
                <w:szCs w:val="21"/>
              </w:rPr>
              <w:t>/</w:t>
            </w:r>
          </w:p>
        </w:tc>
      </w:tr>
      <w:tr w14:paraId="5D94F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604DC9B4">
            <w:pPr>
              <w:adjustRightInd w:val="0"/>
              <w:snapToGrid w:val="0"/>
              <w:jc w:val="center"/>
              <w:rPr>
                <w:rFonts w:cs="宋体"/>
                <w:szCs w:val="21"/>
              </w:rPr>
            </w:pPr>
            <w:r>
              <w:rPr>
                <w:rFonts w:hint="eastAsia" w:cs="宋体"/>
                <w:szCs w:val="21"/>
              </w:rPr>
              <w:t>固体废物</w:t>
            </w:r>
          </w:p>
        </w:tc>
        <w:tc>
          <w:tcPr>
            <w:tcW w:w="7534" w:type="dxa"/>
            <w:gridSpan w:val="4"/>
            <w:vAlign w:val="center"/>
          </w:tcPr>
          <w:p w14:paraId="1E699D4B">
            <w:pPr>
              <w:autoSpaceDE w:val="0"/>
              <w:autoSpaceDN w:val="0"/>
              <w:adjustRightInd w:val="0"/>
            </w:pPr>
            <w:r>
              <w:rPr>
                <w:rFonts w:hint="eastAsia"/>
                <w:u w:val="single"/>
                <w:lang w:val="en-US" w:eastAsia="zh-CN"/>
              </w:rPr>
              <w:t>装置生产过程</w:t>
            </w:r>
            <w:r>
              <w:rPr>
                <w:rFonts w:hint="eastAsia"/>
                <w:u w:val="single"/>
              </w:rPr>
              <w:t>产生的</w:t>
            </w:r>
            <w:r>
              <w:rPr>
                <w:rFonts w:hint="eastAsia"/>
                <w:u w:val="single"/>
                <w:lang w:val="en-US" w:eastAsia="zh-CN"/>
              </w:rPr>
              <w:t>废液</w:t>
            </w:r>
            <w:r>
              <w:rPr>
                <w:rFonts w:hint="eastAsia"/>
                <w:u w:val="single"/>
              </w:rPr>
              <w:t>暂存到</w:t>
            </w:r>
            <w:r>
              <w:rPr>
                <w:rFonts w:hint="eastAsia"/>
                <w:u w:val="single"/>
                <w:lang w:val="en-US" w:eastAsia="zh-CN"/>
              </w:rPr>
              <w:t>废液罐</w:t>
            </w:r>
            <w:r>
              <w:rPr>
                <w:rFonts w:hint="eastAsia"/>
                <w:u w:val="single"/>
              </w:rPr>
              <w:t>，定期</w:t>
            </w:r>
            <w:r>
              <w:rPr>
                <w:rFonts w:hint="eastAsia"/>
                <w:u w:val="single"/>
                <w:lang w:eastAsia="zh-CN"/>
              </w:rPr>
              <w:t>交由</w:t>
            </w:r>
            <w:r>
              <w:rPr>
                <w:rFonts w:hint="eastAsia"/>
                <w:u w:val="single"/>
              </w:rPr>
              <w:t>资质单位处置。</w:t>
            </w:r>
          </w:p>
        </w:tc>
      </w:tr>
      <w:tr w14:paraId="2FCF9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22528F34">
            <w:pPr>
              <w:adjustRightInd w:val="0"/>
              <w:snapToGrid w:val="0"/>
              <w:jc w:val="center"/>
              <w:rPr>
                <w:rFonts w:cs="宋体"/>
                <w:szCs w:val="21"/>
              </w:rPr>
            </w:pPr>
            <w:r>
              <w:rPr>
                <w:rFonts w:hint="eastAsia" w:cs="宋体"/>
                <w:szCs w:val="21"/>
              </w:rPr>
              <w:t>土壤及地下水污染防治措施</w:t>
            </w:r>
          </w:p>
        </w:tc>
        <w:tc>
          <w:tcPr>
            <w:tcW w:w="7534" w:type="dxa"/>
            <w:gridSpan w:val="4"/>
            <w:vAlign w:val="center"/>
          </w:tcPr>
          <w:p w14:paraId="3BF0BC13">
            <w:pPr>
              <w:adjustRightInd w:val="0"/>
              <w:snapToGrid w:val="0"/>
              <w:jc w:val="center"/>
              <w:rPr>
                <w:rFonts w:hint="default" w:eastAsia="宋体" w:cs="宋体"/>
                <w:szCs w:val="21"/>
                <w:lang w:val="en-US" w:eastAsia="zh-CN"/>
              </w:rPr>
            </w:pPr>
            <w:r>
              <w:rPr>
                <w:rFonts w:hint="eastAsia" w:cs="宋体"/>
                <w:szCs w:val="21"/>
              </w:rPr>
              <w:t>地面硬化</w:t>
            </w:r>
            <w:r>
              <w:rPr>
                <w:rFonts w:hint="eastAsia" w:cs="宋体"/>
                <w:szCs w:val="21"/>
                <w:lang w:val="en-US" w:eastAsia="zh-CN"/>
              </w:rPr>
              <w:t>及防渗措施</w:t>
            </w:r>
          </w:p>
        </w:tc>
      </w:tr>
      <w:tr w14:paraId="1B5B4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3028C907">
            <w:pPr>
              <w:adjustRightInd w:val="0"/>
              <w:snapToGrid w:val="0"/>
              <w:jc w:val="center"/>
              <w:rPr>
                <w:rFonts w:cs="宋体"/>
                <w:szCs w:val="21"/>
              </w:rPr>
            </w:pPr>
            <w:r>
              <w:rPr>
                <w:rFonts w:hint="eastAsia" w:cs="宋体"/>
                <w:szCs w:val="21"/>
              </w:rPr>
              <w:t>生态保护措施</w:t>
            </w:r>
          </w:p>
        </w:tc>
        <w:tc>
          <w:tcPr>
            <w:tcW w:w="7534" w:type="dxa"/>
            <w:gridSpan w:val="4"/>
            <w:vAlign w:val="center"/>
          </w:tcPr>
          <w:p w14:paraId="2EEDA6CE">
            <w:pPr>
              <w:adjustRightInd w:val="0"/>
              <w:snapToGrid w:val="0"/>
              <w:jc w:val="center"/>
              <w:rPr>
                <w:rFonts w:cs="宋体"/>
                <w:szCs w:val="21"/>
              </w:rPr>
            </w:pPr>
            <w:r>
              <w:rPr>
                <w:rFonts w:hint="eastAsia" w:cs="宋体"/>
                <w:szCs w:val="21"/>
              </w:rPr>
              <w:t>厂区绿化</w:t>
            </w:r>
          </w:p>
        </w:tc>
      </w:tr>
      <w:tr w14:paraId="26C09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6B7C2138">
            <w:pPr>
              <w:adjustRightInd w:val="0"/>
              <w:snapToGrid w:val="0"/>
              <w:jc w:val="center"/>
              <w:rPr>
                <w:rFonts w:cs="宋体"/>
                <w:spacing w:val="-8"/>
                <w:szCs w:val="21"/>
              </w:rPr>
            </w:pPr>
            <w:r>
              <w:rPr>
                <w:rFonts w:hint="eastAsia" w:cs="宋体"/>
                <w:spacing w:val="-8"/>
                <w:szCs w:val="21"/>
              </w:rPr>
              <w:t>环境风险</w:t>
            </w:r>
          </w:p>
          <w:p w14:paraId="55E720D1">
            <w:pPr>
              <w:adjustRightInd w:val="0"/>
              <w:snapToGrid w:val="0"/>
              <w:jc w:val="center"/>
              <w:rPr>
                <w:rFonts w:cs="宋体"/>
                <w:spacing w:val="-8"/>
                <w:szCs w:val="21"/>
              </w:rPr>
            </w:pPr>
            <w:r>
              <w:rPr>
                <w:rFonts w:hint="eastAsia" w:cs="宋体"/>
                <w:spacing w:val="-8"/>
                <w:szCs w:val="21"/>
              </w:rPr>
              <w:t>防范措施</w:t>
            </w:r>
          </w:p>
        </w:tc>
        <w:tc>
          <w:tcPr>
            <w:tcW w:w="7534" w:type="dxa"/>
            <w:gridSpan w:val="4"/>
            <w:vAlign w:val="center"/>
          </w:tcPr>
          <w:p w14:paraId="33A3C9E9">
            <w:pPr>
              <w:autoSpaceDE w:val="0"/>
              <w:autoSpaceDN w:val="0"/>
              <w:adjustRightInd w:val="0"/>
              <w:jc w:val="left"/>
              <w:rPr>
                <w:rFonts w:hint="eastAsia"/>
                <w:u w:val="single"/>
                <w:lang w:eastAsia="zh-CN"/>
              </w:rPr>
            </w:pPr>
            <w:r>
              <w:rPr>
                <w:rFonts w:hint="eastAsia"/>
                <w:u w:val="single"/>
                <w:lang w:eastAsia="zh-CN"/>
              </w:rPr>
              <w:t>（</w:t>
            </w:r>
            <w:r>
              <w:rPr>
                <w:rFonts w:hint="eastAsia"/>
                <w:u w:val="single"/>
                <w:lang w:val="en-US" w:eastAsia="zh-CN"/>
              </w:rPr>
              <w:t>1</w:t>
            </w:r>
            <w:r>
              <w:rPr>
                <w:rFonts w:hint="eastAsia"/>
                <w:u w:val="single"/>
                <w:lang w:eastAsia="zh-CN"/>
              </w:rPr>
              <w:t>）</w:t>
            </w:r>
            <w:r>
              <w:rPr>
                <w:rFonts w:hint="eastAsia"/>
                <w:u w:val="single"/>
              </w:rPr>
              <w:t>组织专门人员每天每班多次进行周期性巡回检查，有跑冒滴漏或其他异常现象的应及时检修</w:t>
            </w:r>
            <w:r>
              <w:rPr>
                <w:rFonts w:hint="eastAsia"/>
                <w:u w:val="single"/>
                <w:lang w:eastAsia="zh-CN"/>
              </w:rPr>
              <w:t>；设围堰和地沟，防止污染物泄漏随雨水管网排入外环境的情况。</w:t>
            </w:r>
          </w:p>
          <w:p w14:paraId="4ADBC48F">
            <w:pPr>
              <w:autoSpaceDE w:val="0"/>
              <w:autoSpaceDN w:val="0"/>
              <w:adjustRightInd w:val="0"/>
              <w:jc w:val="left"/>
              <w:rPr>
                <w:rFonts w:hint="eastAsia"/>
                <w:u w:val="single"/>
                <w:lang w:eastAsia="zh-CN"/>
              </w:rPr>
            </w:pPr>
            <w:r>
              <w:rPr>
                <w:rFonts w:hint="eastAsia"/>
                <w:u w:val="single"/>
                <w:lang w:eastAsia="zh-CN"/>
              </w:rPr>
              <w:t>（</w:t>
            </w:r>
            <w:r>
              <w:rPr>
                <w:rFonts w:hint="eastAsia"/>
                <w:u w:val="single"/>
                <w:lang w:val="en-US" w:eastAsia="zh-CN"/>
              </w:rPr>
              <w:t>2</w:t>
            </w:r>
            <w:r>
              <w:rPr>
                <w:rFonts w:hint="eastAsia"/>
                <w:u w:val="single"/>
                <w:lang w:eastAsia="zh-CN"/>
              </w:rPr>
              <w:t>）废液罐及丙酸缓冲罐设置区均设有围堰，围堰尺寸为17.4m×10.95m×1.1m，有效防止储罐发生破裂污染物泄漏。</w:t>
            </w:r>
          </w:p>
          <w:p w14:paraId="36D64ADB">
            <w:pPr>
              <w:autoSpaceDE w:val="0"/>
              <w:autoSpaceDN w:val="0"/>
              <w:adjustRightInd w:val="0"/>
              <w:jc w:val="left"/>
              <w:rPr>
                <w:rFonts w:hint="eastAsia" w:eastAsia="宋体"/>
                <w:lang w:eastAsia="zh-CN"/>
              </w:rPr>
            </w:pPr>
            <w:r>
              <w:rPr>
                <w:rFonts w:hint="eastAsia"/>
                <w:sz w:val="21"/>
                <w:szCs w:val="21"/>
                <w:u w:val="single"/>
                <w:lang w:eastAsia="zh-CN"/>
              </w:rPr>
              <w:t>（</w:t>
            </w:r>
            <w:r>
              <w:rPr>
                <w:rFonts w:hint="eastAsia"/>
                <w:sz w:val="21"/>
                <w:szCs w:val="21"/>
                <w:u w:val="single"/>
                <w:lang w:val="en-US" w:eastAsia="zh-CN"/>
              </w:rPr>
              <w:t>3</w:t>
            </w:r>
            <w:r>
              <w:rPr>
                <w:rFonts w:hint="eastAsia"/>
                <w:sz w:val="21"/>
                <w:szCs w:val="21"/>
                <w:u w:val="single"/>
                <w:lang w:eastAsia="zh-CN"/>
              </w:rPr>
              <w:t>）</w:t>
            </w:r>
            <w:r>
              <w:rPr>
                <w:rFonts w:hint="eastAsia"/>
                <w:sz w:val="21"/>
                <w:szCs w:val="21"/>
                <w:u w:val="single"/>
                <w:lang w:val="en-US" w:eastAsia="zh-CN"/>
              </w:rPr>
              <w:t>事故废水</w:t>
            </w:r>
            <w:r>
              <w:rPr>
                <w:rFonts w:hint="eastAsia" w:eastAsia="宋体"/>
                <w:sz w:val="21"/>
                <w:szCs w:val="21"/>
                <w:u w:val="single"/>
              </w:rPr>
              <w:t>依托现</w:t>
            </w:r>
            <w:r>
              <w:rPr>
                <w:rFonts w:eastAsia="宋体"/>
                <w:sz w:val="21"/>
                <w:szCs w:val="21"/>
                <w:u w:val="single"/>
              </w:rPr>
              <w:t>有 1 座有效容积为18000m³的应急事故池</w:t>
            </w:r>
            <w:r>
              <w:rPr>
                <w:rFonts w:hint="eastAsia"/>
                <w:sz w:val="21"/>
                <w:szCs w:val="21"/>
                <w:u w:val="single"/>
                <w:lang w:eastAsia="zh-CN"/>
              </w:rPr>
              <w:t>。</w:t>
            </w:r>
          </w:p>
        </w:tc>
      </w:tr>
      <w:tr w14:paraId="29DE5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14:paraId="6E5AA079">
            <w:pPr>
              <w:adjustRightInd w:val="0"/>
              <w:snapToGrid w:val="0"/>
              <w:jc w:val="center"/>
              <w:rPr>
                <w:rFonts w:cs="宋体"/>
                <w:spacing w:val="-8"/>
                <w:szCs w:val="21"/>
              </w:rPr>
            </w:pPr>
            <w:r>
              <w:rPr>
                <w:rFonts w:hint="eastAsia" w:cs="宋体"/>
                <w:spacing w:val="-8"/>
                <w:szCs w:val="21"/>
              </w:rPr>
              <w:t>其他环境</w:t>
            </w:r>
          </w:p>
          <w:p w14:paraId="241BB35D">
            <w:pPr>
              <w:adjustRightInd w:val="0"/>
              <w:snapToGrid w:val="0"/>
              <w:jc w:val="center"/>
              <w:rPr>
                <w:rFonts w:cs="宋体"/>
                <w:spacing w:val="-8"/>
                <w:szCs w:val="21"/>
              </w:rPr>
            </w:pPr>
            <w:r>
              <w:rPr>
                <w:rFonts w:hint="eastAsia" w:cs="宋体"/>
                <w:spacing w:val="-8"/>
                <w:szCs w:val="21"/>
              </w:rPr>
              <w:t>管理要求</w:t>
            </w:r>
          </w:p>
        </w:tc>
        <w:tc>
          <w:tcPr>
            <w:tcW w:w="7534" w:type="dxa"/>
            <w:gridSpan w:val="4"/>
            <w:vAlign w:val="center"/>
          </w:tcPr>
          <w:p w14:paraId="18B49D5A">
            <w:pPr>
              <w:adjustRightInd w:val="0"/>
              <w:snapToGrid w:val="0"/>
              <w:jc w:val="left"/>
            </w:pPr>
            <w:r>
              <w:rPr>
                <w:rFonts w:hint="eastAsia"/>
              </w:rPr>
              <w:t>竣工环境保护验收：根据《建设项目竣工环境保护验收暂行办法》的规定，建设项目竣工后，建设单位应当如实查验、监测、记载建设项目环境保护设施的建设和调试情况，编制验收监测报告表。</w:t>
            </w:r>
          </w:p>
        </w:tc>
      </w:tr>
    </w:tbl>
    <w:p w14:paraId="3ED07C00">
      <w:pPr>
        <w:tabs>
          <w:tab w:val="left" w:pos="3225"/>
        </w:tabs>
        <w:spacing w:line="500" w:lineRule="exact"/>
        <w:outlineLvl w:val="0"/>
        <w:rPr>
          <w:rFonts w:ascii="黑体" w:hAnsi="黑体" w:eastAsia="黑体"/>
          <w:snapToGrid w:val="0"/>
          <w:sz w:val="30"/>
          <w:szCs w:val="30"/>
        </w:rPr>
      </w:pPr>
      <w:r>
        <w:rPr>
          <w:snapToGrid w:val="0"/>
        </w:rPr>
        <w:br w:type="page"/>
      </w:r>
      <w:bookmarkStart w:id="26" w:name="_Toc29865"/>
      <w:bookmarkStart w:id="27" w:name="_Toc5261"/>
      <w:bookmarkStart w:id="28" w:name="_Toc3367"/>
      <w:r>
        <w:rPr>
          <w:rFonts w:hint="eastAsia" w:ascii="Calibri" w:hAnsi="Calibri" w:cs="Arial"/>
          <w:b/>
          <w:kern w:val="44"/>
          <w:sz w:val="28"/>
          <w:szCs w:val="28"/>
        </w:rPr>
        <w:t>六、结论</w:t>
      </w:r>
      <w:bookmarkEnd w:id="26"/>
      <w:bookmarkEnd w:id="27"/>
      <w:bookmarkEnd w:id="28"/>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CBE9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FBB46ED">
            <w:pPr>
              <w:adjustRightInd w:val="0"/>
              <w:snapToGrid w:val="0"/>
              <w:spacing w:line="500" w:lineRule="exact"/>
              <w:ind w:firstLine="470" w:firstLineChars="196"/>
              <w:rPr>
                <w:sz w:val="24"/>
              </w:rPr>
            </w:pPr>
            <w:r>
              <w:rPr>
                <w:rFonts w:hint="eastAsia"/>
                <w:sz w:val="24"/>
              </w:rPr>
              <w:t>综上所述，本项目的建设符合国家及地方产业政策，符合用地规划，且选址合理，只要该项目认真贯彻执行好国家现行的各项环境保护法规、法令、标准，严格落实切实有效的污染防治和生态保护措施，保证各污染治理设施稳定高效运行，确保各污染物长期稳定达标排放，确保工程对各环境保护目标不造成干扰，则在此基础上该项目建设在环境保护方面是可行的。</w:t>
            </w:r>
          </w:p>
          <w:p w14:paraId="051FD834">
            <w:pPr>
              <w:spacing w:line="360" w:lineRule="auto"/>
              <w:rPr>
                <w:rFonts w:ascii="宋体" w:cs="宋体"/>
                <w:sz w:val="24"/>
              </w:rPr>
            </w:pPr>
          </w:p>
        </w:tc>
      </w:tr>
    </w:tbl>
    <w:p w14:paraId="71AB016C">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E8DDF1A">
      <w:pPr>
        <w:tabs>
          <w:tab w:val="left" w:pos="3225"/>
        </w:tabs>
        <w:spacing w:line="500" w:lineRule="exact"/>
        <w:outlineLvl w:val="0"/>
        <w:rPr>
          <w:rFonts w:ascii="Calibri" w:hAnsi="Calibri" w:cs="Arial"/>
          <w:b/>
          <w:kern w:val="44"/>
          <w:sz w:val="28"/>
          <w:szCs w:val="28"/>
        </w:rPr>
      </w:pPr>
      <w:bookmarkStart w:id="29" w:name="_Toc8964"/>
      <w:bookmarkStart w:id="30" w:name="_Toc2671"/>
      <w:bookmarkStart w:id="31" w:name="_Toc26176"/>
      <w:r>
        <w:rPr>
          <w:rFonts w:hint="eastAsia" w:ascii="Calibri" w:hAnsi="Calibri" w:cs="Arial"/>
          <w:b/>
          <w:kern w:val="44"/>
          <w:sz w:val="28"/>
          <w:szCs w:val="28"/>
        </w:rPr>
        <w:t>附表</w:t>
      </w:r>
      <w:bookmarkEnd w:id="29"/>
      <w:bookmarkEnd w:id="30"/>
      <w:bookmarkEnd w:id="31"/>
    </w:p>
    <w:p w14:paraId="607EEF58">
      <w:pPr>
        <w:keepNext w:val="0"/>
        <w:keepLines w:val="0"/>
        <w:pageBreakBefore w:val="0"/>
        <w:widowControl w:val="0"/>
        <w:tabs>
          <w:tab w:val="left" w:pos="3225"/>
        </w:tabs>
        <w:kinsoku/>
        <w:wordWrap/>
        <w:overflowPunct/>
        <w:topLinePunct w:val="0"/>
        <w:autoSpaceDE/>
        <w:autoSpaceDN/>
        <w:bidi w:val="0"/>
        <w:adjustRightInd/>
        <w:snapToGrid/>
        <w:spacing w:line="500" w:lineRule="exact"/>
        <w:jc w:val="center"/>
        <w:textAlignment w:val="auto"/>
        <w:outlineLvl w:val="9"/>
        <w:rPr>
          <w:rFonts w:asciiTheme="minorEastAsia" w:hAnsiTheme="minorEastAsia" w:eastAsiaTheme="minorEastAsia"/>
          <w:b/>
          <w:kern w:val="44"/>
          <w:sz w:val="28"/>
          <w:szCs w:val="28"/>
          <w:highlight w:val="yellow"/>
        </w:rPr>
      </w:pPr>
      <w:bookmarkStart w:id="32" w:name="_Toc66883326"/>
      <w:bookmarkStart w:id="33" w:name="_Toc17938"/>
      <w:r>
        <w:rPr>
          <w:rFonts w:asciiTheme="minorEastAsia" w:hAnsiTheme="minorEastAsia" w:eastAsiaTheme="minorEastAsia"/>
          <w:b/>
          <w:kern w:val="44"/>
          <w:sz w:val="28"/>
          <w:szCs w:val="28"/>
          <w:highlight w:val="none"/>
        </w:rPr>
        <w:t>建设项目污染物排放量汇总表</w:t>
      </w:r>
      <w:bookmarkEnd w:id="32"/>
      <w:r>
        <w:rPr>
          <w:rFonts w:asciiTheme="minorEastAsia" w:hAnsiTheme="minorEastAsia" w:eastAsiaTheme="minorEastAsia"/>
          <w:b/>
          <w:kern w:val="44"/>
          <w:sz w:val="28"/>
          <w:szCs w:val="28"/>
          <w:highlight w:val="none"/>
        </w:rPr>
        <w:t xml:space="preserve">       单位：t/a</w:t>
      </w:r>
      <w:bookmarkEnd w:id="33"/>
    </w:p>
    <w:tbl>
      <w:tblPr>
        <w:tblStyle w:val="26"/>
        <w:tblW w:w="139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2114"/>
        <w:gridCol w:w="1579"/>
        <w:gridCol w:w="1104"/>
        <w:gridCol w:w="1528"/>
        <w:gridCol w:w="1469"/>
        <w:gridCol w:w="1761"/>
        <w:gridCol w:w="1624"/>
        <w:gridCol w:w="1362"/>
      </w:tblGrid>
      <w:tr w14:paraId="4C450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tcBorders>
              <w:tl2br w:val="single" w:color="auto" w:sz="4" w:space="0"/>
            </w:tcBorders>
            <w:tcMar>
              <w:left w:w="28" w:type="dxa"/>
              <w:right w:w="28" w:type="dxa"/>
            </w:tcMar>
            <w:vAlign w:val="center"/>
          </w:tcPr>
          <w:p w14:paraId="6858C6C0">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项目</w:t>
            </w:r>
          </w:p>
          <w:p w14:paraId="58E12FA4">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分类</w:t>
            </w:r>
          </w:p>
        </w:tc>
        <w:tc>
          <w:tcPr>
            <w:tcW w:w="2114" w:type="dxa"/>
            <w:tcMar>
              <w:left w:w="28" w:type="dxa"/>
              <w:right w:w="28" w:type="dxa"/>
            </w:tcMar>
            <w:vAlign w:val="center"/>
          </w:tcPr>
          <w:p w14:paraId="6550B191">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污染物名称</w:t>
            </w:r>
          </w:p>
        </w:tc>
        <w:tc>
          <w:tcPr>
            <w:tcW w:w="1579" w:type="dxa"/>
            <w:tcMar>
              <w:left w:w="28" w:type="dxa"/>
              <w:right w:w="28" w:type="dxa"/>
            </w:tcMar>
            <w:vAlign w:val="center"/>
          </w:tcPr>
          <w:p w14:paraId="69E0B8C5">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现有工程</w:t>
            </w:r>
          </w:p>
          <w:p w14:paraId="04FC81F1">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排放量（固体废物产生量）</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1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①</w:t>
            </w:r>
            <w:r>
              <w:rPr>
                <w:rFonts w:hint="eastAsia" w:ascii="Times New Roman" w:hAnsi="Times New Roman" w:eastAsia="宋体" w:cs="Times New Roman"/>
                <w:sz w:val="21"/>
                <w:szCs w:val="21"/>
                <w:u w:val="none"/>
              </w:rPr>
              <w:fldChar w:fldCharType="end"/>
            </w:r>
          </w:p>
        </w:tc>
        <w:tc>
          <w:tcPr>
            <w:tcW w:w="1104" w:type="dxa"/>
            <w:tcMar>
              <w:left w:w="28" w:type="dxa"/>
              <w:right w:w="28" w:type="dxa"/>
            </w:tcMar>
            <w:vAlign w:val="center"/>
          </w:tcPr>
          <w:p w14:paraId="2A863BFC">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现有工程</w:t>
            </w:r>
          </w:p>
          <w:p w14:paraId="6F1DFA48">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许可排放量</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2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②</w:t>
            </w:r>
            <w:r>
              <w:rPr>
                <w:rFonts w:hint="eastAsia" w:ascii="Times New Roman" w:hAnsi="Times New Roman" w:eastAsia="宋体" w:cs="Times New Roman"/>
                <w:sz w:val="21"/>
                <w:szCs w:val="21"/>
                <w:u w:val="none"/>
              </w:rPr>
              <w:fldChar w:fldCharType="end"/>
            </w:r>
          </w:p>
        </w:tc>
        <w:tc>
          <w:tcPr>
            <w:tcW w:w="1528" w:type="dxa"/>
            <w:tcMar>
              <w:left w:w="28" w:type="dxa"/>
              <w:right w:w="28" w:type="dxa"/>
            </w:tcMar>
            <w:vAlign w:val="center"/>
          </w:tcPr>
          <w:p w14:paraId="51CBDA9D">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在建工程</w:t>
            </w:r>
          </w:p>
          <w:p w14:paraId="0C13272A">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排放量（固体废物产生量）</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3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③</w:t>
            </w:r>
            <w:r>
              <w:rPr>
                <w:rFonts w:hint="eastAsia" w:ascii="Times New Roman" w:hAnsi="Times New Roman" w:eastAsia="宋体" w:cs="Times New Roman"/>
                <w:sz w:val="21"/>
                <w:szCs w:val="21"/>
                <w:u w:val="none"/>
              </w:rPr>
              <w:fldChar w:fldCharType="end"/>
            </w:r>
          </w:p>
        </w:tc>
        <w:tc>
          <w:tcPr>
            <w:tcW w:w="1469" w:type="dxa"/>
            <w:tcMar>
              <w:left w:w="28" w:type="dxa"/>
              <w:right w:w="28" w:type="dxa"/>
            </w:tcMar>
            <w:vAlign w:val="center"/>
          </w:tcPr>
          <w:p w14:paraId="791FC6C5">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本项目</w:t>
            </w:r>
          </w:p>
          <w:p w14:paraId="23A43CE0">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排放量（固体废物产生量）</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4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④</w:t>
            </w:r>
            <w:r>
              <w:rPr>
                <w:rFonts w:hint="eastAsia" w:ascii="Times New Roman" w:hAnsi="Times New Roman" w:eastAsia="宋体" w:cs="Times New Roman"/>
                <w:sz w:val="21"/>
                <w:szCs w:val="21"/>
                <w:u w:val="none"/>
              </w:rPr>
              <w:fldChar w:fldCharType="end"/>
            </w:r>
          </w:p>
        </w:tc>
        <w:tc>
          <w:tcPr>
            <w:tcW w:w="1761" w:type="dxa"/>
            <w:tcMar>
              <w:left w:w="28" w:type="dxa"/>
              <w:right w:w="28" w:type="dxa"/>
            </w:tcMar>
            <w:vAlign w:val="center"/>
          </w:tcPr>
          <w:p w14:paraId="63CEEF22">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以新带老削减量</w:t>
            </w:r>
          </w:p>
          <w:p w14:paraId="26F7AE0E">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（新建项目不填）</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5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⑤</w:t>
            </w:r>
            <w:r>
              <w:rPr>
                <w:rFonts w:hint="eastAsia" w:ascii="Times New Roman" w:hAnsi="Times New Roman" w:eastAsia="宋体" w:cs="Times New Roman"/>
                <w:sz w:val="21"/>
                <w:szCs w:val="21"/>
                <w:u w:val="none"/>
              </w:rPr>
              <w:fldChar w:fldCharType="end"/>
            </w:r>
          </w:p>
        </w:tc>
        <w:tc>
          <w:tcPr>
            <w:tcW w:w="1624" w:type="dxa"/>
            <w:tcMar>
              <w:left w:w="28" w:type="dxa"/>
              <w:right w:w="28" w:type="dxa"/>
            </w:tcMar>
            <w:vAlign w:val="center"/>
          </w:tcPr>
          <w:p w14:paraId="32066F56">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本项目建成后</w:t>
            </w:r>
          </w:p>
          <w:p w14:paraId="354CB755">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全厂排放量（固体废物产生量）</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6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⑥</w:t>
            </w:r>
            <w:r>
              <w:rPr>
                <w:rFonts w:hint="eastAsia" w:ascii="Times New Roman" w:hAnsi="Times New Roman" w:eastAsia="宋体" w:cs="Times New Roman"/>
                <w:sz w:val="21"/>
                <w:szCs w:val="21"/>
                <w:u w:val="none"/>
              </w:rPr>
              <w:fldChar w:fldCharType="end"/>
            </w:r>
          </w:p>
        </w:tc>
        <w:tc>
          <w:tcPr>
            <w:tcW w:w="1362" w:type="dxa"/>
            <w:tcMar>
              <w:left w:w="28" w:type="dxa"/>
              <w:right w:w="28" w:type="dxa"/>
            </w:tcMar>
            <w:vAlign w:val="center"/>
          </w:tcPr>
          <w:p w14:paraId="5CB3BC82">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变化量</w:t>
            </w:r>
          </w:p>
          <w:p w14:paraId="4100AFE1">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7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⑦</w:t>
            </w:r>
            <w:r>
              <w:rPr>
                <w:rFonts w:hint="eastAsia" w:ascii="Times New Roman" w:hAnsi="Times New Roman" w:eastAsia="宋体" w:cs="Times New Roman"/>
                <w:sz w:val="21"/>
                <w:szCs w:val="21"/>
                <w:u w:val="none"/>
              </w:rPr>
              <w:fldChar w:fldCharType="end"/>
            </w:r>
          </w:p>
        </w:tc>
      </w:tr>
      <w:tr w14:paraId="0A28D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restart"/>
            <w:vAlign w:val="center"/>
          </w:tcPr>
          <w:p w14:paraId="54CBB51D">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废气</w:t>
            </w:r>
          </w:p>
        </w:tc>
        <w:tc>
          <w:tcPr>
            <w:tcW w:w="2114" w:type="dxa"/>
            <w:shd w:val="clear" w:color="auto" w:fill="auto"/>
            <w:vAlign w:val="center"/>
          </w:tcPr>
          <w:p w14:paraId="7BF049A1">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颗粒物</w:t>
            </w:r>
          </w:p>
        </w:tc>
        <w:tc>
          <w:tcPr>
            <w:tcW w:w="1579" w:type="dxa"/>
            <w:shd w:val="clear" w:color="auto" w:fill="auto"/>
            <w:vAlign w:val="center"/>
          </w:tcPr>
          <w:p w14:paraId="75080639">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119.809</w:t>
            </w:r>
          </w:p>
        </w:tc>
        <w:tc>
          <w:tcPr>
            <w:tcW w:w="1104" w:type="dxa"/>
            <w:shd w:val="clear" w:color="auto" w:fill="auto"/>
            <w:vAlign w:val="center"/>
          </w:tcPr>
          <w:p w14:paraId="1C643737">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123.000</w:t>
            </w:r>
          </w:p>
        </w:tc>
        <w:tc>
          <w:tcPr>
            <w:tcW w:w="1528" w:type="dxa"/>
            <w:shd w:val="clear" w:color="auto" w:fill="auto"/>
            <w:vAlign w:val="center"/>
          </w:tcPr>
          <w:p w14:paraId="56AE91B1">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65.516</w:t>
            </w:r>
          </w:p>
        </w:tc>
        <w:tc>
          <w:tcPr>
            <w:tcW w:w="1469" w:type="dxa"/>
            <w:vAlign w:val="center"/>
          </w:tcPr>
          <w:p w14:paraId="1EC81258">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0</w:t>
            </w:r>
          </w:p>
        </w:tc>
        <w:tc>
          <w:tcPr>
            <w:tcW w:w="1761" w:type="dxa"/>
            <w:shd w:val="clear" w:color="auto" w:fill="auto"/>
            <w:vAlign w:val="center"/>
          </w:tcPr>
          <w:p w14:paraId="12E745E9">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18406CA2">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185.325</w:t>
            </w:r>
          </w:p>
        </w:tc>
        <w:tc>
          <w:tcPr>
            <w:tcW w:w="1362" w:type="dxa"/>
            <w:vAlign w:val="center"/>
          </w:tcPr>
          <w:p w14:paraId="783CA8D8">
            <w:pPr>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val="en-US" w:eastAsia="zh-CN"/>
              </w:rPr>
              <w:t>0</w:t>
            </w:r>
          </w:p>
        </w:tc>
      </w:tr>
      <w:tr w14:paraId="2C328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continue"/>
            <w:vAlign w:val="center"/>
          </w:tcPr>
          <w:p w14:paraId="5157EF66">
            <w:pPr>
              <w:jc w:val="center"/>
              <w:rPr>
                <w:rFonts w:hint="eastAsia" w:ascii="Times New Roman" w:hAnsi="Times New Roman" w:eastAsia="宋体" w:cs="Times New Roman"/>
                <w:sz w:val="21"/>
                <w:szCs w:val="21"/>
                <w:u w:val="none"/>
              </w:rPr>
            </w:pPr>
          </w:p>
        </w:tc>
        <w:tc>
          <w:tcPr>
            <w:tcW w:w="2114" w:type="dxa"/>
            <w:shd w:val="clear" w:color="auto" w:fill="auto"/>
            <w:vAlign w:val="center"/>
          </w:tcPr>
          <w:p w14:paraId="10ACC756">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二氧化硫</w:t>
            </w:r>
          </w:p>
        </w:tc>
        <w:tc>
          <w:tcPr>
            <w:tcW w:w="1579" w:type="dxa"/>
            <w:shd w:val="clear" w:color="auto" w:fill="auto"/>
            <w:vAlign w:val="center"/>
          </w:tcPr>
          <w:p w14:paraId="3CBAD820">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248.137</w:t>
            </w:r>
          </w:p>
        </w:tc>
        <w:tc>
          <w:tcPr>
            <w:tcW w:w="1104" w:type="dxa"/>
            <w:shd w:val="clear" w:color="auto" w:fill="auto"/>
            <w:vAlign w:val="center"/>
          </w:tcPr>
          <w:p w14:paraId="22ED50D9">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248.509</w:t>
            </w:r>
          </w:p>
        </w:tc>
        <w:tc>
          <w:tcPr>
            <w:tcW w:w="1528" w:type="dxa"/>
            <w:shd w:val="clear" w:color="auto" w:fill="auto"/>
            <w:vAlign w:val="center"/>
          </w:tcPr>
          <w:p w14:paraId="4E98FF0A">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19.739</w:t>
            </w:r>
          </w:p>
        </w:tc>
        <w:tc>
          <w:tcPr>
            <w:tcW w:w="1469" w:type="dxa"/>
            <w:vAlign w:val="center"/>
          </w:tcPr>
          <w:p w14:paraId="7673B24E">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c>
          <w:tcPr>
            <w:tcW w:w="1761" w:type="dxa"/>
            <w:shd w:val="clear" w:color="auto" w:fill="auto"/>
            <w:vAlign w:val="center"/>
          </w:tcPr>
          <w:p w14:paraId="19A4ACB5">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7D2B45E5">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267.876</w:t>
            </w:r>
          </w:p>
        </w:tc>
        <w:tc>
          <w:tcPr>
            <w:tcW w:w="1362" w:type="dxa"/>
            <w:vAlign w:val="center"/>
          </w:tcPr>
          <w:p w14:paraId="76E0B0CE">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r>
      <w:tr w14:paraId="3F0F0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continue"/>
            <w:vAlign w:val="center"/>
          </w:tcPr>
          <w:p w14:paraId="2F62D9B0">
            <w:pPr>
              <w:jc w:val="center"/>
              <w:rPr>
                <w:rFonts w:hint="eastAsia" w:ascii="Times New Roman" w:hAnsi="Times New Roman" w:eastAsia="宋体" w:cs="Times New Roman"/>
                <w:sz w:val="21"/>
                <w:szCs w:val="21"/>
                <w:u w:val="none"/>
              </w:rPr>
            </w:pPr>
          </w:p>
        </w:tc>
        <w:tc>
          <w:tcPr>
            <w:tcW w:w="2114" w:type="dxa"/>
            <w:shd w:val="clear" w:color="auto" w:fill="auto"/>
            <w:vAlign w:val="center"/>
          </w:tcPr>
          <w:p w14:paraId="3919A1FA">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氮氧化物</w:t>
            </w:r>
          </w:p>
        </w:tc>
        <w:tc>
          <w:tcPr>
            <w:tcW w:w="1579" w:type="dxa"/>
            <w:shd w:val="clear" w:color="auto" w:fill="auto"/>
            <w:vAlign w:val="center"/>
          </w:tcPr>
          <w:p w14:paraId="54CCE404">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585.353</w:t>
            </w:r>
          </w:p>
        </w:tc>
        <w:tc>
          <w:tcPr>
            <w:tcW w:w="1104" w:type="dxa"/>
            <w:shd w:val="clear" w:color="auto" w:fill="auto"/>
            <w:vAlign w:val="center"/>
          </w:tcPr>
          <w:p w14:paraId="370FD8DC">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585.49</w:t>
            </w:r>
          </w:p>
        </w:tc>
        <w:tc>
          <w:tcPr>
            <w:tcW w:w="1528" w:type="dxa"/>
            <w:shd w:val="clear" w:color="auto" w:fill="auto"/>
            <w:vAlign w:val="center"/>
          </w:tcPr>
          <w:p w14:paraId="6AF28394">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251.582</w:t>
            </w:r>
          </w:p>
        </w:tc>
        <w:tc>
          <w:tcPr>
            <w:tcW w:w="1469" w:type="dxa"/>
            <w:vAlign w:val="center"/>
          </w:tcPr>
          <w:p w14:paraId="61067ADB">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c>
          <w:tcPr>
            <w:tcW w:w="1761" w:type="dxa"/>
            <w:shd w:val="clear" w:color="auto" w:fill="auto"/>
            <w:vAlign w:val="center"/>
          </w:tcPr>
          <w:p w14:paraId="5A8C1D3B">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2116671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836.935</w:t>
            </w:r>
          </w:p>
        </w:tc>
        <w:tc>
          <w:tcPr>
            <w:tcW w:w="1362" w:type="dxa"/>
            <w:vAlign w:val="center"/>
          </w:tcPr>
          <w:p w14:paraId="27CD90B4">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r>
      <w:tr w14:paraId="135D1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continue"/>
            <w:vAlign w:val="center"/>
          </w:tcPr>
          <w:p w14:paraId="3E4A37DA">
            <w:pPr>
              <w:jc w:val="center"/>
              <w:rPr>
                <w:rFonts w:hint="eastAsia" w:ascii="Times New Roman" w:hAnsi="Times New Roman" w:eastAsia="宋体" w:cs="Times New Roman"/>
                <w:sz w:val="21"/>
                <w:szCs w:val="21"/>
                <w:u w:val="none"/>
              </w:rPr>
            </w:pPr>
          </w:p>
        </w:tc>
        <w:tc>
          <w:tcPr>
            <w:tcW w:w="2114" w:type="dxa"/>
            <w:shd w:val="clear" w:color="auto" w:fill="auto"/>
            <w:vAlign w:val="center"/>
          </w:tcPr>
          <w:p w14:paraId="758DF85F">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甲醇</w:t>
            </w:r>
          </w:p>
        </w:tc>
        <w:tc>
          <w:tcPr>
            <w:tcW w:w="1579" w:type="dxa"/>
            <w:shd w:val="clear" w:color="auto" w:fill="auto"/>
            <w:vAlign w:val="center"/>
          </w:tcPr>
          <w:p w14:paraId="6967FAB0">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75.517</w:t>
            </w:r>
          </w:p>
        </w:tc>
        <w:tc>
          <w:tcPr>
            <w:tcW w:w="1104" w:type="dxa"/>
            <w:shd w:val="clear" w:color="auto" w:fill="auto"/>
            <w:vAlign w:val="center"/>
          </w:tcPr>
          <w:p w14:paraId="57E02F5C">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528" w:type="dxa"/>
            <w:shd w:val="clear" w:color="auto" w:fill="auto"/>
            <w:vAlign w:val="center"/>
          </w:tcPr>
          <w:p w14:paraId="1BE0AB39">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1.427</w:t>
            </w:r>
          </w:p>
        </w:tc>
        <w:tc>
          <w:tcPr>
            <w:tcW w:w="1469" w:type="dxa"/>
            <w:vAlign w:val="center"/>
          </w:tcPr>
          <w:p w14:paraId="0E6640D6">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c>
          <w:tcPr>
            <w:tcW w:w="1761" w:type="dxa"/>
            <w:shd w:val="clear" w:color="auto" w:fill="auto"/>
            <w:vAlign w:val="center"/>
          </w:tcPr>
          <w:p w14:paraId="50736A6B">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7986534A">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76.944</w:t>
            </w:r>
          </w:p>
        </w:tc>
        <w:tc>
          <w:tcPr>
            <w:tcW w:w="1362" w:type="dxa"/>
            <w:vAlign w:val="center"/>
          </w:tcPr>
          <w:p w14:paraId="531E8DF3">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r>
      <w:tr w14:paraId="347ED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continue"/>
            <w:vAlign w:val="center"/>
          </w:tcPr>
          <w:p w14:paraId="2F701B8B">
            <w:pPr>
              <w:jc w:val="center"/>
              <w:rPr>
                <w:rFonts w:hint="eastAsia" w:ascii="Times New Roman" w:hAnsi="Times New Roman" w:eastAsia="宋体" w:cs="Times New Roman"/>
                <w:sz w:val="21"/>
                <w:szCs w:val="21"/>
                <w:u w:val="none"/>
              </w:rPr>
            </w:pPr>
          </w:p>
        </w:tc>
        <w:tc>
          <w:tcPr>
            <w:tcW w:w="2114" w:type="dxa"/>
            <w:shd w:val="clear" w:color="auto" w:fill="auto"/>
            <w:vAlign w:val="center"/>
          </w:tcPr>
          <w:p w14:paraId="0B9667E4">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挥发性有机物</w:t>
            </w:r>
          </w:p>
        </w:tc>
        <w:tc>
          <w:tcPr>
            <w:tcW w:w="1579" w:type="dxa"/>
            <w:shd w:val="clear" w:color="auto" w:fill="auto"/>
            <w:vAlign w:val="center"/>
          </w:tcPr>
          <w:p w14:paraId="6FFE9572">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346.921</w:t>
            </w:r>
          </w:p>
        </w:tc>
        <w:tc>
          <w:tcPr>
            <w:tcW w:w="1104" w:type="dxa"/>
            <w:shd w:val="clear" w:color="auto" w:fill="auto"/>
            <w:vAlign w:val="center"/>
          </w:tcPr>
          <w:p w14:paraId="4B22ADEA">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528" w:type="dxa"/>
            <w:shd w:val="clear" w:color="auto" w:fill="auto"/>
            <w:vAlign w:val="center"/>
          </w:tcPr>
          <w:p w14:paraId="6CE86E9E">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209.816</w:t>
            </w:r>
          </w:p>
        </w:tc>
        <w:tc>
          <w:tcPr>
            <w:tcW w:w="1469" w:type="dxa"/>
            <w:vAlign w:val="center"/>
          </w:tcPr>
          <w:p w14:paraId="359F444F">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0.092</w:t>
            </w:r>
          </w:p>
        </w:tc>
        <w:tc>
          <w:tcPr>
            <w:tcW w:w="1761" w:type="dxa"/>
            <w:shd w:val="clear" w:color="auto" w:fill="auto"/>
            <w:vAlign w:val="center"/>
          </w:tcPr>
          <w:p w14:paraId="331310BA">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1F439382">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2"/>
                <w:sz w:val="21"/>
                <w:szCs w:val="21"/>
                <w:lang w:val="en-US" w:eastAsia="zh-CN" w:bidi="ar-SA"/>
              </w:rPr>
            </w:pPr>
            <w:r>
              <w:rPr>
                <w:rFonts w:hint="eastAsia" w:ascii="Times New Roman" w:hAnsi="Times New Roman"/>
                <w:color w:val="000000"/>
                <w:lang w:val="en-US" w:eastAsia="zh-CN"/>
              </w:rPr>
              <w:t>556.829</w:t>
            </w:r>
          </w:p>
        </w:tc>
        <w:tc>
          <w:tcPr>
            <w:tcW w:w="1362" w:type="dxa"/>
            <w:vAlign w:val="center"/>
          </w:tcPr>
          <w:p w14:paraId="19AEC3AF">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+0.092</w:t>
            </w:r>
          </w:p>
        </w:tc>
      </w:tr>
      <w:tr w14:paraId="1FEC9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restart"/>
            <w:vAlign w:val="center"/>
          </w:tcPr>
          <w:p w14:paraId="72194BA3">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废水</w:t>
            </w:r>
          </w:p>
        </w:tc>
        <w:tc>
          <w:tcPr>
            <w:tcW w:w="2114" w:type="dxa"/>
            <w:shd w:val="clear" w:color="auto" w:fill="auto"/>
            <w:vAlign w:val="center"/>
          </w:tcPr>
          <w:p w14:paraId="31AE2E92">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CODcr</w:t>
            </w:r>
          </w:p>
        </w:tc>
        <w:tc>
          <w:tcPr>
            <w:tcW w:w="1579" w:type="dxa"/>
            <w:shd w:val="clear" w:color="auto" w:fill="auto"/>
            <w:vAlign w:val="center"/>
          </w:tcPr>
          <w:p w14:paraId="278F3123">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226.44</w:t>
            </w:r>
          </w:p>
        </w:tc>
        <w:tc>
          <w:tcPr>
            <w:tcW w:w="1104" w:type="dxa"/>
            <w:shd w:val="clear" w:color="auto" w:fill="auto"/>
            <w:vAlign w:val="center"/>
          </w:tcPr>
          <w:p w14:paraId="6D748210">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528" w:type="dxa"/>
            <w:shd w:val="clear" w:color="auto" w:fill="auto"/>
            <w:vAlign w:val="center"/>
          </w:tcPr>
          <w:p w14:paraId="12654C44">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4400.408</w:t>
            </w:r>
          </w:p>
        </w:tc>
        <w:tc>
          <w:tcPr>
            <w:tcW w:w="1469" w:type="dxa"/>
            <w:vAlign w:val="center"/>
          </w:tcPr>
          <w:p w14:paraId="0D34D248">
            <w:pPr>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val="en-US" w:eastAsia="zh-CN"/>
              </w:rPr>
              <w:t>0</w:t>
            </w:r>
          </w:p>
        </w:tc>
        <w:tc>
          <w:tcPr>
            <w:tcW w:w="1761" w:type="dxa"/>
            <w:shd w:val="clear" w:color="auto" w:fill="auto"/>
            <w:vAlign w:val="center"/>
          </w:tcPr>
          <w:p w14:paraId="353A567F">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002FD086">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4626.848</w:t>
            </w:r>
          </w:p>
        </w:tc>
        <w:tc>
          <w:tcPr>
            <w:tcW w:w="1362" w:type="dxa"/>
            <w:vAlign w:val="center"/>
          </w:tcPr>
          <w:p w14:paraId="431D87BB">
            <w:pPr>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eastAsia="zh-CN"/>
              </w:rPr>
              <w:t>0</w:t>
            </w:r>
          </w:p>
        </w:tc>
      </w:tr>
      <w:tr w14:paraId="3B8B8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Merge w:val="continue"/>
            <w:vAlign w:val="center"/>
          </w:tcPr>
          <w:p w14:paraId="7DAF3881">
            <w:pPr>
              <w:jc w:val="center"/>
              <w:rPr>
                <w:rFonts w:hint="eastAsia" w:ascii="Times New Roman" w:hAnsi="Times New Roman" w:eastAsia="宋体" w:cs="Times New Roman"/>
                <w:sz w:val="21"/>
                <w:szCs w:val="21"/>
                <w:u w:val="none"/>
              </w:rPr>
            </w:pPr>
          </w:p>
        </w:tc>
        <w:tc>
          <w:tcPr>
            <w:tcW w:w="2114" w:type="dxa"/>
            <w:shd w:val="clear" w:color="auto" w:fill="auto"/>
            <w:vAlign w:val="center"/>
          </w:tcPr>
          <w:p w14:paraId="7FC0A85C">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氨氮</w:t>
            </w:r>
          </w:p>
        </w:tc>
        <w:tc>
          <w:tcPr>
            <w:tcW w:w="1579" w:type="dxa"/>
            <w:shd w:val="clear" w:color="auto" w:fill="auto"/>
            <w:vAlign w:val="center"/>
          </w:tcPr>
          <w:p w14:paraId="01243A5D">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2.163</w:t>
            </w:r>
          </w:p>
        </w:tc>
        <w:tc>
          <w:tcPr>
            <w:tcW w:w="1104" w:type="dxa"/>
            <w:shd w:val="clear" w:color="auto" w:fill="auto"/>
            <w:vAlign w:val="center"/>
          </w:tcPr>
          <w:p w14:paraId="05332045">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528" w:type="dxa"/>
            <w:shd w:val="clear" w:color="auto" w:fill="auto"/>
            <w:vAlign w:val="center"/>
          </w:tcPr>
          <w:p w14:paraId="55292D8E">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2.977</w:t>
            </w:r>
          </w:p>
        </w:tc>
        <w:tc>
          <w:tcPr>
            <w:tcW w:w="1469" w:type="dxa"/>
            <w:vAlign w:val="center"/>
          </w:tcPr>
          <w:p w14:paraId="15B4B833">
            <w:pPr>
              <w:jc w:val="center"/>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val="en-US" w:eastAsia="zh-CN"/>
              </w:rPr>
              <w:t>0</w:t>
            </w:r>
          </w:p>
        </w:tc>
        <w:tc>
          <w:tcPr>
            <w:tcW w:w="1761" w:type="dxa"/>
            <w:shd w:val="clear" w:color="auto" w:fill="auto"/>
            <w:vAlign w:val="center"/>
          </w:tcPr>
          <w:p w14:paraId="6C38885A">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2954069E">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5.14</w:t>
            </w:r>
          </w:p>
        </w:tc>
        <w:tc>
          <w:tcPr>
            <w:tcW w:w="1362" w:type="dxa"/>
            <w:vAlign w:val="center"/>
          </w:tcPr>
          <w:p w14:paraId="54DB30AC">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r>
      <w:tr w14:paraId="6D812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Align w:val="center"/>
          </w:tcPr>
          <w:p w14:paraId="6EC0125C">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一般固体废物</w:t>
            </w:r>
          </w:p>
        </w:tc>
        <w:tc>
          <w:tcPr>
            <w:tcW w:w="2114" w:type="dxa"/>
            <w:shd w:val="clear" w:color="auto" w:fill="auto"/>
            <w:vAlign w:val="center"/>
          </w:tcPr>
          <w:p w14:paraId="25340693">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一般工业固废</w:t>
            </w:r>
          </w:p>
        </w:tc>
        <w:tc>
          <w:tcPr>
            <w:tcW w:w="1579" w:type="dxa"/>
            <w:shd w:val="clear" w:color="auto" w:fill="auto"/>
            <w:vAlign w:val="center"/>
          </w:tcPr>
          <w:p w14:paraId="12DA6E24">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336662.77</w:t>
            </w:r>
          </w:p>
        </w:tc>
        <w:tc>
          <w:tcPr>
            <w:tcW w:w="1104" w:type="dxa"/>
            <w:shd w:val="clear" w:color="auto" w:fill="auto"/>
            <w:vAlign w:val="center"/>
          </w:tcPr>
          <w:p w14:paraId="0DCFC7FB">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528" w:type="dxa"/>
            <w:shd w:val="clear" w:color="auto" w:fill="auto"/>
            <w:vAlign w:val="center"/>
          </w:tcPr>
          <w:p w14:paraId="34902B2E">
            <w:pPr>
              <w:jc w:val="center"/>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243204.493</w:t>
            </w:r>
          </w:p>
        </w:tc>
        <w:tc>
          <w:tcPr>
            <w:tcW w:w="1469" w:type="dxa"/>
            <w:vAlign w:val="center"/>
          </w:tcPr>
          <w:p w14:paraId="0AF160F7">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0</w:t>
            </w:r>
          </w:p>
        </w:tc>
        <w:tc>
          <w:tcPr>
            <w:tcW w:w="1761" w:type="dxa"/>
            <w:shd w:val="clear" w:color="auto" w:fill="auto"/>
            <w:vAlign w:val="center"/>
          </w:tcPr>
          <w:p w14:paraId="2C78471D">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3A813FE1">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eastAsia" w:ascii="Times New Roman" w:hAnsi="Times New Roman" w:eastAsia="宋体" w:cs="Times New Roman"/>
                <w:kern w:val="2"/>
                <w:sz w:val="21"/>
                <w:szCs w:val="21"/>
                <w:lang w:val="en-US" w:eastAsia="zh-CN" w:bidi="ar-SA"/>
              </w:rPr>
            </w:pPr>
            <w:r>
              <w:rPr>
                <w:rFonts w:ascii="Times New Roman" w:hAnsi="Times New Roman"/>
                <w:color w:val="000000"/>
              </w:rPr>
              <w:t>579867.263</w:t>
            </w:r>
          </w:p>
        </w:tc>
        <w:tc>
          <w:tcPr>
            <w:tcW w:w="1362" w:type="dxa"/>
            <w:vAlign w:val="center"/>
          </w:tcPr>
          <w:p w14:paraId="4CF8441A">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0</w:t>
            </w:r>
          </w:p>
        </w:tc>
      </w:tr>
      <w:tr w14:paraId="7EF60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48" w:type="dxa"/>
            <w:vAlign w:val="center"/>
          </w:tcPr>
          <w:p w14:paraId="55279AE9">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危险废物</w:t>
            </w:r>
          </w:p>
        </w:tc>
        <w:tc>
          <w:tcPr>
            <w:tcW w:w="2114" w:type="dxa"/>
            <w:vAlign w:val="center"/>
          </w:tcPr>
          <w:p w14:paraId="68D1CF76">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危废废物</w:t>
            </w:r>
          </w:p>
        </w:tc>
        <w:tc>
          <w:tcPr>
            <w:tcW w:w="1579" w:type="dxa"/>
            <w:vAlign w:val="center"/>
          </w:tcPr>
          <w:p w14:paraId="5AD2EC66">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126.733</w:t>
            </w:r>
          </w:p>
        </w:tc>
        <w:tc>
          <w:tcPr>
            <w:tcW w:w="1104" w:type="dxa"/>
            <w:vAlign w:val="center"/>
          </w:tcPr>
          <w:p w14:paraId="43A07AA4">
            <w:pPr>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w:t>
            </w:r>
          </w:p>
        </w:tc>
        <w:tc>
          <w:tcPr>
            <w:tcW w:w="1528" w:type="dxa"/>
            <w:vAlign w:val="center"/>
          </w:tcPr>
          <w:p w14:paraId="7DF1FBF0">
            <w:pPr>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17772.994</w:t>
            </w:r>
          </w:p>
        </w:tc>
        <w:tc>
          <w:tcPr>
            <w:tcW w:w="1469" w:type="dxa"/>
            <w:vAlign w:val="center"/>
          </w:tcPr>
          <w:p w14:paraId="0AE932C8">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776</w:t>
            </w:r>
          </w:p>
        </w:tc>
        <w:tc>
          <w:tcPr>
            <w:tcW w:w="1761" w:type="dxa"/>
            <w:shd w:val="clear" w:color="auto" w:fill="auto"/>
            <w:vAlign w:val="center"/>
          </w:tcPr>
          <w:p w14:paraId="1A5BEE94">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p>
        </w:tc>
        <w:tc>
          <w:tcPr>
            <w:tcW w:w="1624" w:type="dxa"/>
            <w:shd w:val="clear" w:color="auto" w:fill="auto"/>
            <w:vAlign w:val="center"/>
          </w:tcPr>
          <w:p w14:paraId="155E5018">
            <w:pPr>
              <w:pStyle w:val="67"/>
              <w:widowControl w:val="0"/>
              <w:pBdr>
                <w:left w:val="none" w:color="auto" w:sz="0" w:space="0"/>
                <w:bottom w:val="none" w:color="auto" w:sz="0" w:space="0"/>
                <w:right w:val="none" w:color="auto" w:sz="0" w:space="0"/>
              </w:pBdr>
              <w:spacing w:before="0" w:beforeAutospacing="0" w:after="0" w:afterAutospacing="0" w:line="0" w:lineRule="atLeast"/>
              <w:ind w:left="-55" w:leftChars="-26" w:right="-38" w:rightChars="-18"/>
              <w:rPr>
                <w:rFonts w:hint="default" w:ascii="Times New Roman" w:hAnsi="Times New Roman" w:eastAsia="宋体" w:cs="Times New Roman"/>
                <w:kern w:val="2"/>
                <w:sz w:val="21"/>
                <w:szCs w:val="21"/>
                <w:lang w:val="en-US" w:eastAsia="zh-CN" w:bidi="ar-SA"/>
              </w:rPr>
            </w:pPr>
            <w:r>
              <w:rPr>
                <w:rFonts w:hint="eastAsia" w:ascii="Times New Roman" w:hAnsi="Times New Roman"/>
                <w:color w:val="000000"/>
                <w:lang w:val="en-US" w:eastAsia="zh-CN"/>
              </w:rPr>
              <w:t>18675.727</w:t>
            </w:r>
          </w:p>
        </w:tc>
        <w:tc>
          <w:tcPr>
            <w:tcW w:w="1362" w:type="dxa"/>
            <w:vAlign w:val="center"/>
          </w:tcPr>
          <w:p w14:paraId="7D87ABDA">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lang w:val="en-US" w:eastAsia="zh-CN"/>
              </w:rPr>
              <w:t>776</w:t>
            </w:r>
          </w:p>
        </w:tc>
      </w:tr>
    </w:tbl>
    <w:p w14:paraId="332D4D34">
      <w:pPr>
        <w:jc w:val="left"/>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注：</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6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⑥</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1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①</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3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③</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4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④</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5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⑤</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7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⑦</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6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⑥</w:t>
      </w:r>
      <w:r>
        <w:rPr>
          <w:rFonts w:hint="eastAsia" w:ascii="Times New Roman" w:hAnsi="Times New Roman" w:eastAsia="宋体" w:cs="Times New Roman"/>
          <w:sz w:val="21"/>
          <w:szCs w:val="21"/>
          <w:u w:val="none"/>
        </w:rPr>
        <w:fldChar w:fldCharType="end"/>
      </w:r>
      <w:r>
        <w:rPr>
          <w:rFonts w:hint="eastAsia" w:ascii="Times New Roman" w:hAnsi="Times New Roman" w:eastAsia="宋体" w:cs="Times New Roman"/>
          <w:sz w:val="21"/>
          <w:szCs w:val="21"/>
          <w:u w:val="none"/>
        </w:rPr>
        <w:t>-</w:t>
      </w:r>
      <w:r>
        <w:rPr>
          <w:rFonts w:hint="eastAsia" w:ascii="Times New Roman" w:hAnsi="Times New Roman" w:eastAsia="宋体" w:cs="Times New Roman"/>
          <w:sz w:val="21"/>
          <w:szCs w:val="21"/>
          <w:u w:val="none"/>
        </w:rPr>
        <w:fldChar w:fldCharType="begin"/>
      </w:r>
      <w:r>
        <w:rPr>
          <w:rFonts w:hint="eastAsia" w:ascii="Times New Roman" w:hAnsi="Times New Roman" w:eastAsia="宋体" w:cs="Times New Roman"/>
          <w:sz w:val="21"/>
          <w:szCs w:val="21"/>
          <w:u w:val="none"/>
        </w:rPr>
        <w:instrText xml:space="preserve"> = 1 \* GB3 \* MERGEFORMAT </w:instrText>
      </w:r>
      <w:r>
        <w:rPr>
          <w:rFonts w:hint="eastAsia" w:ascii="Times New Roman" w:hAnsi="Times New Roman" w:eastAsia="宋体" w:cs="Times New Roman"/>
          <w:sz w:val="21"/>
          <w:szCs w:val="21"/>
          <w:u w:val="none"/>
        </w:rPr>
        <w:fldChar w:fldCharType="separate"/>
      </w:r>
      <w:r>
        <w:rPr>
          <w:rFonts w:hint="eastAsia" w:ascii="Times New Roman" w:hAnsi="Times New Roman" w:eastAsia="宋体" w:cs="Times New Roman"/>
          <w:sz w:val="21"/>
          <w:szCs w:val="21"/>
          <w:u w:val="none"/>
        </w:rPr>
        <w:t>①</w:t>
      </w:r>
      <w:r>
        <w:rPr>
          <w:rFonts w:hint="eastAsia" w:ascii="Times New Roman" w:hAnsi="Times New Roman" w:eastAsia="宋体" w:cs="Times New Roman"/>
          <w:sz w:val="21"/>
          <w:szCs w:val="21"/>
          <w:u w:val="none"/>
        </w:rPr>
        <w:fldChar w:fldCharType="end"/>
      </w:r>
    </w:p>
    <w:p w14:paraId="72928AEE">
      <w:pP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br w:type="page"/>
      </w:r>
    </w:p>
    <w:p w14:paraId="6CD28A4E">
      <w:pPr>
        <w:jc w:val="left"/>
        <w:rPr>
          <w:rFonts w:hint="eastAsia" w:ascii="Times New Roman" w:hAnsi="Times New Roman" w:eastAsia="宋体" w:cs="Times New Roman"/>
          <w:sz w:val="21"/>
          <w:szCs w:val="21"/>
          <w:u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36F300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b/>
          <w:sz w:val="48"/>
          <w:szCs w:val="48"/>
        </w:rPr>
      </w:pPr>
      <w:r>
        <w:rPr>
          <w:rFonts w:hint="eastAsia"/>
          <w:b/>
          <w:sz w:val="48"/>
          <w:szCs w:val="48"/>
        </w:rPr>
        <w:t>60醋酸分离项目</w:t>
      </w:r>
    </w:p>
    <w:p w14:paraId="5E91E4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sz w:val="48"/>
          <w:szCs w:val="48"/>
        </w:rPr>
      </w:pPr>
      <w:bookmarkStart w:id="34" w:name="_Toc25203"/>
      <w:bookmarkStart w:id="35" w:name="_Toc13232"/>
      <w:r>
        <w:rPr>
          <w:b/>
          <w:sz w:val="48"/>
          <w:szCs w:val="48"/>
        </w:rPr>
        <w:t>环境风险专项评价</w:t>
      </w:r>
      <w:bookmarkEnd w:id="34"/>
      <w:bookmarkEnd w:id="35"/>
    </w:p>
    <w:p w14:paraId="24F1AA7C">
      <w:pPr>
        <w:sectPr>
          <w:footerReference r:id="rId9" w:type="default"/>
          <w:type w:val="continuous"/>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4059B19A">
      <w:pPr>
        <w:widowControl/>
        <w:snapToGrid w:val="0"/>
        <w:spacing w:before="60" w:after="160" w:line="400" w:lineRule="exact"/>
        <w:ind w:left="0" w:leftChars="0" w:right="0" w:rightChars="0" w:firstLine="0" w:firstLineChars="0"/>
        <w:jc w:val="center"/>
        <w:rPr>
          <w:rFonts w:ascii="Times New Roman" w:hAnsi="Times New Roman" w:eastAsia="宋体" w:cs="Times New Roman"/>
          <w:kern w:val="2"/>
          <w:sz w:val="24"/>
          <w:szCs w:val="24"/>
          <w:lang w:val="en-US" w:eastAsia="zh-CN" w:bidi="ar-SA"/>
        </w:rPr>
      </w:pPr>
      <w:r>
        <w:rPr>
          <w:b/>
          <w:kern w:val="0"/>
          <w:sz w:val="30"/>
          <w:szCs w:val="30"/>
        </w:rPr>
        <w:t>目录</w:t>
      </w:r>
      <w:r>
        <w:rPr>
          <w:kern w:val="0"/>
          <w:sz w:val="24"/>
        </w:rPr>
        <w:fldChar w:fldCharType="begin"/>
      </w:r>
      <w:r>
        <w:rPr>
          <w:kern w:val="0"/>
          <w:sz w:val="24"/>
        </w:rPr>
        <w:instrText xml:space="preserve">TOC \o "1-2" \h \u </w:instrText>
      </w:r>
      <w:r>
        <w:rPr>
          <w:kern w:val="0"/>
          <w:sz w:val="24"/>
        </w:rPr>
        <w:fldChar w:fldCharType="separate"/>
      </w:r>
    </w:p>
    <w:p w14:paraId="5885C06F">
      <w:pPr>
        <w:pStyle w:val="19"/>
        <w:tabs>
          <w:tab w:val="right" w:leader="dot" w:pos="8844"/>
        </w:tabs>
      </w:pPr>
      <w:r>
        <w:fldChar w:fldCharType="begin"/>
      </w:r>
      <w:r>
        <w:instrText xml:space="preserve"> HYPERLINK \l _Toc29489 </w:instrText>
      </w:r>
      <w:r>
        <w:fldChar w:fldCharType="separate"/>
      </w:r>
      <w:r>
        <w:rPr>
          <w:rFonts w:hint="eastAsia" w:ascii="方正小标宋_GBK" w:eastAsia="方正小标宋_GBK"/>
          <w:bCs/>
          <w:szCs w:val="72"/>
        </w:rPr>
        <w:t>建设项目环境影响报告表</w:t>
      </w:r>
      <w:r>
        <w:tab/>
      </w:r>
      <w:r>
        <w:fldChar w:fldCharType="begin"/>
      </w:r>
      <w:r>
        <w:instrText xml:space="preserve"> PAGEREF _Toc29489 \h </w:instrText>
      </w:r>
      <w:r>
        <w:fldChar w:fldCharType="separate"/>
      </w:r>
      <w:r>
        <w:t>3</w:t>
      </w:r>
      <w:r>
        <w:fldChar w:fldCharType="end"/>
      </w:r>
      <w:r>
        <w:fldChar w:fldCharType="end"/>
      </w:r>
    </w:p>
    <w:p w14:paraId="785D4665">
      <w:pPr>
        <w:pStyle w:val="19"/>
        <w:tabs>
          <w:tab w:val="right" w:leader="dot" w:pos="8844"/>
        </w:tabs>
      </w:pPr>
      <w:r>
        <w:fldChar w:fldCharType="begin"/>
      </w:r>
      <w:r>
        <w:instrText xml:space="preserve"> HYPERLINK \l _Toc22219 </w:instrText>
      </w:r>
      <w:r>
        <w:fldChar w:fldCharType="separate"/>
      </w:r>
      <w:r>
        <w:rPr>
          <w:rFonts w:hint="eastAsia" w:ascii="Calibri" w:hAnsi="Calibri" w:cs="Arial"/>
          <w:kern w:val="44"/>
          <w:szCs w:val="28"/>
        </w:rPr>
        <w:t>一、建设项目基本情况</w:t>
      </w:r>
      <w:r>
        <w:tab/>
      </w:r>
      <w:r>
        <w:fldChar w:fldCharType="begin"/>
      </w:r>
      <w:r>
        <w:instrText xml:space="preserve"> PAGEREF _Toc22219 \h </w:instrText>
      </w:r>
      <w:r>
        <w:fldChar w:fldCharType="separate"/>
      </w:r>
      <w:r>
        <w:t>1</w:t>
      </w:r>
      <w:r>
        <w:fldChar w:fldCharType="end"/>
      </w:r>
      <w:r>
        <w:fldChar w:fldCharType="end"/>
      </w:r>
    </w:p>
    <w:p w14:paraId="01B2A237">
      <w:pPr>
        <w:pStyle w:val="19"/>
        <w:tabs>
          <w:tab w:val="right" w:leader="dot" w:pos="8844"/>
        </w:tabs>
      </w:pPr>
      <w:r>
        <w:fldChar w:fldCharType="begin"/>
      </w:r>
      <w:r>
        <w:instrText xml:space="preserve"> HYPERLINK \l _Toc30408 </w:instrText>
      </w:r>
      <w:r>
        <w:fldChar w:fldCharType="separate"/>
      </w:r>
      <w:r>
        <w:rPr>
          <w:rFonts w:hint="eastAsia" w:ascii="Calibri" w:hAnsi="Calibri" w:cs="Arial"/>
          <w:kern w:val="44"/>
          <w:szCs w:val="28"/>
        </w:rPr>
        <w:t>二、建设项目工程分析</w:t>
      </w:r>
      <w:r>
        <w:tab/>
      </w:r>
      <w:r>
        <w:fldChar w:fldCharType="begin"/>
      </w:r>
      <w:r>
        <w:instrText xml:space="preserve"> PAGEREF _Toc30408 \h </w:instrText>
      </w:r>
      <w:r>
        <w:fldChar w:fldCharType="separate"/>
      </w:r>
      <w:r>
        <w:t>18</w:t>
      </w:r>
      <w:r>
        <w:fldChar w:fldCharType="end"/>
      </w:r>
      <w:r>
        <w:fldChar w:fldCharType="end"/>
      </w:r>
    </w:p>
    <w:p w14:paraId="0F86DACB">
      <w:pPr>
        <w:pStyle w:val="19"/>
        <w:tabs>
          <w:tab w:val="right" w:leader="dot" w:pos="8844"/>
        </w:tabs>
      </w:pPr>
      <w:r>
        <w:fldChar w:fldCharType="begin"/>
      </w:r>
      <w:r>
        <w:instrText xml:space="preserve"> HYPERLINK \l _Toc27551 </w:instrText>
      </w:r>
      <w:r>
        <w:fldChar w:fldCharType="separate"/>
      </w:r>
      <w:r>
        <w:rPr>
          <w:rFonts w:hint="eastAsia" w:ascii="Calibri" w:hAnsi="Calibri" w:cs="Arial"/>
          <w:kern w:val="44"/>
          <w:szCs w:val="28"/>
        </w:rPr>
        <w:t>三、区域环境质量现状、环境保护目标及评价标准</w:t>
      </w:r>
      <w:r>
        <w:tab/>
      </w:r>
      <w:r>
        <w:fldChar w:fldCharType="begin"/>
      </w:r>
      <w:r>
        <w:instrText xml:space="preserve"> PAGEREF _Toc27551 \h </w:instrText>
      </w:r>
      <w:r>
        <w:fldChar w:fldCharType="separate"/>
      </w:r>
      <w:r>
        <w:t>82</w:t>
      </w:r>
      <w:r>
        <w:fldChar w:fldCharType="end"/>
      </w:r>
      <w:r>
        <w:fldChar w:fldCharType="end"/>
      </w:r>
    </w:p>
    <w:p w14:paraId="5FF02212">
      <w:pPr>
        <w:pStyle w:val="19"/>
        <w:tabs>
          <w:tab w:val="right" w:leader="dot" w:pos="8844"/>
        </w:tabs>
      </w:pPr>
      <w:r>
        <w:fldChar w:fldCharType="begin"/>
      </w:r>
      <w:r>
        <w:instrText xml:space="preserve"> HYPERLINK \l _Toc12066 </w:instrText>
      </w:r>
      <w:r>
        <w:fldChar w:fldCharType="separate"/>
      </w:r>
      <w:r>
        <w:rPr>
          <w:rFonts w:hint="eastAsia" w:ascii="Calibri" w:hAnsi="Calibri" w:cs="Arial"/>
          <w:kern w:val="44"/>
          <w:szCs w:val="28"/>
        </w:rPr>
        <w:t>四、主要环境影响和保护措施</w:t>
      </w:r>
      <w:r>
        <w:tab/>
      </w:r>
      <w:r>
        <w:fldChar w:fldCharType="begin"/>
      </w:r>
      <w:r>
        <w:instrText xml:space="preserve"> PAGEREF _Toc12066 \h </w:instrText>
      </w:r>
      <w:r>
        <w:fldChar w:fldCharType="separate"/>
      </w:r>
      <w:r>
        <w:t>89</w:t>
      </w:r>
      <w:r>
        <w:fldChar w:fldCharType="end"/>
      </w:r>
      <w:r>
        <w:fldChar w:fldCharType="end"/>
      </w:r>
    </w:p>
    <w:p w14:paraId="0D4B1696">
      <w:pPr>
        <w:pStyle w:val="19"/>
        <w:tabs>
          <w:tab w:val="right" w:leader="dot" w:pos="8844"/>
        </w:tabs>
      </w:pPr>
      <w:r>
        <w:fldChar w:fldCharType="begin"/>
      </w:r>
      <w:r>
        <w:instrText xml:space="preserve"> HYPERLINK \l _Toc23859 </w:instrText>
      </w:r>
      <w:r>
        <w:fldChar w:fldCharType="separate"/>
      </w:r>
      <w:r>
        <w:rPr>
          <w:rFonts w:hint="eastAsia" w:ascii="Calibri" w:hAnsi="Calibri" w:cs="Arial"/>
          <w:kern w:val="44"/>
          <w:szCs w:val="28"/>
        </w:rPr>
        <w:t>五、环境保护措施监督检查清单</w:t>
      </w:r>
      <w:r>
        <w:tab/>
      </w:r>
      <w:r>
        <w:fldChar w:fldCharType="begin"/>
      </w:r>
      <w:r>
        <w:instrText xml:space="preserve"> PAGEREF _Toc23859 \h </w:instrText>
      </w:r>
      <w:r>
        <w:fldChar w:fldCharType="separate"/>
      </w:r>
      <w:r>
        <w:t>102</w:t>
      </w:r>
      <w:r>
        <w:fldChar w:fldCharType="end"/>
      </w:r>
      <w:r>
        <w:fldChar w:fldCharType="end"/>
      </w:r>
    </w:p>
    <w:p w14:paraId="43A1F203">
      <w:pPr>
        <w:pStyle w:val="19"/>
        <w:tabs>
          <w:tab w:val="right" w:leader="dot" w:pos="8844"/>
        </w:tabs>
      </w:pPr>
      <w:r>
        <w:fldChar w:fldCharType="begin"/>
      </w:r>
      <w:r>
        <w:instrText xml:space="preserve"> HYPERLINK \l _Toc3367 </w:instrText>
      </w:r>
      <w:r>
        <w:fldChar w:fldCharType="separate"/>
      </w:r>
      <w:r>
        <w:rPr>
          <w:rFonts w:hint="eastAsia" w:ascii="Calibri" w:hAnsi="Calibri" w:cs="Arial"/>
          <w:kern w:val="44"/>
          <w:szCs w:val="28"/>
        </w:rPr>
        <w:t>六、结论</w:t>
      </w:r>
      <w:r>
        <w:tab/>
      </w:r>
      <w:r>
        <w:fldChar w:fldCharType="begin"/>
      </w:r>
      <w:r>
        <w:instrText xml:space="preserve"> PAGEREF _Toc3367 \h </w:instrText>
      </w:r>
      <w:r>
        <w:fldChar w:fldCharType="separate"/>
      </w:r>
      <w:r>
        <w:t>103</w:t>
      </w:r>
      <w:r>
        <w:fldChar w:fldCharType="end"/>
      </w:r>
      <w:r>
        <w:fldChar w:fldCharType="end"/>
      </w:r>
    </w:p>
    <w:p w14:paraId="2B22F350">
      <w:pPr>
        <w:pStyle w:val="19"/>
        <w:tabs>
          <w:tab w:val="right" w:leader="dot" w:pos="8844"/>
        </w:tabs>
      </w:pPr>
      <w:r>
        <w:fldChar w:fldCharType="begin"/>
      </w:r>
      <w:r>
        <w:instrText xml:space="preserve"> HYPERLINK \l _Toc8964 </w:instrText>
      </w:r>
      <w:r>
        <w:fldChar w:fldCharType="separate"/>
      </w:r>
      <w:r>
        <w:rPr>
          <w:rFonts w:hint="eastAsia" w:ascii="Calibri" w:hAnsi="Calibri" w:cs="Arial"/>
          <w:kern w:val="44"/>
          <w:szCs w:val="28"/>
        </w:rPr>
        <w:t>附表</w:t>
      </w:r>
      <w:r>
        <w:tab/>
      </w:r>
      <w:r>
        <w:fldChar w:fldCharType="begin"/>
      </w:r>
      <w:r>
        <w:instrText xml:space="preserve"> PAGEREF _Toc8964 \h </w:instrText>
      </w:r>
      <w:r>
        <w:fldChar w:fldCharType="separate"/>
      </w:r>
      <w:r>
        <w:t>104</w:t>
      </w:r>
      <w:r>
        <w:fldChar w:fldCharType="end"/>
      </w:r>
      <w:r>
        <w:fldChar w:fldCharType="end"/>
      </w:r>
    </w:p>
    <w:p w14:paraId="37EDA48C">
      <w:pPr>
        <w:pStyle w:val="19"/>
        <w:tabs>
          <w:tab w:val="right" w:leader="dot" w:pos="8844"/>
        </w:tabs>
      </w:pPr>
      <w:r>
        <w:fldChar w:fldCharType="begin"/>
      </w:r>
      <w:r>
        <w:instrText xml:space="preserve"> HYPERLINK \l _Toc13232 </w:instrText>
      </w:r>
      <w:r>
        <w:fldChar w:fldCharType="separate"/>
      </w:r>
      <w:r>
        <w:rPr>
          <w:szCs w:val="48"/>
        </w:rPr>
        <w:t>环境风险专项评价</w:t>
      </w:r>
      <w:r>
        <w:tab/>
      </w:r>
      <w:r>
        <w:fldChar w:fldCharType="begin"/>
      </w:r>
      <w:r>
        <w:instrText xml:space="preserve"> PAGEREF _Toc13232 \h </w:instrText>
      </w:r>
      <w:r>
        <w:fldChar w:fldCharType="separate"/>
      </w:r>
      <w:r>
        <w:t>1</w:t>
      </w:r>
      <w:r>
        <w:fldChar w:fldCharType="end"/>
      </w:r>
      <w:r>
        <w:fldChar w:fldCharType="end"/>
      </w:r>
    </w:p>
    <w:p w14:paraId="2957186F">
      <w:pPr>
        <w:pStyle w:val="21"/>
        <w:tabs>
          <w:tab w:val="right" w:leader="dot" w:pos="8844"/>
        </w:tabs>
      </w:pPr>
      <w:r>
        <w:fldChar w:fldCharType="begin"/>
      </w:r>
      <w:r>
        <w:instrText xml:space="preserve"> HYPERLINK \l _Toc31764 </w:instrText>
      </w:r>
      <w:r>
        <w:fldChar w:fldCharType="separate"/>
      </w:r>
      <w:r>
        <w:rPr>
          <w:rFonts w:hint="eastAsia"/>
          <w:kern w:val="0"/>
          <w:szCs w:val="20"/>
        </w:rPr>
        <w:t xml:space="preserve">1.1. </w:t>
      </w:r>
      <w:r>
        <w:rPr>
          <w:kern w:val="0"/>
          <w:szCs w:val="20"/>
        </w:rPr>
        <w:t>项目由来</w:t>
      </w:r>
      <w:r>
        <w:tab/>
      </w:r>
      <w:r>
        <w:fldChar w:fldCharType="begin"/>
      </w:r>
      <w:r>
        <w:instrText xml:space="preserve"> PAGEREF _Toc31764 \h </w:instrText>
      </w:r>
      <w:r>
        <w:fldChar w:fldCharType="separate"/>
      </w:r>
      <w:r>
        <w:t>1</w:t>
      </w:r>
      <w:r>
        <w:fldChar w:fldCharType="end"/>
      </w:r>
      <w:r>
        <w:fldChar w:fldCharType="end"/>
      </w:r>
    </w:p>
    <w:p w14:paraId="03B33311">
      <w:pPr>
        <w:pStyle w:val="21"/>
        <w:tabs>
          <w:tab w:val="right" w:leader="dot" w:pos="8844"/>
        </w:tabs>
      </w:pPr>
      <w:r>
        <w:fldChar w:fldCharType="begin"/>
      </w:r>
      <w:r>
        <w:instrText xml:space="preserve"> HYPERLINK \l _Toc1597 </w:instrText>
      </w:r>
      <w:r>
        <w:fldChar w:fldCharType="separate"/>
      </w:r>
      <w:r>
        <w:rPr>
          <w:rFonts w:hint="eastAsia"/>
          <w:kern w:val="0"/>
          <w:szCs w:val="20"/>
        </w:rPr>
        <w:t>1.2. 现有工程环境风险回顾评价</w:t>
      </w:r>
      <w:r>
        <w:tab/>
      </w:r>
      <w:r>
        <w:fldChar w:fldCharType="begin"/>
      </w:r>
      <w:r>
        <w:instrText xml:space="preserve"> PAGEREF _Toc1597 \h </w:instrText>
      </w:r>
      <w:r>
        <w:fldChar w:fldCharType="separate"/>
      </w:r>
      <w:r>
        <w:t>1</w:t>
      </w:r>
      <w:r>
        <w:fldChar w:fldCharType="end"/>
      </w:r>
      <w:r>
        <w:fldChar w:fldCharType="end"/>
      </w:r>
    </w:p>
    <w:p w14:paraId="22F88033">
      <w:pPr>
        <w:pStyle w:val="21"/>
        <w:tabs>
          <w:tab w:val="right" w:leader="dot" w:pos="8844"/>
        </w:tabs>
      </w:pPr>
      <w:r>
        <w:fldChar w:fldCharType="begin"/>
      </w:r>
      <w:r>
        <w:instrText xml:space="preserve"> HYPERLINK \l _Toc18503 </w:instrText>
      </w:r>
      <w:r>
        <w:fldChar w:fldCharType="separate"/>
      </w:r>
      <w:r>
        <w:rPr>
          <w:rFonts w:hint="eastAsia"/>
          <w:kern w:val="0"/>
          <w:szCs w:val="20"/>
        </w:rPr>
        <w:t xml:space="preserve">1.3. </w:t>
      </w:r>
      <w:r>
        <w:rPr>
          <w:kern w:val="0"/>
          <w:szCs w:val="20"/>
        </w:rPr>
        <w:t>风险调查</w:t>
      </w:r>
      <w:r>
        <w:tab/>
      </w:r>
      <w:r>
        <w:fldChar w:fldCharType="begin"/>
      </w:r>
      <w:r>
        <w:instrText xml:space="preserve"> PAGEREF _Toc18503 \h </w:instrText>
      </w:r>
      <w:r>
        <w:fldChar w:fldCharType="separate"/>
      </w:r>
      <w:r>
        <w:t>2</w:t>
      </w:r>
      <w:r>
        <w:fldChar w:fldCharType="end"/>
      </w:r>
      <w:r>
        <w:fldChar w:fldCharType="end"/>
      </w:r>
    </w:p>
    <w:p w14:paraId="5D5490FA">
      <w:pPr>
        <w:pStyle w:val="21"/>
        <w:tabs>
          <w:tab w:val="right" w:leader="dot" w:pos="8844"/>
        </w:tabs>
      </w:pPr>
      <w:r>
        <w:fldChar w:fldCharType="begin"/>
      </w:r>
      <w:r>
        <w:instrText xml:space="preserve"> HYPERLINK \l _Toc7491 </w:instrText>
      </w:r>
      <w:r>
        <w:fldChar w:fldCharType="separate"/>
      </w:r>
      <w:r>
        <w:rPr>
          <w:rFonts w:hint="eastAsia"/>
          <w:kern w:val="0"/>
          <w:szCs w:val="20"/>
        </w:rPr>
        <w:t xml:space="preserve">2.1. </w:t>
      </w:r>
      <w:r>
        <w:rPr>
          <w:kern w:val="0"/>
          <w:szCs w:val="20"/>
        </w:rPr>
        <w:t>环境风险潜势初判</w:t>
      </w:r>
      <w:r>
        <w:tab/>
      </w:r>
      <w:r>
        <w:fldChar w:fldCharType="begin"/>
      </w:r>
      <w:r>
        <w:instrText xml:space="preserve"> PAGEREF _Toc7491 \h </w:instrText>
      </w:r>
      <w:r>
        <w:fldChar w:fldCharType="separate"/>
      </w:r>
      <w:r>
        <w:t>9</w:t>
      </w:r>
      <w:r>
        <w:fldChar w:fldCharType="end"/>
      </w:r>
      <w:r>
        <w:fldChar w:fldCharType="end"/>
      </w:r>
    </w:p>
    <w:p w14:paraId="21909D01">
      <w:pPr>
        <w:pStyle w:val="21"/>
        <w:tabs>
          <w:tab w:val="right" w:leader="dot" w:pos="8844"/>
        </w:tabs>
      </w:pPr>
      <w:r>
        <w:fldChar w:fldCharType="begin"/>
      </w:r>
      <w:r>
        <w:instrText xml:space="preserve"> HYPERLINK \l _Toc22260 </w:instrText>
      </w:r>
      <w:r>
        <w:fldChar w:fldCharType="separate"/>
      </w:r>
      <w:r>
        <w:rPr>
          <w:rFonts w:hint="eastAsia"/>
          <w:kern w:val="0"/>
          <w:szCs w:val="20"/>
        </w:rPr>
        <w:t xml:space="preserve">3.1. </w:t>
      </w:r>
      <w:r>
        <w:rPr>
          <w:kern w:val="0"/>
          <w:szCs w:val="20"/>
        </w:rPr>
        <w:t>环境风险潜势判定</w:t>
      </w:r>
      <w:r>
        <w:tab/>
      </w:r>
      <w:r>
        <w:fldChar w:fldCharType="begin"/>
      </w:r>
      <w:r>
        <w:instrText xml:space="preserve"> PAGEREF _Toc22260 \h </w:instrText>
      </w:r>
      <w:r>
        <w:fldChar w:fldCharType="separate"/>
      </w:r>
      <w:r>
        <w:t>13</w:t>
      </w:r>
      <w:r>
        <w:fldChar w:fldCharType="end"/>
      </w:r>
      <w:r>
        <w:fldChar w:fldCharType="end"/>
      </w:r>
    </w:p>
    <w:p w14:paraId="46076447">
      <w:pPr>
        <w:pStyle w:val="21"/>
        <w:tabs>
          <w:tab w:val="right" w:leader="dot" w:pos="8844"/>
        </w:tabs>
      </w:pPr>
      <w:r>
        <w:fldChar w:fldCharType="begin"/>
      </w:r>
      <w:r>
        <w:instrText xml:space="preserve"> HYPERLINK \l _Toc8745 </w:instrText>
      </w:r>
      <w:r>
        <w:fldChar w:fldCharType="separate"/>
      </w:r>
      <w:r>
        <w:rPr>
          <w:rFonts w:hint="eastAsia"/>
          <w:kern w:val="0"/>
          <w:szCs w:val="20"/>
        </w:rPr>
        <w:t xml:space="preserve">4.1. </w:t>
      </w:r>
      <w:r>
        <w:rPr>
          <w:kern w:val="0"/>
          <w:szCs w:val="20"/>
        </w:rPr>
        <w:t>评价工作等级和评价范围</w:t>
      </w:r>
      <w:r>
        <w:tab/>
      </w:r>
      <w:r>
        <w:fldChar w:fldCharType="begin"/>
      </w:r>
      <w:r>
        <w:instrText xml:space="preserve"> PAGEREF _Toc8745 \h </w:instrText>
      </w:r>
      <w:r>
        <w:fldChar w:fldCharType="separate"/>
      </w:r>
      <w:r>
        <w:t>14</w:t>
      </w:r>
      <w:r>
        <w:fldChar w:fldCharType="end"/>
      </w:r>
      <w:r>
        <w:fldChar w:fldCharType="end"/>
      </w:r>
    </w:p>
    <w:p w14:paraId="4276372C">
      <w:pPr>
        <w:pStyle w:val="21"/>
        <w:tabs>
          <w:tab w:val="right" w:leader="dot" w:pos="8844"/>
        </w:tabs>
      </w:pPr>
      <w:r>
        <w:fldChar w:fldCharType="begin"/>
      </w:r>
      <w:r>
        <w:instrText xml:space="preserve"> HYPERLINK \l _Toc12579 </w:instrText>
      </w:r>
      <w:r>
        <w:fldChar w:fldCharType="separate"/>
      </w:r>
      <w:r>
        <w:rPr>
          <w:rFonts w:hint="eastAsia"/>
          <w:kern w:val="0"/>
          <w:szCs w:val="20"/>
        </w:rPr>
        <w:t xml:space="preserve">5.1. </w:t>
      </w:r>
      <w:r>
        <w:rPr>
          <w:kern w:val="0"/>
          <w:szCs w:val="20"/>
        </w:rPr>
        <w:t>风险识别</w:t>
      </w:r>
      <w:r>
        <w:tab/>
      </w:r>
      <w:r>
        <w:fldChar w:fldCharType="begin"/>
      </w:r>
      <w:r>
        <w:instrText xml:space="preserve"> PAGEREF _Toc12579 \h </w:instrText>
      </w:r>
      <w:r>
        <w:fldChar w:fldCharType="separate"/>
      </w:r>
      <w:r>
        <w:t>15</w:t>
      </w:r>
      <w:r>
        <w:fldChar w:fldCharType="end"/>
      </w:r>
      <w:r>
        <w:fldChar w:fldCharType="end"/>
      </w:r>
    </w:p>
    <w:p w14:paraId="7848655C">
      <w:pPr>
        <w:pStyle w:val="21"/>
        <w:tabs>
          <w:tab w:val="right" w:leader="dot" w:pos="8844"/>
        </w:tabs>
      </w:pPr>
      <w:r>
        <w:fldChar w:fldCharType="begin"/>
      </w:r>
      <w:r>
        <w:instrText xml:space="preserve"> HYPERLINK \l _Toc26138 </w:instrText>
      </w:r>
      <w:r>
        <w:fldChar w:fldCharType="separate"/>
      </w:r>
      <w:r>
        <w:rPr>
          <w:rFonts w:hint="eastAsia"/>
          <w:kern w:val="0"/>
          <w:szCs w:val="20"/>
        </w:rPr>
        <w:t xml:space="preserve">6.1. </w:t>
      </w:r>
      <w:r>
        <w:rPr>
          <w:kern w:val="0"/>
          <w:szCs w:val="20"/>
        </w:rPr>
        <w:t>风险事故情形分析</w:t>
      </w:r>
      <w:r>
        <w:tab/>
      </w:r>
      <w:r>
        <w:fldChar w:fldCharType="begin"/>
      </w:r>
      <w:r>
        <w:instrText xml:space="preserve"> PAGEREF _Toc26138 \h </w:instrText>
      </w:r>
      <w:r>
        <w:fldChar w:fldCharType="separate"/>
      </w:r>
      <w:r>
        <w:t>17</w:t>
      </w:r>
      <w:r>
        <w:fldChar w:fldCharType="end"/>
      </w:r>
      <w:r>
        <w:fldChar w:fldCharType="end"/>
      </w:r>
    </w:p>
    <w:p w14:paraId="7839430C">
      <w:pPr>
        <w:pStyle w:val="21"/>
        <w:tabs>
          <w:tab w:val="right" w:leader="dot" w:pos="8844"/>
        </w:tabs>
      </w:pPr>
      <w:r>
        <w:fldChar w:fldCharType="begin"/>
      </w:r>
      <w:r>
        <w:instrText xml:space="preserve"> HYPERLINK \l _Toc18039 </w:instrText>
      </w:r>
      <w:r>
        <w:fldChar w:fldCharType="separate"/>
      </w:r>
      <w:r>
        <w:rPr>
          <w:rFonts w:hint="default"/>
          <w:bCs/>
          <w:kern w:val="0"/>
          <w:szCs w:val="20"/>
        </w:rPr>
        <w:t xml:space="preserve">7.1. </w:t>
      </w:r>
      <w:r>
        <w:rPr>
          <w:kern w:val="0"/>
          <w:szCs w:val="20"/>
        </w:rPr>
        <w:t>环境风险分析</w:t>
      </w:r>
      <w:r>
        <w:tab/>
      </w:r>
      <w:r>
        <w:fldChar w:fldCharType="begin"/>
      </w:r>
      <w:r>
        <w:instrText xml:space="preserve"> PAGEREF _Toc18039 \h </w:instrText>
      </w:r>
      <w:r>
        <w:fldChar w:fldCharType="separate"/>
      </w:r>
      <w:r>
        <w:t>21</w:t>
      </w:r>
      <w:r>
        <w:fldChar w:fldCharType="end"/>
      </w:r>
      <w:r>
        <w:fldChar w:fldCharType="end"/>
      </w:r>
    </w:p>
    <w:p w14:paraId="5E5E77D0">
      <w:pPr>
        <w:pStyle w:val="21"/>
        <w:tabs>
          <w:tab w:val="right" w:leader="dot" w:pos="8844"/>
        </w:tabs>
      </w:pPr>
      <w:r>
        <w:fldChar w:fldCharType="begin"/>
      </w:r>
      <w:r>
        <w:instrText xml:space="preserve"> HYPERLINK \l _Toc30919 </w:instrText>
      </w:r>
      <w:r>
        <w:fldChar w:fldCharType="separate"/>
      </w:r>
      <w:r>
        <w:rPr>
          <w:rFonts w:hint="default" w:eastAsia="宋体"/>
          <w:bCs/>
          <w:kern w:val="0"/>
          <w:lang w:val="en-US" w:eastAsia="zh-CN"/>
        </w:rPr>
        <w:t xml:space="preserve">7.2. </w:t>
      </w:r>
      <w:r>
        <w:rPr>
          <w:rFonts w:hint="eastAsia"/>
          <w:kern w:val="0"/>
          <w:szCs w:val="20"/>
          <w:lang w:val="en-US" w:eastAsia="zh-CN"/>
        </w:rPr>
        <w:t>风险管理</w:t>
      </w:r>
      <w:r>
        <w:tab/>
      </w:r>
      <w:r>
        <w:fldChar w:fldCharType="begin"/>
      </w:r>
      <w:r>
        <w:instrText xml:space="preserve"> PAGEREF _Toc30919 \h </w:instrText>
      </w:r>
      <w:r>
        <w:fldChar w:fldCharType="separate"/>
      </w:r>
      <w:r>
        <w:t>28</w:t>
      </w:r>
      <w:r>
        <w:fldChar w:fldCharType="end"/>
      </w:r>
      <w:r>
        <w:fldChar w:fldCharType="end"/>
      </w:r>
    </w:p>
    <w:p w14:paraId="25BECF4D">
      <w:pPr>
        <w:pStyle w:val="21"/>
        <w:tabs>
          <w:tab w:val="right" w:leader="dot" w:pos="8844"/>
        </w:tabs>
      </w:pPr>
      <w:r>
        <w:fldChar w:fldCharType="begin"/>
      </w:r>
      <w:r>
        <w:instrText xml:space="preserve"> HYPERLINK \l _Toc13327 </w:instrText>
      </w:r>
      <w:r>
        <w:fldChar w:fldCharType="separate"/>
      </w:r>
      <w:r>
        <w:rPr>
          <w:rFonts w:hint="default"/>
          <w:bCs/>
          <w:kern w:val="0"/>
          <w:szCs w:val="20"/>
        </w:rPr>
        <w:t xml:space="preserve">7.3. </w:t>
      </w:r>
      <w:r>
        <w:rPr>
          <w:rFonts w:hint="eastAsia"/>
          <w:kern w:val="0"/>
          <w:szCs w:val="20"/>
          <w:lang w:val="en-US" w:eastAsia="zh-CN"/>
        </w:rPr>
        <w:t>风险评价结论</w:t>
      </w:r>
      <w:r>
        <w:tab/>
      </w:r>
      <w:r>
        <w:fldChar w:fldCharType="begin"/>
      </w:r>
      <w:r>
        <w:instrText xml:space="preserve"> PAGEREF _Toc13327 \h </w:instrText>
      </w:r>
      <w:r>
        <w:fldChar w:fldCharType="separate"/>
      </w:r>
      <w:r>
        <w:t>30</w:t>
      </w:r>
      <w:r>
        <w:fldChar w:fldCharType="end"/>
      </w:r>
      <w:r>
        <w:fldChar w:fldCharType="end"/>
      </w:r>
    </w:p>
    <w:p w14:paraId="042ECEF1">
      <w:pPr>
        <w:widowControl/>
        <w:snapToGrid w:val="0"/>
        <w:spacing w:before="60" w:after="160" w:line="259" w:lineRule="auto"/>
        <w:ind w:left="0" w:leftChars="0" w:right="113" w:rightChars="0" w:firstLine="0" w:firstLineChars="0"/>
        <w:jc w:val="center"/>
        <w:rPr>
          <w:sz w:val="24"/>
        </w:rPr>
      </w:pPr>
      <w:r>
        <w:rPr>
          <w:sz w:val="24"/>
        </w:rPr>
        <w:fldChar w:fldCharType="end"/>
      </w:r>
    </w:p>
    <w:p w14:paraId="3945CEAC">
      <w:pPr>
        <w:widowControl/>
        <w:jc w:val="left"/>
        <w:rPr>
          <w:sz w:val="24"/>
        </w:rPr>
      </w:pPr>
      <w:r>
        <w:rPr>
          <w:sz w:val="24"/>
        </w:rPr>
        <w:br w:type="page"/>
      </w:r>
    </w:p>
    <w:p w14:paraId="3A49F2C4">
      <w:pPr>
        <w:keepNext/>
        <w:keepLines/>
        <w:widowControl/>
        <w:numPr>
          <w:ilvl w:val="0"/>
          <w:numId w:val="8"/>
        </w:numPr>
        <w:tabs>
          <w:tab w:val="left" w:pos="1080"/>
        </w:tabs>
        <w:spacing w:before="210" w:after="210" w:line="500" w:lineRule="exact"/>
        <w:jc w:val="left"/>
        <w:outlineLvl w:val="1"/>
        <w:rPr>
          <w:b/>
          <w:kern w:val="0"/>
          <w:sz w:val="28"/>
          <w:szCs w:val="20"/>
        </w:rPr>
        <w:sectPr>
          <w:headerReference r:id="rId10" w:type="default"/>
          <w:footerReference r:id="rId11"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B0A8007">
      <w:pPr>
        <w:keepNext/>
        <w:keepLines/>
        <w:widowControl/>
        <w:numPr>
          <w:ilvl w:val="0"/>
          <w:numId w:val="8"/>
        </w:numPr>
        <w:tabs>
          <w:tab w:val="left" w:pos="1080"/>
        </w:tabs>
        <w:spacing w:before="210" w:after="210" w:line="500" w:lineRule="exact"/>
        <w:jc w:val="left"/>
        <w:outlineLvl w:val="1"/>
        <w:rPr>
          <w:b/>
          <w:kern w:val="0"/>
          <w:sz w:val="28"/>
          <w:szCs w:val="20"/>
        </w:rPr>
      </w:pPr>
      <w:bookmarkStart w:id="36" w:name="_Toc31764"/>
      <w:bookmarkStart w:id="37" w:name="_Toc8703"/>
      <w:r>
        <w:rPr>
          <w:b/>
          <w:kern w:val="0"/>
          <w:sz w:val="28"/>
          <w:szCs w:val="20"/>
        </w:rPr>
        <w:t>项目由来</w:t>
      </w:r>
      <w:bookmarkEnd w:id="36"/>
      <w:bookmarkEnd w:id="37"/>
    </w:p>
    <w:p w14:paraId="40B62F4F">
      <w:pPr>
        <w:widowControl/>
        <w:spacing w:line="500" w:lineRule="exact"/>
        <w:ind w:firstLine="480"/>
        <w:jc w:val="left"/>
        <w:rPr>
          <w:kern w:val="0"/>
          <w:sz w:val="24"/>
        </w:rPr>
      </w:pPr>
      <w:r>
        <w:rPr>
          <w:rFonts w:hint="eastAsia"/>
          <w:kern w:val="0"/>
          <w:sz w:val="24"/>
        </w:rPr>
        <w:t>根据《建设项目环境影响报告表编制技术指南（污染影响类）（试行）》，有毒有害和易燃易爆危险物质存储量超过临界量的建设项目，则需要设环境风险专项评价。项目生产过程储存的</w:t>
      </w:r>
      <w:r>
        <w:rPr>
          <w:rFonts w:hint="eastAsia"/>
          <w:kern w:val="0"/>
          <w:sz w:val="24"/>
          <w:lang w:val="en-US" w:eastAsia="zh-CN"/>
        </w:rPr>
        <w:t>醋酸</w:t>
      </w:r>
      <w:r>
        <w:rPr>
          <w:rFonts w:hint="eastAsia"/>
          <w:kern w:val="0"/>
          <w:sz w:val="24"/>
        </w:rPr>
        <w:t>储量超过临界量，需设置风险专项评价。</w:t>
      </w:r>
    </w:p>
    <w:p w14:paraId="0358054D">
      <w:pPr>
        <w:widowControl/>
        <w:spacing w:line="500" w:lineRule="exact"/>
        <w:ind w:firstLine="480"/>
        <w:jc w:val="left"/>
        <w:rPr>
          <w:kern w:val="0"/>
          <w:sz w:val="24"/>
        </w:rPr>
      </w:pPr>
      <w:r>
        <w:rPr>
          <w:rFonts w:hint="eastAsia"/>
          <w:kern w:val="0"/>
          <w:sz w:val="24"/>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2B1D2C90">
      <w:pPr>
        <w:widowControl/>
        <w:spacing w:line="500" w:lineRule="exact"/>
        <w:ind w:firstLine="480"/>
        <w:jc w:val="left"/>
        <w:rPr>
          <w:kern w:val="0"/>
          <w:sz w:val="24"/>
        </w:rPr>
      </w:pPr>
      <w:r>
        <w:rPr>
          <w:rFonts w:hint="eastAsia"/>
          <w:kern w:val="0"/>
          <w:sz w:val="24"/>
        </w:rPr>
        <w:t>项目实施后环境风险评价的基本内容包括风险调查、环境风险潜势初判、风险识别、风险事故情形分析、风险预测与评价、环境风险管理等，其具体如下：</w:t>
      </w:r>
    </w:p>
    <w:p w14:paraId="5447F97D">
      <w:pPr>
        <w:widowControl/>
        <w:spacing w:line="500" w:lineRule="exact"/>
        <w:ind w:firstLine="480"/>
        <w:jc w:val="left"/>
        <w:rPr>
          <w:kern w:val="0"/>
          <w:sz w:val="24"/>
        </w:rPr>
      </w:pPr>
      <w:r>
        <w:rPr>
          <w:rFonts w:hint="eastAsia"/>
          <w:kern w:val="0"/>
          <w:sz w:val="24"/>
        </w:rPr>
        <w:t>1、项目风险调查。在分析建设项目物质及工艺系统危险性和环境敏感性的基础下，进行风险潜势的判断，确定风险评价等级。</w:t>
      </w:r>
    </w:p>
    <w:p w14:paraId="24B86F2A">
      <w:pPr>
        <w:widowControl/>
        <w:spacing w:line="500" w:lineRule="exact"/>
        <w:ind w:firstLine="480"/>
        <w:jc w:val="left"/>
        <w:rPr>
          <w:kern w:val="0"/>
          <w:sz w:val="24"/>
        </w:rPr>
      </w:pPr>
      <w:r>
        <w:rPr>
          <w:rFonts w:hint="eastAsia"/>
          <w:kern w:val="0"/>
          <w:sz w:val="24"/>
        </w:rPr>
        <w:t>2、项目风险识别及风险事故情形分析。明确危险物质在生产系统中的主要分布，筛选具有代表性的风险事故情形，合理设定事故源项。</w:t>
      </w:r>
    </w:p>
    <w:p w14:paraId="447742DA">
      <w:pPr>
        <w:widowControl/>
        <w:spacing w:line="500" w:lineRule="exact"/>
        <w:ind w:firstLine="480"/>
        <w:jc w:val="left"/>
        <w:rPr>
          <w:kern w:val="0"/>
          <w:sz w:val="24"/>
        </w:rPr>
      </w:pPr>
      <w:r>
        <w:rPr>
          <w:rFonts w:hint="eastAsia"/>
          <w:kern w:val="0"/>
          <w:sz w:val="24"/>
        </w:rPr>
        <w:t>3、开展预测评价。分析环境风险事故及其可能伴生/次生的环境问题，针对潜在的环境风险进行预测与评价，并分析说明环境风险危害范围与程度。</w:t>
      </w:r>
    </w:p>
    <w:p w14:paraId="07DF4B74">
      <w:pPr>
        <w:widowControl/>
        <w:spacing w:line="500" w:lineRule="exact"/>
        <w:ind w:firstLine="480"/>
        <w:jc w:val="left"/>
        <w:rPr>
          <w:kern w:val="0"/>
          <w:sz w:val="24"/>
        </w:rPr>
      </w:pPr>
      <w:r>
        <w:rPr>
          <w:rFonts w:hint="eastAsia"/>
          <w:kern w:val="0"/>
          <w:sz w:val="24"/>
        </w:rPr>
        <w:t>4、提出环境风险管理目标、环境风险防范措施、突发环境事件应急预案编制要求等环境风险预防、控制、减缓措施，为建设项目环境风险防控提供科学依据。</w:t>
      </w:r>
    </w:p>
    <w:p w14:paraId="61CC4B9C">
      <w:pPr>
        <w:widowControl/>
        <w:spacing w:line="500" w:lineRule="exact"/>
        <w:ind w:firstLine="480"/>
        <w:jc w:val="left"/>
        <w:rPr>
          <w:kern w:val="0"/>
          <w:sz w:val="24"/>
        </w:rPr>
      </w:pPr>
      <w:r>
        <w:rPr>
          <w:rFonts w:hint="eastAsia"/>
          <w:kern w:val="0"/>
          <w:sz w:val="24"/>
        </w:rPr>
        <w:t>5、综合环境风险评价过程，给出评价结论与建议。</w:t>
      </w:r>
    </w:p>
    <w:p w14:paraId="6A5471B0">
      <w:pPr>
        <w:keepNext/>
        <w:keepLines/>
        <w:widowControl/>
        <w:numPr>
          <w:ilvl w:val="0"/>
          <w:numId w:val="8"/>
        </w:numPr>
        <w:tabs>
          <w:tab w:val="left" w:pos="1080"/>
        </w:tabs>
        <w:spacing w:before="210" w:after="210" w:line="500" w:lineRule="exact"/>
        <w:jc w:val="left"/>
        <w:outlineLvl w:val="1"/>
        <w:rPr>
          <w:b/>
          <w:kern w:val="0"/>
          <w:sz w:val="28"/>
          <w:szCs w:val="20"/>
        </w:rPr>
      </w:pPr>
      <w:bookmarkStart w:id="38" w:name="_Toc1597"/>
      <w:bookmarkStart w:id="39" w:name="_Toc14583"/>
      <w:r>
        <w:rPr>
          <w:rFonts w:hint="eastAsia"/>
          <w:b/>
          <w:kern w:val="0"/>
          <w:sz w:val="28"/>
          <w:szCs w:val="20"/>
        </w:rPr>
        <w:t>现有工程环境风险回顾评价</w:t>
      </w:r>
      <w:bookmarkEnd w:id="38"/>
      <w:bookmarkEnd w:id="39"/>
    </w:p>
    <w:p w14:paraId="6E13A018">
      <w:pPr>
        <w:widowControl/>
        <w:spacing w:line="500" w:lineRule="exact"/>
        <w:ind w:firstLine="480"/>
        <w:jc w:val="left"/>
        <w:rPr>
          <w:b/>
          <w:kern w:val="0"/>
          <w:sz w:val="24"/>
        </w:rPr>
      </w:pPr>
      <w:r>
        <w:rPr>
          <w:rFonts w:hint="eastAsia"/>
          <w:b/>
          <w:kern w:val="0"/>
          <w:sz w:val="24"/>
        </w:rPr>
        <w:t>1.2.1现有工程历年事故调查</w:t>
      </w:r>
    </w:p>
    <w:p w14:paraId="18E636C4">
      <w:pPr>
        <w:widowControl/>
        <w:spacing w:line="500" w:lineRule="exact"/>
        <w:ind w:firstLine="480"/>
        <w:jc w:val="left"/>
        <w:rPr>
          <w:rFonts w:hint="eastAsia"/>
          <w:kern w:val="0"/>
          <w:sz w:val="24"/>
        </w:rPr>
      </w:pPr>
      <w:r>
        <w:rPr>
          <w:rFonts w:hint="eastAsia"/>
          <w:kern w:val="0"/>
          <w:sz w:val="24"/>
        </w:rPr>
        <w:t>广西华谊能化在钦州石化产业园厂区，被海豚路一分为二，海豚路西侧厂区为广西能化一期及二期项目，海豚路东侧为广西能化三期项目（甲醇制烯烃及下游深加工一体化项目），目前为在建状态。本项目位于海豚路西侧厂区，两个厂区相对独立，因此本项目重点回顾西侧厂区涉及的内容。</w:t>
      </w:r>
    </w:p>
    <w:p w14:paraId="1F318F0E">
      <w:pPr>
        <w:widowControl/>
        <w:spacing w:line="500" w:lineRule="exact"/>
        <w:ind w:firstLine="480"/>
        <w:jc w:val="left"/>
        <w:rPr>
          <w:kern w:val="0"/>
          <w:sz w:val="24"/>
        </w:rPr>
      </w:pPr>
      <w:r>
        <w:rPr>
          <w:rFonts w:hint="eastAsia"/>
          <w:kern w:val="0"/>
          <w:sz w:val="24"/>
        </w:rPr>
        <w:t>经现场核实与调查，</w:t>
      </w:r>
      <w:r>
        <w:rPr>
          <w:rFonts w:hint="eastAsia"/>
          <w:kern w:val="0"/>
          <w:sz w:val="24"/>
          <w:lang w:val="en-US" w:eastAsia="zh-CN"/>
        </w:rPr>
        <w:t>厂区</w:t>
      </w:r>
      <w:r>
        <w:rPr>
          <w:rFonts w:hint="eastAsia"/>
          <w:kern w:val="0"/>
          <w:sz w:val="24"/>
        </w:rPr>
        <w:t>未发生与环境风险有关的火灾爆炸、物料泄漏等重特大事故，也未收到厂址周边群众对现有工程关于环境污染的投诉事件。</w:t>
      </w:r>
    </w:p>
    <w:p w14:paraId="740EEE09">
      <w:pPr>
        <w:widowControl/>
        <w:spacing w:line="500" w:lineRule="exact"/>
        <w:ind w:firstLine="480"/>
        <w:jc w:val="left"/>
        <w:rPr>
          <w:b/>
          <w:kern w:val="0"/>
          <w:sz w:val="24"/>
        </w:rPr>
      </w:pPr>
      <w:r>
        <w:rPr>
          <w:rFonts w:hint="eastAsia"/>
          <w:b/>
          <w:kern w:val="0"/>
          <w:sz w:val="24"/>
        </w:rPr>
        <w:t>1.2.2现有工程环境风险防范和应急措施</w:t>
      </w:r>
    </w:p>
    <w:p w14:paraId="7B4F6A7D">
      <w:pPr>
        <w:widowControl/>
        <w:spacing w:line="500" w:lineRule="exact"/>
        <w:ind w:firstLine="480"/>
        <w:jc w:val="left"/>
        <w:rPr>
          <w:rFonts w:hint="default" w:eastAsia="宋体"/>
          <w:kern w:val="0"/>
          <w:sz w:val="24"/>
          <w:lang w:val="en-US" w:eastAsia="zh-CN"/>
        </w:rPr>
      </w:pPr>
      <w:r>
        <w:rPr>
          <w:rFonts w:hint="eastAsia"/>
          <w:kern w:val="0"/>
          <w:sz w:val="24"/>
          <w:lang w:val="en-US" w:eastAsia="zh-CN"/>
        </w:rPr>
        <w:t>现有工程环境风险防范和应急措施详见报告6.2环境风险管理章节。</w:t>
      </w:r>
    </w:p>
    <w:p w14:paraId="1E267795">
      <w:pPr>
        <w:keepNext/>
        <w:keepLines/>
        <w:widowControl/>
        <w:numPr>
          <w:ilvl w:val="0"/>
          <w:numId w:val="8"/>
        </w:numPr>
        <w:spacing w:before="210" w:after="210" w:line="500" w:lineRule="exact"/>
        <w:jc w:val="left"/>
        <w:outlineLvl w:val="1"/>
        <w:rPr>
          <w:b/>
          <w:kern w:val="0"/>
          <w:sz w:val="28"/>
          <w:szCs w:val="20"/>
        </w:rPr>
      </w:pPr>
      <w:bookmarkStart w:id="40" w:name="_Toc18503"/>
      <w:bookmarkStart w:id="41" w:name="_Toc30344"/>
      <w:r>
        <w:rPr>
          <w:b/>
          <w:kern w:val="0"/>
          <w:sz w:val="28"/>
          <w:szCs w:val="20"/>
        </w:rPr>
        <w:t>风险调查</w:t>
      </w:r>
      <w:bookmarkEnd w:id="40"/>
      <w:bookmarkEnd w:id="41"/>
    </w:p>
    <w:p w14:paraId="6F2D0A7C">
      <w:pPr>
        <w:keepNext/>
        <w:keepLines/>
        <w:widowControl/>
        <w:numPr>
          <w:ilvl w:val="2"/>
          <w:numId w:val="9"/>
        </w:numPr>
        <w:spacing w:before="126" w:after="126" w:line="500" w:lineRule="exact"/>
        <w:jc w:val="left"/>
        <w:outlineLvl w:val="2"/>
        <w:rPr>
          <w:b/>
          <w:bCs/>
          <w:kern w:val="0"/>
          <w:sz w:val="24"/>
        </w:rPr>
      </w:pPr>
      <w:bookmarkStart w:id="42" w:name="_Toc144992661"/>
      <w:bookmarkStart w:id="43" w:name="_Toc9113"/>
      <w:r>
        <w:rPr>
          <w:b/>
          <w:bCs/>
          <w:kern w:val="0"/>
          <w:sz w:val="24"/>
        </w:rPr>
        <w:t>风险源调查</w:t>
      </w:r>
      <w:bookmarkEnd w:id="42"/>
      <w:bookmarkEnd w:id="43"/>
    </w:p>
    <w:p w14:paraId="2CB133CF">
      <w:pPr>
        <w:widowControl/>
        <w:spacing w:line="500" w:lineRule="exact"/>
        <w:ind w:firstLine="480"/>
        <w:jc w:val="left"/>
        <w:rPr>
          <w:kern w:val="0"/>
          <w:sz w:val="24"/>
        </w:rPr>
      </w:pPr>
      <w:r>
        <w:rPr>
          <w:kern w:val="0"/>
          <w:sz w:val="24"/>
        </w:rPr>
        <w:t>1．危险物质数量和分布情况</w:t>
      </w:r>
    </w:p>
    <w:p w14:paraId="58A15074">
      <w:pPr>
        <w:spacing w:line="500" w:lineRule="exact"/>
        <w:ind w:firstLine="482"/>
        <w:rPr>
          <w:rFonts w:hint="eastAsia"/>
          <w:sz w:val="24"/>
          <w:lang w:val="en-US" w:eastAsia="zh-CN"/>
        </w:rPr>
      </w:pPr>
      <w:r>
        <w:rPr>
          <w:rFonts w:hint="eastAsia"/>
          <w:sz w:val="24"/>
        </w:rPr>
        <w:t>根据《建设项目环境风险评价技术导则》（HJ169-2018）、《危险化学品重大危险源识别》（GB18218-2018），本项目</w:t>
      </w:r>
      <w:r>
        <w:rPr>
          <w:rFonts w:hint="eastAsia"/>
          <w:sz w:val="24"/>
          <w:lang w:val="en-US" w:eastAsia="zh-CN"/>
        </w:rPr>
        <w:t>新增</w:t>
      </w:r>
      <w:r>
        <w:rPr>
          <w:rFonts w:hint="eastAsia"/>
          <w:sz w:val="24"/>
        </w:rPr>
        <w:t>涉及的危险物质为</w:t>
      </w:r>
      <w:r>
        <w:rPr>
          <w:rFonts w:hint="eastAsia"/>
          <w:sz w:val="24"/>
          <w:lang w:val="en-US" w:eastAsia="zh-CN"/>
        </w:rPr>
        <w:t>丙酸、醋酸以及废液。</w:t>
      </w:r>
    </w:p>
    <w:p w14:paraId="1845C073">
      <w:pPr>
        <w:spacing w:line="500" w:lineRule="exact"/>
        <w:ind w:firstLine="482"/>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①醋酸：</w:t>
      </w:r>
    </w:p>
    <w:p w14:paraId="11438848">
      <w:pPr>
        <w:spacing w:line="500" w:lineRule="exact"/>
        <w:ind w:firstLine="482"/>
        <w:rPr>
          <w:rFonts w:hint="eastAsia"/>
          <w:sz w:val="24"/>
          <w:u w:val="none"/>
          <w:lang w:val="en-US" w:eastAsia="zh-CN"/>
        </w:rPr>
      </w:pPr>
      <w:r>
        <w:rPr>
          <w:rFonts w:hint="eastAsia"/>
          <w:sz w:val="24"/>
          <w:u w:val="none"/>
          <w:lang w:val="en-US" w:eastAsia="zh-CN"/>
        </w:rPr>
        <w:t>醋酸产品依托现有工程醋酸管道输送和储罐贮存，不新增罐体和管道。本次评价的醋酸主要为60醋酸分离装置及储罐内的醋酸，醋酸主要分布在醋酸回收塔、醋酸中间储罐内。</w:t>
      </w:r>
    </w:p>
    <w:p w14:paraId="4097D810">
      <w:pPr>
        <w:spacing w:line="500" w:lineRule="exact"/>
        <w:ind w:firstLine="482"/>
        <w:rPr>
          <w:rFonts w:hint="eastAsia"/>
          <w:sz w:val="24"/>
          <w:u w:val="none"/>
          <w:lang w:val="en-US" w:eastAsia="zh-CN"/>
        </w:rPr>
      </w:pPr>
      <w:r>
        <w:rPr>
          <w:rFonts w:hint="eastAsia"/>
          <w:sz w:val="24"/>
          <w:u w:val="none"/>
          <w:lang w:val="en-US" w:eastAsia="zh-CN"/>
        </w:rPr>
        <w:t>醋酸分离装置回收塔规格为</w:t>
      </w:r>
      <w:r>
        <w:rPr>
          <w:rFonts w:hint="eastAsia"/>
          <w:sz w:val="24"/>
          <w:szCs w:val="24"/>
          <w:u w:val="none"/>
        </w:rPr>
        <w:t>Φ400×12500</w:t>
      </w:r>
      <w:r>
        <w:rPr>
          <w:rFonts w:hint="eastAsia"/>
          <w:sz w:val="24"/>
          <w:u w:val="none"/>
          <w:lang w:val="en-US" w:eastAsia="zh-CN"/>
        </w:rPr>
        <w:t>，体积约1.57m</w:t>
      </w:r>
      <w:r>
        <w:rPr>
          <w:rFonts w:hint="eastAsia"/>
          <w:sz w:val="24"/>
          <w:u w:val="none"/>
          <w:vertAlign w:val="superscript"/>
          <w:lang w:val="en-US" w:eastAsia="zh-CN"/>
        </w:rPr>
        <w:t>3</w:t>
      </w:r>
      <w:r>
        <w:rPr>
          <w:rFonts w:hint="eastAsia"/>
          <w:sz w:val="24"/>
          <w:u w:val="none"/>
          <w:lang w:val="en-US" w:eastAsia="zh-CN"/>
        </w:rPr>
        <w:t>，最大在线量按回收塔容积80%计，醋酸最大在线量约为1.32t。</w:t>
      </w:r>
    </w:p>
    <w:p w14:paraId="7DB6F522">
      <w:pPr>
        <w:spacing w:line="500" w:lineRule="exact"/>
        <w:ind w:firstLine="482"/>
        <w:rPr>
          <w:rFonts w:hint="eastAsia"/>
          <w:sz w:val="24"/>
          <w:szCs w:val="24"/>
          <w:u w:val="none"/>
          <w:lang w:val="en-US" w:eastAsia="zh-CN"/>
        </w:rPr>
      </w:pPr>
      <w:r>
        <w:rPr>
          <w:rFonts w:hint="eastAsia"/>
          <w:sz w:val="24"/>
          <w:szCs w:val="24"/>
          <w:u w:val="none"/>
          <w:lang w:val="en-US" w:eastAsia="zh-CN"/>
        </w:rPr>
        <w:t>醋酸产品</w:t>
      </w:r>
      <w:r>
        <w:rPr>
          <w:rFonts w:hint="eastAsia" w:eastAsia="宋体"/>
          <w:sz w:val="24"/>
          <w:szCs w:val="24"/>
          <w:u w:val="none"/>
        </w:rPr>
        <w:t>依托</w:t>
      </w:r>
      <w:r>
        <w:rPr>
          <w:rFonts w:hint="eastAsia"/>
          <w:sz w:val="24"/>
          <w:szCs w:val="24"/>
          <w:u w:val="none"/>
          <w:lang w:val="en-US" w:eastAsia="zh-CN"/>
        </w:rPr>
        <w:t>现有工程</w:t>
      </w:r>
      <w:r>
        <w:rPr>
          <w:rFonts w:hint="eastAsia" w:eastAsia="宋体"/>
          <w:sz w:val="24"/>
          <w:szCs w:val="24"/>
          <w:u w:val="none"/>
        </w:rPr>
        <w:t>4</w:t>
      </w:r>
      <w:r>
        <w:rPr>
          <w:rFonts w:hint="eastAsia"/>
          <w:sz w:val="24"/>
          <w:szCs w:val="24"/>
          <w:u w:val="none"/>
          <w:lang w:val="en-US" w:eastAsia="zh-CN"/>
        </w:rPr>
        <w:t>个</w:t>
      </w:r>
      <w:r>
        <w:rPr>
          <w:rFonts w:hint="eastAsia" w:eastAsia="宋体"/>
          <w:sz w:val="24"/>
          <w:szCs w:val="24"/>
          <w:u w:val="none"/>
        </w:rPr>
        <w:t>1000m</w:t>
      </w:r>
      <w:r>
        <w:rPr>
          <w:rFonts w:hint="eastAsia" w:eastAsia="宋体"/>
          <w:sz w:val="24"/>
          <w:szCs w:val="24"/>
          <w:u w:val="none"/>
          <w:vertAlign w:val="superscript"/>
        </w:rPr>
        <w:t>3</w:t>
      </w:r>
      <w:r>
        <w:rPr>
          <w:rFonts w:hint="eastAsia" w:eastAsia="宋体"/>
          <w:sz w:val="24"/>
          <w:szCs w:val="24"/>
          <w:u w:val="none"/>
        </w:rPr>
        <w:t>固定顶醋酸中间罐，无需新增中间罐</w:t>
      </w:r>
      <w:r>
        <w:rPr>
          <w:rFonts w:hint="eastAsia"/>
          <w:sz w:val="24"/>
          <w:szCs w:val="24"/>
          <w:u w:val="none"/>
          <w:lang w:eastAsia="zh-CN"/>
        </w:rPr>
        <w:t>，</w:t>
      </w:r>
      <w:r>
        <w:rPr>
          <w:rFonts w:hint="eastAsia"/>
          <w:sz w:val="24"/>
          <w:szCs w:val="24"/>
          <w:u w:val="none"/>
          <w:lang w:val="en-US" w:eastAsia="zh-CN"/>
        </w:rPr>
        <w:t>本项目扩建后新增1600t/a醋酸产品，醋酸中间罐将新增1600t在线量。</w:t>
      </w:r>
    </w:p>
    <w:p w14:paraId="052BFAF4">
      <w:pPr>
        <w:spacing w:line="500" w:lineRule="exact"/>
        <w:ind w:firstLine="482"/>
        <w:rPr>
          <w:rFonts w:hint="default"/>
          <w:sz w:val="24"/>
          <w:szCs w:val="24"/>
          <w:u w:val="none"/>
          <w:lang w:val="en-US" w:eastAsia="zh-CN"/>
        </w:rPr>
      </w:pPr>
      <w:r>
        <w:rPr>
          <w:rFonts w:hint="eastAsia"/>
          <w:sz w:val="24"/>
          <w:szCs w:val="24"/>
          <w:u w:val="none"/>
          <w:lang w:val="en-US" w:eastAsia="zh-CN"/>
        </w:rPr>
        <w:t>综上本项目醋酸最大在线量约为1601.32t。</w:t>
      </w:r>
    </w:p>
    <w:p w14:paraId="79FFFFE5">
      <w:pPr>
        <w:spacing w:line="500" w:lineRule="exact"/>
        <w:ind w:firstLine="482"/>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②丙酸</w:t>
      </w:r>
    </w:p>
    <w:p w14:paraId="6E9F5722">
      <w:pPr>
        <w:spacing w:line="500" w:lineRule="exact"/>
        <w:ind w:firstLine="482"/>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根据《建设项目环境风险评价技术导则》（HJ169-2018）</w:t>
      </w:r>
      <w:r>
        <w:rPr>
          <w:rFonts w:hint="eastAsia" w:ascii="Times New Roman" w:hAnsi="Times New Roman" w:eastAsia="宋体" w:cs="Times New Roman"/>
          <w:sz w:val="24"/>
          <w:u w:val="none"/>
          <w:lang w:val="en-US" w:eastAsia="zh-CN"/>
        </w:rPr>
        <w:t>，丙酸无临界量，因此根据《建设项目环境风险评价技术导则》（HJ169-2018）表B.2其他危险物质临界量推荐值，丙酸属于危害水环境物质（急性毒性类别1），因此临界量按100t计。丙酸</w:t>
      </w:r>
      <w:r>
        <w:rPr>
          <w:rFonts w:hint="eastAsia" w:cs="Times New Roman"/>
          <w:sz w:val="24"/>
          <w:u w:val="none"/>
          <w:lang w:val="en-US" w:eastAsia="zh-CN"/>
        </w:rPr>
        <w:t>主要存在于丙酸缓存罐及丙酸精制塔内，</w:t>
      </w:r>
      <w:r>
        <w:rPr>
          <w:rFonts w:hint="eastAsia" w:ascii="Times New Roman" w:hAnsi="Times New Roman" w:eastAsia="宋体" w:cs="Times New Roman"/>
          <w:sz w:val="24"/>
          <w:u w:val="none"/>
          <w:lang w:val="en-US" w:eastAsia="zh-CN"/>
        </w:rPr>
        <w:t>丙酸缓存罐体积为50m</w:t>
      </w:r>
      <w:r>
        <w:rPr>
          <w:rFonts w:hint="eastAsia" w:ascii="Times New Roman" w:hAnsi="Times New Roman" w:eastAsia="宋体" w:cs="Times New Roman"/>
          <w:sz w:val="24"/>
          <w:u w:val="none"/>
          <w:vertAlign w:val="superscript"/>
          <w:lang w:val="en-US" w:eastAsia="zh-CN"/>
        </w:rPr>
        <w:t>3</w:t>
      </w:r>
      <w:r>
        <w:rPr>
          <w:rFonts w:hint="eastAsia" w:ascii="Times New Roman" w:hAnsi="Times New Roman" w:eastAsia="宋体" w:cs="Times New Roman"/>
          <w:sz w:val="24"/>
          <w:u w:val="none"/>
          <w:lang w:val="en-US" w:eastAsia="zh-CN"/>
        </w:rPr>
        <w:t>，最大贮存容积按0.85计，则丙酸缓存罐内丙酸最大贮存体积为42.5m</w:t>
      </w:r>
      <w:r>
        <w:rPr>
          <w:rFonts w:hint="eastAsia" w:ascii="Times New Roman" w:hAnsi="Times New Roman" w:eastAsia="宋体" w:cs="Times New Roman"/>
          <w:sz w:val="24"/>
          <w:u w:val="none"/>
          <w:vertAlign w:val="superscript"/>
          <w:lang w:val="en-US" w:eastAsia="zh-CN"/>
        </w:rPr>
        <w:t>3</w:t>
      </w:r>
      <w:r>
        <w:rPr>
          <w:rFonts w:hint="eastAsia" w:ascii="Times New Roman" w:hAnsi="Times New Roman" w:eastAsia="宋体" w:cs="Times New Roman"/>
          <w:sz w:val="24"/>
          <w:u w:val="none"/>
          <w:lang w:val="en-US" w:eastAsia="zh-CN"/>
        </w:rPr>
        <w:t>，丙酸密度为0.99（相对密度（水=1）），则丙酸缓存罐最大在线量为42.075t；</w:t>
      </w:r>
      <w:r>
        <w:rPr>
          <w:rFonts w:hint="eastAsia"/>
          <w:sz w:val="24"/>
          <w:u w:val="none"/>
          <w:lang w:val="en-US" w:eastAsia="zh-CN"/>
        </w:rPr>
        <w:t>丙酸精制塔规格为</w:t>
      </w:r>
      <w:r>
        <w:rPr>
          <w:rFonts w:hint="eastAsia"/>
          <w:sz w:val="24"/>
          <w:szCs w:val="24"/>
          <w:u w:val="none"/>
        </w:rPr>
        <w:t>Φ</w:t>
      </w:r>
      <w:r>
        <w:rPr>
          <w:rFonts w:hint="eastAsia"/>
          <w:sz w:val="24"/>
          <w:szCs w:val="24"/>
          <w:u w:val="none"/>
          <w:lang w:val="en-US" w:eastAsia="zh-CN"/>
        </w:rPr>
        <w:t>219</w:t>
      </w:r>
      <w:r>
        <w:rPr>
          <w:rFonts w:hint="eastAsia"/>
          <w:sz w:val="24"/>
          <w:szCs w:val="24"/>
          <w:u w:val="none"/>
        </w:rPr>
        <w:t>×</w:t>
      </w:r>
      <w:r>
        <w:rPr>
          <w:rFonts w:hint="eastAsia"/>
          <w:sz w:val="24"/>
          <w:szCs w:val="24"/>
          <w:u w:val="none"/>
          <w:lang w:val="en-US" w:eastAsia="zh-CN"/>
        </w:rPr>
        <w:t>10000</w:t>
      </w:r>
      <w:r>
        <w:rPr>
          <w:rFonts w:hint="eastAsia"/>
          <w:sz w:val="24"/>
          <w:u w:val="none"/>
          <w:lang w:val="en-US" w:eastAsia="zh-CN"/>
        </w:rPr>
        <w:t>，体积约0.38m</w:t>
      </w:r>
      <w:r>
        <w:rPr>
          <w:rFonts w:hint="eastAsia"/>
          <w:sz w:val="24"/>
          <w:u w:val="none"/>
          <w:vertAlign w:val="superscript"/>
          <w:lang w:val="en-US" w:eastAsia="zh-CN"/>
        </w:rPr>
        <w:t>3</w:t>
      </w:r>
      <w:r>
        <w:rPr>
          <w:rFonts w:hint="eastAsia"/>
          <w:sz w:val="24"/>
          <w:u w:val="none"/>
          <w:lang w:val="en-US" w:eastAsia="zh-CN"/>
        </w:rPr>
        <w:t>，最大在线量按容积80%计，丙酸精制塔最大在线量约为0.3t，则本项目丙酸最大在线率为42.375t。</w:t>
      </w:r>
    </w:p>
    <w:p w14:paraId="390EDF89">
      <w:pPr>
        <w:spacing w:line="500" w:lineRule="exact"/>
        <w:ind w:firstLine="482"/>
        <w:rPr>
          <w:rFonts w:hint="eastAsia" w:ascii="宋体" w:hAnsi="宋体" w:cs="宋体"/>
          <w:sz w:val="24"/>
          <w:u w:val="single"/>
          <w:lang w:val="en-US" w:eastAsia="zh-CN"/>
        </w:rPr>
      </w:pPr>
      <w:r>
        <w:rPr>
          <w:rFonts w:hint="eastAsia" w:ascii="宋体" w:hAnsi="宋体" w:eastAsia="宋体" w:cs="宋体"/>
          <w:sz w:val="24"/>
          <w:u w:val="single"/>
          <w:lang w:val="en-US" w:eastAsia="zh-CN"/>
        </w:rPr>
        <w:t>③</w:t>
      </w:r>
      <w:r>
        <w:rPr>
          <w:rFonts w:hint="eastAsia" w:ascii="宋体" w:hAnsi="宋体" w:cs="宋体"/>
          <w:sz w:val="24"/>
          <w:u w:val="single"/>
          <w:lang w:val="en-US" w:eastAsia="zh-CN"/>
        </w:rPr>
        <w:t>废液</w:t>
      </w:r>
    </w:p>
    <w:p w14:paraId="11F9124E">
      <w:pPr>
        <w:spacing w:line="500" w:lineRule="exact"/>
        <w:ind w:firstLine="482"/>
        <w:rPr>
          <w:rFonts w:hint="default" w:ascii="Times New Roman" w:hAnsi="Times New Roman" w:cs="Times New Roman"/>
          <w:sz w:val="24"/>
          <w:u w:val="single"/>
          <w:lang w:val="en-US" w:eastAsia="zh-CN"/>
        </w:rPr>
      </w:pPr>
      <w:r>
        <w:rPr>
          <w:rFonts w:hint="default" w:ascii="Times New Roman" w:hAnsi="Times New Roman" w:cs="Times New Roman"/>
          <w:sz w:val="24"/>
          <w:u w:val="single"/>
          <w:lang w:val="en-US" w:eastAsia="zh-CN"/>
        </w:rPr>
        <w:t>根据《建设项目环境风险评价技术导则》（HJ169-2018），</w:t>
      </w: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无临界量</w:t>
      </w:r>
      <w:r>
        <w:rPr>
          <w:rFonts w:hint="eastAsia" w:ascii="Times New Roman" w:hAnsi="Times New Roman" w:cs="Times New Roman"/>
          <w:sz w:val="24"/>
          <w:u w:val="single"/>
          <w:lang w:val="en-US" w:eastAsia="zh-CN"/>
        </w:rPr>
        <w:t>，根据调查，一般蒸发分离的釜底液COD范围为几万至几十万mg/L，属于《建设项目环境风险评价技术导则》（HJ169-2018）B.1中的COD大于10000mg/L的废液。</w:t>
      </w:r>
    </w:p>
    <w:p w14:paraId="13FF511C">
      <w:pPr>
        <w:spacing w:line="500" w:lineRule="exact"/>
        <w:ind w:firstLine="482"/>
        <w:rPr>
          <w:rFonts w:hint="default"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主要存在于</w:t>
      </w:r>
      <w:r>
        <w:rPr>
          <w:rFonts w:hint="eastAsia" w:ascii="Times New Roman" w:hAnsi="Times New Roman" w:cs="Times New Roman"/>
          <w:sz w:val="24"/>
          <w:u w:val="single"/>
          <w:lang w:val="en-US" w:eastAsia="zh-CN"/>
        </w:rPr>
        <w:t>废液罐内</w:t>
      </w:r>
      <w:r>
        <w:rPr>
          <w:rFonts w:hint="default" w:ascii="Times New Roman" w:hAnsi="Times New Roman" w:cs="Times New Roman"/>
          <w:sz w:val="24"/>
          <w:u w:val="single"/>
          <w:lang w:val="en-US" w:eastAsia="zh-CN"/>
        </w:rPr>
        <w:t>，</w:t>
      </w: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罐体积为50m</w:t>
      </w:r>
      <w:r>
        <w:rPr>
          <w:rFonts w:hint="default" w:ascii="Times New Roman" w:hAnsi="Times New Roman" w:cs="Times New Roman"/>
          <w:sz w:val="24"/>
          <w:u w:val="single"/>
          <w:vertAlign w:val="superscript"/>
          <w:lang w:val="en-US" w:eastAsia="zh-CN"/>
        </w:rPr>
        <w:t>3</w:t>
      </w:r>
      <w:r>
        <w:rPr>
          <w:rFonts w:hint="default" w:ascii="Times New Roman" w:hAnsi="Times New Roman" w:cs="Times New Roman"/>
          <w:sz w:val="24"/>
          <w:u w:val="single"/>
          <w:lang w:val="en-US" w:eastAsia="zh-CN"/>
        </w:rPr>
        <w:t>，最大贮存容积按0.85计，则丙</w:t>
      </w: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罐内</w:t>
      </w: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最大贮存体积为42.5m</w:t>
      </w:r>
      <w:r>
        <w:rPr>
          <w:rFonts w:hint="default" w:ascii="Times New Roman" w:hAnsi="Times New Roman" w:cs="Times New Roman"/>
          <w:sz w:val="24"/>
          <w:u w:val="single"/>
          <w:vertAlign w:val="superscript"/>
          <w:lang w:val="en-US" w:eastAsia="zh-CN"/>
        </w:rPr>
        <w:t>3</w:t>
      </w:r>
      <w:r>
        <w:rPr>
          <w:rFonts w:hint="default" w:ascii="Times New Roman" w:hAnsi="Times New Roman" w:cs="Times New Roman"/>
          <w:sz w:val="24"/>
          <w:u w:val="single"/>
          <w:lang w:val="en-US" w:eastAsia="zh-CN"/>
        </w:rPr>
        <w:t>，则</w:t>
      </w:r>
      <w:r>
        <w:rPr>
          <w:rFonts w:hint="eastAsia" w:ascii="Times New Roman" w:hAnsi="Times New Roman" w:cs="Times New Roman"/>
          <w:sz w:val="24"/>
          <w:u w:val="single"/>
          <w:lang w:val="en-US" w:eastAsia="zh-CN"/>
        </w:rPr>
        <w:t>废液</w:t>
      </w:r>
      <w:r>
        <w:rPr>
          <w:rFonts w:hint="default" w:ascii="Times New Roman" w:hAnsi="Times New Roman" w:cs="Times New Roman"/>
          <w:sz w:val="24"/>
          <w:u w:val="single"/>
          <w:lang w:val="en-US" w:eastAsia="zh-CN"/>
        </w:rPr>
        <w:t>最大在线量为42.</w:t>
      </w:r>
      <w:r>
        <w:rPr>
          <w:rFonts w:hint="eastAsia" w:ascii="Times New Roman" w:hAnsi="Times New Roman" w:cs="Times New Roman"/>
          <w:sz w:val="24"/>
          <w:u w:val="single"/>
          <w:lang w:val="en-US" w:eastAsia="zh-CN"/>
        </w:rPr>
        <w:t>5</w:t>
      </w:r>
      <w:r>
        <w:rPr>
          <w:rFonts w:hint="default" w:ascii="Times New Roman" w:hAnsi="Times New Roman" w:cs="Times New Roman"/>
          <w:sz w:val="24"/>
          <w:u w:val="single"/>
          <w:lang w:val="en-US" w:eastAsia="zh-CN"/>
        </w:rPr>
        <w:t>t。</w:t>
      </w:r>
    </w:p>
    <w:p w14:paraId="0DF1837A">
      <w:pPr>
        <w:widowControl/>
        <w:spacing w:line="500" w:lineRule="exact"/>
        <w:ind w:firstLine="480"/>
        <w:jc w:val="left"/>
        <w:rPr>
          <w:kern w:val="0"/>
          <w:sz w:val="24"/>
          <w:u w:val="none"/>
        </w:rPr>
      </w:pPr>
      <w:r>
        <w:rPr>
          <w:kern w:val="0"/>
          <w:sz w:val="24"/>
          <w:u w:val="none"/>
        </w:rPr>
        <w:t>危险物质数量以及分布情况见表1.</w:t>
      </w:r>
      <w:r>
        <w:rPr>
          <w:rFonts w:hint="eastAsia"/>
          <w:kern w:val="0"/>
          <w:sz w:val="24"/>
          <w:u w:val="none"/>
        </w:rPr>
        <w:t>3</w:t>
      </w:r>
      <w:r>
        <w:rPr>
          <w:kern w:val="0"/>
          <w:sz w:val="24"/>
          <w:u w:val="none"/>
        </w:rPr>
        <w:t>-1。</w:t>
      </w:r>
    </w:p>
    <w:p w14:paraId="49356AEC">
      <w:pPr>
        <w:keepNext/>
        <w:keepLines/>
        <w:widowControl/>
        <w:tabs>
          <w:tab w:val="left" w:pos="795"/>
        </w:tabs>
        <w:spacing w:line="500" w:lineRule="exact"/>
        <w:ind w:left="795"/>
        <w:jc w:val="center"/>
        <w:outlineLvl w:val="3"/>
        <w:rPr>
          <w:b/>
          <w:kern w:val="0"/>
          <w:sz w:val="24"/>
          <w:u w:val="none"/>
        </w:rPr>
      </w:pPr>
      <w:r>
        <w:rPr>
          <w:b/>
          <w:kern w:val="0"/>
          <w:sz w:val="24"/>
          <w:u w:val="none"/>
        </w:rPr>
        <w:t>表1.</w:t>
      </w:r>
      <w:r>
        <w:rPr>
          <w:rFonts w:hint="eastAsia"/>
          <w:b/>
          <w:kern w:val="0"/>
          <w:sz w:val="24"/>
          <w:u w:val="none"/>
        </w:rPr>
        <w:t>3</w:t>
      </w:r>
      <w:r>
        <w:rPr>
          <w:b/>
          <w:kern w:val="0"/>
          <w:sz w:val="24"/>
          <w:u w:val="none"/>
        </w:rPr>
        <w:t>-1  危险物质分布情况表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907"/>
        <w:gridCol w:w="1379"/>
        <w:gridCol w:w="2013"/>
        <w:gridCol w:w="1604"/>
        <w:gridCol w:w="1422"/>
      </w:tblGrid>
      <w:tr w14:paraId="4651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5" w:type="pct"/>
            <w:vAlign w:val="center"/>
          </w:tcPr>
          <w:p w14:paraId="56F50C37">
            <w:pPr>
              <w:spacing w:line="240" w:lineRule="exact"/>
              <w:ind w:left="0" w:leftChars="0" w:right="0" w:rightChars="0" w:firstLine="0" w:firstLineChars="0"/>
              <w:jc w:val="center"/>
              <w:rPr>
                <w:color w:val="000000"/>
                <w:szCs w:val="21"/>
                <w:u w:val="none"/>
              </w:rPr>
            </w:pPr>
            <w:r>
              <w:rPr>
                <w:rFonts w:hint="eastAsia"/>
                <w:color w:val="000000"/>
                <w:szCs w:val="21"/>
                <w:u w:val="none"/>
              </w:rPr>
              <w:t>序号</w:t>
            </w:r>
          </w:p>
        </w:tc>
        <w:tc>
          <w:tcPr>
            <w:tcW w:w="1052" w:type="pct"/>
            <w:vAlign w:val="center"/>
          </w:tcPr>
          <w:p w14:paraId="586D4297">
            <w:pPr>
              <w:spacing w:line="240" w:lineRule="exact"/>
              <w:ind w:left="0" w:leftChars="0" w:right="0" w:rightChars="0" w:firstLine="0" w:firstLineChars="0"/>
              <w:jc w:val="center"/>
              <w:rPr>
                <w:color w:val="000000"/>
                <w:szCs w:val="21"/>
                <w:u w:val="none"/>
              </w:rPr>
            </w:pPr>
            <w:r>
              <w:rPr>
                <w:rFonts w:hint="eastAsia"/>
                <w:color w:val="000000"/>
                <w:szCs w:val="21"/>
                <w:u w:val="none"/>
              </w:rPr>
              <w:t>物质名称</w:t>
            </w:r>
          </w:p>
        </w:tc>
        <w:tc>
          <w:tcPr>
            <w:tcW w:w="761" w:type="pct"/>
            <w:vAlign w:val="center"/>
          </w:tcPr>
          <w:p w14:paraId="112FE02D">
            <w:pPr>
              <w:spacing w:line="240" w:lineRule="exact"/>
              <w:ind w:left="0" w:leftChars="0" w:right="0" w:rightChars="0" w:firstLine="0" w:firstLineChars="0"/>
              <w:jc w:val="center"/>
              <w:rPr>
                <w:color w:val="000000"/>
                <w:szCs w:val="21"/>
                <w:u w:val="none"/>
              </w:rPr>
            </w:pPr>
            <w:r>
              <w:rPr>
                <w:color w:val="000000"/>
                <w:szCs w:val="21"/>
                <w:u w:val="none"/>
              </w:rPr>
              <w:t>CAS</w:t>
            </w:r>
            <w:r>
              <w:rPr>
                <w:rFonts w:hint="eastAsia"/>
                <w:color w:val="000000"/>
                <w:szCs w:val="21"/>
                <w:u w:val="none"/>
              </w:rPr>
              <w:t>号</w:t>
            </w:r>
          </w:p>
        </w:tc>
        <w:tc>
          <w:tcPr>
            <w:tcW w:w="1111" w:type="pct"/>
            <w:vAlign w:val="center"/>
          </w:tcPr>
          <w:p w14:paraId="6941AD8A">
            <w:pPr>
              <w:spacing w:line="240" w:lineRule="exact"/>
              <w:ind w:left="0" w:leftChars="0" w:right="0" w:rightChars="0" w:firstLine="0" w:firstLineChars="0"/>
              <w:jc w:val="center"/>
              <w:rPr>
                <w:color w:val="000000"/>
                <w:szCs w:val="21"/>
                <w:u w:val="none"/>
              </w:rPr>
            </w:pPr>
            <w:r>
              <w:rPr>
                <w:rFonts w:hint="eastAsia"/>
                <w:color w:val="000000"/>
                <w:szCs w:val="21"/>
                <w:u w:val="none"/>
              </w:rPr>
              <w:t>厂内最大存在量</w:t>
            </w:r>
            <w:r>
              <w:rPr>
                <w:color w:val="000000"/>
                <w:szCs w:val="21"/>
                <w:u w:val="none"/>
              </w:rPr>
              <w:t>qn/t</w:t>
            </w:r>
          </w:p>
        </w:tc>
        <w:tc>
          <w:tcPr>
            <w:tcW w:w="885" w:type="pct"/>
            <w:vAlign w:val="center"/>
          </w:tcPr>
          <w:p w14:paraId="77034FA0">
            <w:pPr>
              <w:spacing w:line="240" w:lineRule="exact"/>
              <w:ind w:left="0" w:leftChars="0" w:right="0" w:rightChars="0" w:firstLine="0" w:firstLineChars="0"/>
              <w:jc w:val="center"/>
              <w:rPr>
                <w:color w:val="000000"/>
                <w:szCs w:val="21"/>
                <w:u w:val="none"/>
              </w:rPr>
            </w:pPr>
            <w:r>
              <w:rPr>
                <w:rFonts w:hint="eastAsia"/>
                <w:color w:val="000000"/>
                <w:szCs w:val="21"/>
                <w:u w:val="none"/>
              </w:rPr>
              <w:t>最大临界量</w:t>
            </w:r>
            <w:r>
              <w:rPr>
                <w:color w:val="000000"/>
                <w:szCs w:val="21"/>
                <w:u w:val="none"/>
              </w:rPr>
              <w:t>Qn/t</w:t>
            </w:r>
          </w:p>
        </w:tc>
        <w:tc>
          <w:tcPr>
            <w:tcW w:w="784" w:type="pct"/>
            <w:vAlign w:val="center"/>
          </w:tcPr>
          <w:p w14:paraId="45412EE9">
            <w:pPr>
              <w:spacing w:line="240" w:lineRule="exact"/>
              <w:ind w:left="0" w:leftChars="0" w:right="0" w:rightChars="0" w:firstLine="0" w:firstLineChars="0"/>
              <w:jc w:val="center"/>
              <w:rPr>
                <w:color w:val="000000"/>
                <w:szCs w:val="21"/>
                <w:u w:val="none"/>
              </w:rPr>
            </w:pPr>
            <w:r>
              <w:rPr>
                <w:rFonts w:hint="eastAsia"/>
                <w:color w:val="000000"/>
                <w:szCs w:val="21"/>
                <w:u w:val="none"/>
              </w:rPr>
              <w:t>该物质</w:t>
            </w:r>
            <w:r>
              <w:rPr>
                <w:color w:val="000000"/>
                <w:szCs w:val="21"/>
                <w:u w:val="none"/>
              </w:rPr>
              <w:t>Q</w:t>
            </w:r>
            <w:r>
              <w:rPr>
                <w:rFonts w:hint="eastAsia"/>
                <w:color w:val="000000"/>
                <w:szCs w:val="21"/>
                <w:u w:val="none"/>
              </w:rPr>
              <w:t>值</w:t>
            </w:r>
          </w:p>
        </w:tc>
      </w:tr>
      <w:tr w14:paraId="29C0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5263DE5C">
            <w:pPr>
              <w:spacing w:line="240" w:lineRule="exact"/>
              <w:ind w:left="0" w:leftChars="0" w:right="0" w:rightChars="0" w:firstLine="0" w:firstLineChars="0"/>
              <w:jc w:val="center"/>
              <w:rPr>
                <w:color w:val="000000"/>
                <w:szCs w:val="21"/>
                <w:u w:val="none"/>
              </w:rPr>
            </w:pPr>
            <w:r>
              <w:rPr>
                <w:color w:val="000000"/>
                <w:szCs w:val="21"/>
                <w:u w:val="none"/>
              </w:rPr>
              <w:t>1</w:t>
            </w:r>
          </w:p>
        </w:tc>
        <w:tc>
          <w:tcPr>
            <w:tcW w:w="1052" w:type="pct"/>
            <w:vAlign w:val="center"/>
          </w:tcPr>
          <w:p w14:paraId="48A18BAB">
            <w:pPr>
              <w:spacing w:line="240" w:lineRule="exact"/>
              <w:ind w:left="0" w:leftChars="0" w:right="0" w:rightChars="0" w:firstLine="0" w:firstLineChars="0"/>
              <w:jc w:val="center"/>
              <w:rPr>
                <w:rFonts w:hint="eastAsia" w:eastAsia="宋体"/>
                <w:szCs w:val="21"/>
                <w:u w:val="none"/>
                <w:lang w:eastAsia="zh-CN"/>
              </w:rPr>
            </w:pPr>
            <w:r>
              <w:rPr>
                <w:rFonts w:hint="eastAsia"/>
                <w:szCs w:val="21"/>
                <w:u w:val="none"/>
                <w:lang w:val="en-US" w:eastAsia="zh-CN"/>
              </w:rPr>
              <w:t>丙酸</w:t>
            </w:r>
          </w:p>
        </w:tc>
        <w:tc>
          <w:tcPr>
            <w:tcW w:w="761" w:type="pct"/>
            <w:vAlign w:val="center"/>
          </w:tcPr>
          <w:p w14:paraId="262A6310">
            <w:pPr>
              <w:spacing w:line="240" w:lineRule="exact"/>
              <w:ind w:left="0" w:leftChars="0" w:right="0" w:rightChars="0" w:firstLine="0" w:firstLineChars="0"/>
              <w:jc w:val="center"/>
              <w:rPr>
                <w:color w:val="000000"/>
                <w:szCs w:val="21"/>
                <w:u w:val="none"/>
              </w:rPr>
            </w:pPr>
            <w:r>
              <w:rPr>
                <w:color w:val="000000"/>
                <w:szCs w:val="21"/>
                <w:u w:val="none"/>
              </w:rPr>
              <w:t>79-09-4</w:t>
            </w:r>
          </w:p>
        </w:tc>
        <w:tc>
          <w:tcPr>
            <w:tcW w:w="1111" w:type="pct"/>
            <w:vAlign w:val="center"/>
          </w:tcPr>
          <w:p w14:paraId="7DF18071">
            <w:pPr>
              <w:spacing w:line="240" w:lineRule="exact"/>
              <w:ind w:left="0" w:leftChars="0" w:right="0" w:rightChars="0" w:firstLine="0" w:firstLineChars="0"/>
              <w:jc w:val="center"/>
              <w:rPr>
                <w:rFonts w:hint="default" w:eastAsia="宋体"/>
                <w:szCs w:val="21"/>
                <w:u w:val="none"/>
                <w:lang w:val="en-US" w:eastAsia="zh-CN"/>
              </w:rPr>
            </w:pPr>
            <w:r>
              <w:rPr>
                <w:rFonts w:hint="eastAsia"/>
                <w:szCs w:val="21"/>
                <w:u w:val="none"/>
                <w:lang w:val="en-US" w:eastAsia="zh-CN"/>
              </w:rPr>
              <w:t>42.375</w:t>
            </w:r>
          </w:p>
        </w:tc>
        <w:tc>
          <w:tcPr>
            <w:tcW w:w="885" w:type="pct"/>
            <w:vAlign w:val="center"/>
          </w:tcPr>
          <w:p w14:paraId="3FEA3261">
            <w:pPr>
              <w:spacing w:line="240" w:lineRule="exact"/>
              <w:ind w:left="0" w:leftChars="0" w:right="0" w:rightChars="0" w:firstLine="0" w:firstLineChars="0"/>
              <w:jc w:val="center"/>
              <w:rPr>
                <w:rFonts w:hint="default" w:eastAsia="宋体"/>
                <w:szCs w:val="21"/>
                <w:u w:val="none"/>
                <w:lang w:val="en-US" w:eastAsia="zh-CN"/>
              </w:rPr>
            </w:pPr>
            <w:r>
              <w:rPr>
                <w:rFonts w:hint="eastAsia"/>
                <w:szCs w:val="21"/>
                <w:u w:val="none"/>
                <w:lang w:val="en-US" w:eastAsia="zh-CN"/>
              </w:rPr>
              <w:t>100</w:t>
            </w:r>
          </w:p>
        </w:tc>
        <w:tc>
          <w:tcPr>
            <w:tcW w:w="784" w:type="pct"/>
            <w:vAlign w:val="center"/>
          </w:tcPr>
          <w:p w14:paraId="46680279">
            <w:pPr>
              <w:spacing w:line="240" w:lineRule="exact"/>
              <w:ind w:left="0" w:leftChars="0" w:right="0" w:rightChars="0" w:firstLine="0" w:firstLineChars="0"/>
              <w:jc w:val="center"/>
              <w:rPr>
                <w:rFonts w:hint="default" w:eastAsia="宋体"/>
                <w:szCs w:val="21"/>
                <w:u w:val="none"/>
                <w:lang w:val="en-US" w:eastAsia="zh-CN"/>
              </w:rPr>
            </w:pPr>
            <w:r>
              <w:rPr>
                <w:rFonts w:hint="eastAsia"/>
                <w:szCs w:val="21"/>
                <w:u w:val="none"/>
                <w:lang w:val="en-US" w:eastAsia="zh-CN"/>
              </w:rPr>
              <w:t>0.4238</w:t>
            </w:r>
          </w:p>
        </w:tc>
      </w:tr>
      <w:tr w14:paraId="6FB3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74F008E4">
            <w:pPr>
              <w:spacing w:line="240" w:lineRule="exact"/>
              <w:ind w:left="0" w:leftChars="0" w:right="0" w:rightChars="0" w:firstLine="0" w:firstLineChars="0"/>
              <w:jc w:val="center"/>
              <w:rPr>
                <w:rFonts w:hint="eastAsia" w:eastAsia="宋体"/>
                <w:color w:val="000000"/>
                <w:szCs w:val="21"/>
                <w:u w:val="single"/>
                <w:lang w:val="en-US" w:eastAsia="zh-CN"/>
              </w:rPr>
            </w:pPr>
            <w:r>
              <w:rPr>
                <w:rFonts w:hint="eastAsia"/>
                <w:color w:val="000000"/>
                <w:szCs w:val="21"/>
                <w:u w:val="single"/>
                <w:lang w:val="en-US" w:eastAsia="zh-CN"/>
              </w:rPr>
              <w:t>2</w:t>
            </w:r>
          </w:p>
        </w:tc>
        <w:tc>
          <w:tcPr>
            <w:tcW w:w="1052" w:type="pct"/>
            <w:vAlign w:val="center"/>
          </w:tcPr>
          <w:p w14:paraId="404F9780">
            <w:pPr>
              <w:spacing w:line="240" w:lineRule="exact"/>
              <w:ind w:left="0" w:leftChars="0" w:right="0" w:rightChars="0" w:firstLine="0" w:firstLineChars="0"/>
              <w:jc w:val="center"/>
              <w:rPr>
                <w:rFonts w:hint="default"/>
                <w:szCs w:val="21"/>
                <w:u w:val="single"/>
                <w:lang w:val="en-US" w:eastAsia="zh-CN"/>
              </w:rPr>
            </w:pPr>
            <w:r>
              <w:rPr>
                <w:rFonts w:hint="eastAsia"/>
                <w:szCs w:val="21"/>
                <w:u w:val="single"/>
                <w:lang w:val="en-US" w:eastAsia="zh-CN"/>
              </w:rPr>
              <w:t>废液</w:t>
            </w:r>
          </w:p>
        </w:tc>
        <w:tc>
          <w:tcPr>
            <w:tcW w:w="761" w:type="pct"/>
            <w:vAlign w:val="center"/>
          </w:tcPr>
          <w:p w14:paraId="11C70394">
            <w:pPr>
              <w:spacing w:line="240" w:lineRule="exact"/>
              <w:ind w:left="0" w:leftChars="0" w:right="0" w:rightChars="0" w:firstLine="0" w:firstLineChars="0"/>
              <w:jc w:val="center"/>
              <w:rPr>
                <w:rFonts w:hint="eastAsia" w:eastAsia="宋体"/>
                <w:color w:val="000000"/>
                <w:szCs w:val="21"/>
                <w:u w:val="single"/>
                <w:lang w:val="en-US" w:eastAsia="zh-CN"/>
              </w:rPr>
            </w:pPr>
            <w:r>
              <w:rPr>
                <w:rFonts w:hint="eastAsia"/>
                <w:color w:val="000000"/>
                <w:szCs w:val="21"/>
                <w:u w:val="single"/>
                <w:lang w:val="en-US" w:eastAsia="zh-CN"/>
              </w:rPr>
              <w:t>/</w:t>
            </w:r>
          </w:p>
        </w:tc>
        <w:tc>
          <w:tcPr>
            <w:tcW w:w="1111" w:type="pct"/>
            <w:vAlign w:val="center"/>
          </w:tcPr>
          <w:p w14:paraId="50A84F87">
            <w:pPr>
              <w:spacing w:line="240" w:lineRule="exact"/>
              <w:ind w:left="0" w:leftChars="0" w:right="0" w:rightChars="0" w:firstLine="0" w:firstLineChars="0"/>
              <w:jc w:val="center"/>
              <w:rPr>
                <w:rFonts w:hint="default"/>
                <w:szCs w:val="21"/>
                <w:u w:val="single"/>
                <w:lang w:val="en-US" w:eastAsia="zh-CN"/>
              </w:rPr>
            </w:pPr>
            <w:r>
              <w:rPr>
                <w:rFonts w:hint="eastAsia"/>
                <w:szCs w:val="21"/>
                <w:u w:val="single"/>
                <w:lang w:val="en-US" w:eastAsia="zh-CN"/>
              </w:rPr>
              <w:t>42.50</w:t>
            </w:r>
          </w:p>
        </w:tc>
        <w:tc>
          <w:tcPr>
            <w:tcW w:w="885" w:type="pct"/>
            <w:vAlign w:val="center"/>
          </w:tcPr>
          <w:p w14:paraId="4EF255F1">
            <w:pPr>
              <w:spacing w:line="240" w:lineRule="exact"/>
              <w:ind w:left="0" w:leftChars="0" w:right="0" w:rightChars="0" w:firstLine="0" w:firstLineChars="0"/>
              <w:jc w:val="center"/>
              <w:rPr>
                <w:rFonts w:hint="default"/>
                <w:szCs w:val="21"/>
                <w:u w:val="single"/>
                <w:lang w:val="en-US" w:eastAsia="zh-CN"/>
              </w:rPr>
            </w:pPr>
            <w:r>
              <w:rPr>
                <w:rFonts w:hint="eastAsia"/>
                <w:szCs w:val="21"/>
                <w:u w:val="single"/>
                <w:lang w:val="en-US" w:eastAsia="zh-CN"/>
              </w:rPr>
              <w:t>10</w:t>
            </w:r>
          </w:p>
        </w:tc>
        <w:tc>
          <w:tcPr>
            <w:tcW w:w="784" w:type="pct"/>
            <w:vAlign w:val="center"/>
          </w:tcPr>
          <w:p w14:paraId="138B2025">
            <w:pPr>
              <w:spacing w:line="240" w:lineRule="exact"/>
              <w:ind w:left="0" w:leftChars="0" w:right="0" w:rightChars="0" w:firstLine="0" w:firstLineChars="0"/>
              <w:jc w:val="center"/>
              <w:rPr>
                <w:rFonts w:hint="default"/>
                <w:szCs w:val="21"/>
                <w:u w:val="single"/>
                <w:lang w:val="en-US" w:eastAsia="zh-CN"/>
              </w:rPr>
            </w:pPr>
            <w:r>
              <w:rPr>
                <w:rFonts w:hint="eastAsia"/>
                <w:szCs w:val="21"/>
                <w:u w:val="single"/>
                <w:lang w:val="en-US" w:eastAsia="zh-CN"/>
              </w:rPr>
              <w:t>4.250</w:t>
            </w:r>
          </w:p>
        </w:tc>
      </w:tr>
      <w:tr w14:paraId="5F5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5" w:type="pct"/>
            <w:vAlign w:val="center"/>
          </w:tcPr>
          <w:p w14:paraId="0B2B35B7">
            <w:pPr>
              <w:spacing w:line="240" w:lineRule="exact"/>
              <w:ind w:left="0" w:leftChars="0" w:right="0" w:rightChars="0" w:firstLine="0" w:firstLineChars="0"/>
              <w:jc w:val="center"/>
              <w:rPr>
                <w:rFonts w:hint="eastAsia" w:eastAsia="宋体"/>
                <w:color w:val="000000"/>
                <w:szCs w:val="21"/>
                <w:u w:val="none"/>
                <w:lang w:val="en-US" w:eastAsia="zh-CN"/>
              </w:rPr>
            </w:pPr>
            <w:r>
              <w:rPr>
                <w:rFonts w:hint="eastAsia"/>
                <w:color w:val="000000"/>
                <w:szCs w:val="21"/>
                <w:u w:val="none"/>
                <w:lang w:val="en-US" w:eastAsia="zh-CN"/>
              </w:rPr>
              <w:t>3</w:t>
            </w:r>
          </w:p>
        </w:tc>
        <w:tc>
          <w:tcPr>
            <w:tcW w:w="1052" w:type="pct"/>
            <w:shd w:val="clear" w:color="auto" w:fill="auto"/>
            <w:vAlign w:val="center"/>
          </w:tcPr>
          <w:p w14:paraId="6A46ABE9">
            <w:pPr>
              <w:spacing w:line="240" w:lineRule="exact"/>
              <w:ind w:left="0" w:leftChars="0" w:right="0" w:rightChars="0" w:firstLine="0" w:firstLineChars="0"/>
              <w:jc w:val="center"/>
              <w:rPr>
                <w:rFonts w:hint="default" w:ascii="Times New Roman" w:hAnsi="Times New Roman" w:eastAsia="宋体" w:cs="Times New Roman"/>
                <w:kern w:val="2"/>
                <w:sz w:val="21"/>
                <w:szCs w:val="21"/>
                <w:u w:val="none"/>
                <w:lang w:val="en-US" w:eastAsia="zh-CN" w:bidi="ar-SA"/>
              </w:rPr>
            </w:pPr>
            <w:r>
              <w:rPr>
                <w:rFonts w:hint="eastAsia"/>
                <w:szCs w:val="21"/>
                <w:u w:val="none"/>
                <w:lang w:val="en-US" w:eastAsia="zh-CN"/>
              </w:rPr>
              <w:t>醋酸</w:t>
            </w:r>
          </w:p>
        </w:tc>
        <w:tc>
          <w:tcPr>
            <w:tcW w:w="761" w:type="pct"/>
            <w:shd w:val="clear" w:color="auto" w:fill="auto"/>
            <w:vAlign w:val="center"/>
          </w:tcPr>
          <w:p w14:paraId="781A39EE">
            <w:pPr>
              <w:spacing w:line="240" w:lineRule="exact"/>
              <w:ind w:left="0" w:leftChars="0" w:right="0" w:rightChars="0" w:firstLine="0" w:firstLineChars="0"/>
              <w:jc w:val="center"/>
              <w:rPr>
                <w:rFonts w:hint="default" w:ascii="Times New Roman" w:hAnsi="Times New Roman" w:eastAsia="宋体" w:cs="Times New Roman"/>
                <w:color w:val="000000"/>
                <w:kern w:val="2"/>
                <w:sz w:val="21"/>
                <w:szCs w:val="21"/>
                <w:u w:val="none"/>
                <w:lang w:val="en-US" w:eastAsia="zh-CN" w:bidi="ar-SA"/>
              </w:rPr>
            </w:pPr>
            <w:r>
              <w:rPr>
                <w:rFonts w:hint="eastAsia"/>
                <w:color w:val="000000"/>
                <w:szCs w:val="21"/>
                <w:u w:val="none"/>
                <w:lang w:val="en-US" w:eastAsia="zh-CN"/>
              </w:rPr>
              <w:t>64-19-7</w:t>
            </w:r>
          </w:p>
        </w:tc>
        <w:tc>
          <w:tcPr>
            <w:tcW w:w="1111" w:type="pct"/>
            <w:shd w:val="clear" w:color="auto" w:fill="auto"/>
            <w:vAlign w:val="center"/>
          </w:tcPr>
          <w:p w14:paraId="266A6C34">
            <w:pPr>
              <w:spacing w:line="240" w:lineRule="exact"/>
              <w:ind w:left="0" w:leftChars="0" w:right="0" w:rightChars="0" w:firstLine="0" w:firstLineChars="0"/>
              <w:jc w:val="center"/>
              <w:rPr>
                <w:rFonts w:hint="default" w:ascii="Times New Roman" w:hAnsi="Times New Roman" w:eastAsia="宋体" w:cs="Times New Roman"/>
                <w:kern w:val="2"/>
                <w:sz w:val="21"/>
                <w:szCs w:val="21"/>
                <w:u w:val="none"/>
                <w:lang w:val="en-US" w:eastAsia="zh-CN" w:bidi="ar-SA"/>
              </w:rPr>
            </w:pPr>
            <w:r>
              <w:rPr>
                <w:rFonts w:hint="eastAsia"/>
                <w:szCs w:val="21"/>
                <w:u w:val="none"/>
                <w:lang w:val="en-US" w:eastAsia="zh-CN"/>
              </w:rPr>
              <w:t>1601.32</w:t>
            </w:r>
          </w:p>
        </w:tc>
        <w:tc>
          <w:tcPr>
            <w:tcW w:w="885" w:type="pct"/>
            <w:shd w:val="clear" w:color="auto" w:fill="auto"/>
            <w:vAlign w:val="center"/>
          </w:tcPr>
          <w:p w14:paraId="5B0318C2">
            <w:pPr>
              <w:spacing w:line="240" w:lineRule="exact"/>
              <w:ind w:left="0" w:leftChars="0" w:right="0" w:rightChars="0" w:firstLine="0" w:firstLineChars="0"/>
              <w:jc w:val="center"/>
              <w:rPr>
                <w:rFonts w:hint="default" w:ascii="Times New Roman" w:hAnsi="Times New Roman" w:eastAsia="宋体" w:cs="Times New Roman"/>
                <w:kern w:val="2"/>
                <w:sz w:val="21"/>
                <w:szCs w:val="21"/>
                <w:u w:val="none"/>
                <w:lang w:val="en-US" w:eastAsia="zh-CN" w:bidi="ar-SA"/>
              </w:rPr>
            </w:pPr>
            <w:r>
              <w:rPr>
                <w:rFonts w:hint="eastAsia"/>
                <w:szCs w:val="21"/>
                <w:u w:val="none"/>
                <w:lang w:val="en-US" w:eastAsia="zh-CN"/>
              </w:rPr>
              <w:t>10</w:t>
            </w:r>
          </w:p>
        </w:tc>
        <w:tc>
          <w:tcPr>
            <w:tcW w:w="784" w:type="pct"/>
            <w:shd w:val="clear" w:color="auto" w:fill="auto"/>
            <w:vAlign w:val="center"/>
          </w:tcPr>
          <w:p w14:paraId="41BC9C82">
            <w:pPr>
              <w:spacing w:line="240" w:lineRule="exact"/>
              <w:ind w:left="0" w:leftChars="0" w:right="0" w:rightChars="0" w:firstLine="0" w:firstLineChars="0"/>
              <w:jc w:val="center"/>
              <w:rPr>
                <w:rFonts w:hint="default" w:ascii="Times New Roman" w:hAnsi="Times New Roman" w:eastAsia="宋体" w:cs="Times New Roman"/>
                <w:kern w:val="2"/>
                <w:sz w:val="21"/>
                <w:szCs w:val="21"/>
                <w:u w:val="none"/>
                <w:lang w:val="en-US" w:eastAsia="zh-CN" w:bidi="ar-SA"/>
              </w:rPr>
            </w:pPr>
            <w:r>
              <w:rPr>
                <w:rFonts w:hint="eastAsia"/>
                <w:szCs w:val="21"/>
                <w:u w:val="none"/>
                <w:lang w:val="en-US" w:eastAsia="zh-CN"/>
              </w:rPr>
              <w:t>160.132</w:t>
            </w:r>
          </w:p>
        </w:tc>
      </w:tr>
      <w:tr w14:paraId="1003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5" w:type="pct"/>
            <w:gridSpan w:val="5"/>
            <w:vAlign w:val="center"/>
          </w:tcPr>
          <w:p w14:paraId="5D933AB6">
            <w:pPr>
              <w:spacing w:line="240" w:lineRule="exact"/>
              <w:ind w:left="0" w:leftChars="0" w:right="0" w:rightChars="0" w:firstLine="0" w:firstLineChars="0"/>
              <w:jc w:val="center"/>
              <w:rPr>
                <w:color w:val="000000"/>
                <w:szCs w:val="21"/>
                <w:u w:val="none"/>
              </w:rPr>
            </w:pPr>
            <w:r>
              <w:rPr>
                <w:rFonts w:hint="eastAsia"/>
                <w:szCs w:val="21"/>
                <w:u w:val="none"/>
                <w:lang w:val="en-US" w:eastAsia="zh-CN"/>
              </w:rPr>
              <w:t>项目Q值</w:t>
            </w:r>
          </w:p>
        </w:tc>
        <w:tc>
          <w:tcPr>
            <w:tcW w:w="784" w:type="pct"/>
            <w:vAlign w:val="center"/>
          </w:tcPr>
          <w:p w14:paraId="4D3B23A3">
            <w:pPr>
              <w:spacing w:line="240" w:lineRule="exact"/>
              <w:ind w:left="0" w:leftChars="0" w:right="0" w:rightChars="0" w:firstLine="0" w:firstLineChars="0"/>
              <w:jc w:val="center"/>
              <w:rPr>
                <w:rFonts w:hint="default" w:eastAsia="宋体"/>
                <w:color w:val="000000"/>
                <w:szCs w:val="21"/>
                <w:u w:val="none"/>
                <w:lang w:val="en-US" w:eastAsia="zh-CN"/>
              </w:rPr>
            </w:pPr>
            <w:r>
              <w:rPr>
                <w:rFonts w:hint="eastAsia"/>
                <w:color w:val="000000"/>
                <w:szCs w:val="21"/>
                <w:u w:val="none"/>
                <w:lang w:val="en-US" w:eastAsia="zh-CN"/>
              </w:rPr>
              <w:t>164.8058</w:t>
            </w:r>
          </w:p>
        </w:tc>
      </w:tr>
    </w:tbl>
    <w:p w14:paraId="754F2466">
      <w:pPr>
        <w:spacing w:line="500" w:lineRule="exact"/>
        <w:ind w:firstLine="480" w:firstLineChars="200"/>
        <w:jc w:val="left"/>
        <w:rPr>
          <w:kern w:val="0"/>
          <w:sz w:val="24"/>
          <w:szCs w:val="20"/>
        </w:rPr>
      </w:pPr>
      <w:r>
        <w:rPr>
          <w:kern w:val="0"/>
          <w:sz w:val="24"/>
          <w:szCs w:val="20"/>
        </w:rPr>
        <w:t>2．生产工艺特点</w:t>
      </w:r>
    </w:p>
    <w:p w14:paraId="26A9991B">
      <w:pPr>
        <w:widowControl/>
        <w:spacing w:line="500" w:lineRule="exact"/>
        <w:ind w:firstLine="480"/>
        <w:jc w:val="left"/>
        <w:rPr>
          <w:kern w:val="0"/>
          <w:sz w:val="24"/>
        </w:rPr>
      </w:pPr>
      <w:r>
        <w:rPr>
          <w:kern w:val="0"/>
          <w:sz w:val="24"/>
        </w:rPr>
        <w:t>根据《国家安全监管总局关于公布首批重点监管的危险化工工艺目录的通知》（安监总管三〔2009〕116号）中附件1以及《国家安全监管总局关于公布第二批重点监管危险化工工艺目录和调整首批重点监管危险化工工艺中部分典型工艺的通知》（国家安监总管三〔2013〕3号），本项目不涉及重点监管的危险化工工艺。</w:t>
      </w:r>
    </w:p>
    <w:p w14:paraId="0B255C80">
      <w:pPr>
        <w:spacing w:line="500" w:lineRule="exact"/>
        <w:ind w:firstLine="480" w:firstLineChars="200"/>
        <w:jc w:val="left"/>
        <w:rPr>
          <w:kern w:val="0"/>
          <w:sz w:val="24"/>
          <w:szCs w:val="20"/>
        </w:rPr>
      </w:pPr>
      <w:r>
        <w:rPr>
          <w:kern w:val="0"/>
          <w:sz w:val="24"/>
          <w:szCs w:val="20"/>
        </w:rPr>
        <w:t>3．危险物质安全技术说明书（MSDS）</w:t>
      </w:r>
    </w:p>
    <w:p w14:paraId="7273FB7A">
      <w:pPr>
        <w:spacing w:line="500" w:lineRule="exact"/>
        <w:ind w:firstLine="480" w:firstLineChars="200"/>
        <w:jc w:val="left"/>
        <w:rPr>
          <w:kern w:val="0"/>
          <w:sz w:val="24"/>
          <w:szCs w:val="20"/>
        </w:rPr>
      </w:pPr>
      <w:r>
        <w:rPr>
          <w:rFonts w:hint="eastAsia"/>
          <w:kern w:val="0"/>
          <w:sz w:val="24"/>
          <w:szCs w:val="20"/>
        </w:rPr>
        <w:t>（1）</w:t>
      </w:r>
      <w:r>
        <w:rPr>
          <w:rFonts w:hint="eastAsia"/>
          <w:kern w:val="0"/>
          <w:sz w:val="24"/>
          <w:szCs w:val="20"/>
          <w:lang w:val="en-US" w:eastAsia="zh-CN"/>
        </w:rPr>
        <w:t>醋</w:t>
      </w:r>
      <w:r>
        <w:rPr>
          <w:rFonts w:hint="eastAsia"/>
          <w:kern w:val="0"/>
          <w:sz w:val="24"/>
          <w:szCs w:val="20"/>
        </w:rPr>
        <w:t>酸</w:t>
      </w:r>
    </w:p>
    <w:p w14:paraId="2CE8A0C7">
      <w:pPr>
        <w:spacing w:line="500" w:lineRule="exact"/>
        <w:ind w:firstLine="482" w:firstLineChars="200"/>
        <w:jc w:val="center"/>
        <w:rPr>
          <w:b/>
          <w:kern w:val="0"/>
          <w:sz w:val="24"/>
          <w:szCs w:val="20"/>
        </w:rPr>
      </w:pPr>
      <w:r>
        <w:rPr>
          <w:rFonts w:hint="eastAsia"/>
          <w:b/>
          <w:kern w:val="0"/>
          <w:sz w:val="24"/>
          <w:szCs w:val="20"/>
        </w:rPr>
        <w:t>表1.3-2</w:t>
      </w:r>
      <w:r>
        <w:rPr>
          <w:rFonts w:hint="eastAsia"/>
          <w:b/>
          <w:kern w:val="0"/>
          <w:sz w:val="24"/>
          <w:szCs w:val="20"/>
          <w:lang w:val="en-US" w:eastAsia="zh-CN"/>
        </w:rPr>
        <w:t>醋</w:t>
      </w:r>
      <w:r>
        <w:rPr>
          <w:rFonts w:hint="eastAsia"/>
          <w:b/>
          <w:kern w:val="0"/>
          <w:sz w:val="24"/>
          <w:szCs w:val="20"/>
        </w:rPr>
        <w:t>酸安全技术说明书</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669"/>
        <w:gridCol w:w="1013"/>
        <w:gridCol w:w="6757"/>
      </w:tblGrid>
      <w:tr w14:paraId="57F4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43F128CC">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标识</w:t>
            </w:r>
          </w:p>
        </w:tc>
        <w:tc>
          <w:tcPr>
            <w:tcW w:w="1800" w:type="dxa"/>
            <w:gridSpan w:val="2"/>
            <w:noWrap w:val="0"/>
            <w:vAlign w:val="center"/>
          </w:tcPr>
          <w:p w14:paraId="43C225F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中文名：</w:t>
            </w:r>
          </w:p>
        </w:tc>
        <w:tc>
          <w:tcPr>
            <w:tcW w:w="7244" w:type="dxa"/>
            <w:noWrap w:val="0"/>
            <w:vAlign w:val="center"/>
          </w:tcPr>
          <w:p w14:paraId="6AA9AB6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乙酸；醋酸                   英文名：</w:t>
            </w:r>
            <w:r>
              <w:rPr>
                <w:b w:val="0"/>
                <w:bCs w:val="0"/>
                <w:sz w:val="21"/>
                <w:szCs w:val="21"/>
              </w:rPr>
              <w:t>Acetic acid</w:t>
            </w:r>
          </w:p>
        </w:tc>
      </w:tr>
      <w:tr w14:paraId="3C59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17C69D0">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3C751F20">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分子式：</w:t>
            </w:r>
          </w:p>
        </w:tc>
        <w:tc>
          <w:tcPr>
            <w:tcW w:w="7244" w:type="dxa"/>
            <w:noWrap w:val="0"/>
            <w:vAlign w:val="center"/>
          </w:tcPr>
          <w:p w14:paraId="3FCF3C8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b w:val="0"/>
                <w:bCs w:val="0"/>
                <w:sz w:val="21"/>
                <w:szCs w:val="21"/>
              </w:rPr>
              <w:t>C</w:t>
            </w:r>
            <w:r>
              <w:rPr>
                <w:b w:val="0"/>
                <w:bCs w:val="0"/>
                <w:sz w:val="21"/>
                <w:szCs w:val="21"/>
                <w:vertAlign w:val="subscript"/>
              </w:rPr>
              <w:t>2</w:t>
            </w:r>
            <w:r>
              <w:rPr>
                <w:b w:val="0"/>
                <w:bCs w:val="0"/>
                <w:sz w:val="21"/>
                <w:szCs w:val="21"/>
              </w:rPr>
              <w:t>H</w:t>
            </w:r>
            <w:r>
              <w:rPr>
                <w:b w:val="0"/>
                <w:bCs w:val="0"/>
                <w:sz w:val="21"/>
                <w:szCs w:val="21"/>
                <w:vertAlign w:val="subscript"/>
              </w:rPr>
              <w:t>4</w:t>
            </w:r>
            <w:r>
              <w:rPr>
                <w:b w:val="0"/>
                <w:bCs w:val="0"/>
                <w:sz w:val="21"/>
                <w:szCs w:val="21"/>
              </w:rPr>
              <w:t>O</w:t>
            </w:r>
            <w:r>
              <w:rPr>
                <w:b w:val="0"/>
                <w:bCs w:val="0"/>
                <w:sz w:val="21"/>
                <w:szCs w:val="21"/>
                <w:vertAlign w:val="subscript"/>
              </w:rPr>
              <w:t>2</w:t>
            </w:r>
            <w:r>
              <w:rPr>
                <w:b w:val="0"/>
                <w:bCs w:val="0"/>
                <w:sz w:val="21"/>
                <w:szCs w:val="21"/>
              </w:rPr>
              <w:t xml:space="preserve">  </w:t>
            </w:r>
            <w:r>
              <w:rPr>
                <w:rFonts w:hint="eastAsia"/>
                <w:b w:val="0"/>
                <w:bCs w:val="0"/>
                <w:sz w:val="21"/>
                <w:szCs w:val="21"/>
              </w:rPr>
              <w:t xml:space="preserve">                    分子量：</w:t>
            </w:r>
            <w:r>
              <w:rPr>
                <w:b w:val="0"/>
                <w:bCs w:val="0"/>
                <w:sz w:val="21"/>
                <w:szCs w:val="21"/>
              </w:rPr>
              <w:t>60.05</w:t>
            </w:r>
          </w:p>
        </w:tc>
      </w:tr>
      <w:tr w14:paraId="5CEB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68E8F5F7">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4C23323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CAS号：</w:t>
            </w:r>
          </w:p>
        </w:tc>
        <w:tc>
          <w:tcPr>
            <w:tcW w:w="7244" w:type="dxa"/>
            <w:noWrap w:val="0"/>
            <w:vAlign w:val="center"/>
          </w:tcPr>
          <w:p w14:paraId="4BB3773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b w:val="0"/>
                <w:bCs w:val="0"/>
                <w:sz w:val="21"/>
                <w:szCs w:val="21"/>
              </w:rPr>
              <w:t xml:space="preserve">64-19-7   </w:t>
            </w:r>
            <w:r>
              <w:rPr>
                <w:rFonts w:hint="eastAsia"/>
                <w:b w:val="0"/>
                <w:bCs w:val="0"/>
                <w:sz w:val="21"/>
                <w:szCs w:val="21"/>
              </w:rPr>
              <w:t xml:space="preserve">                   RTECS号：</w:t>
            </w:r>
            <w:r>
              <w:rPr>
                <w:b w:val="0"/>
                <w:bCs w:val="0"/>
                <w:sz w:val="21"/>
                <w:szCs w:val="21"/>
              </w:rPr>
              <w:t>AF1225000  </w:t>
            </w:r>
          </w:p>
        </w:tc>
      </w:tr>
      <w:tr w14:paraId="4036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08A4F22E">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1E68EB8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UN编号：</w:t>
            </w:r>
          </w:p>
        </w:tc>
        <w:tc>
          <w:tcPr>
            <w:tcW w:w="7244" w:type="dxa"/>
            <w:noWrap w:val="0"/>
            <w:vAlign w:val="center"/>
          </w:tcPr>
          <w:p w14:paraId="118F306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b w:val="0"/>
                <w:bCs w:val="0"/>
                <w:sz w:val="21"/>
                <w:szCs w:val="21"/>
              </w:rPr>
              <w:t>2789  </w:t>
            </w:r>
            <w:r>
              <w:rPr>
                <w:rFonts w:hint="eastAsia"/>
                <w:b w:val="0"/>
                <w:bCs w:val="0"/>
                <w:sz w:val="21"/>
                <w:szCs w:val="21"/>
              </w:rPr>
              <w:t xml:space="preserve">     </w:t>
            </w:r>
          </w:p>
        </w:tc>
      </w:tr>
      <w:tr w14:paraId="5FED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C407B24">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1E8B858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危险货物编号：</w:t>
            </w:r>
          </w:p>
        </w:tc>
        <w:tc>
          <w:tcPr>
            <w:tcW w:w="7244" w:type="dxa"/>
            <w:noWrap w:val="0"/>
            <w:vAlign w:val="center"/>
          </w:tcPr>
          <w:p w14:paraId="09EF3824">
            <w:pPr>
              <w:keepNext w:val="0"/>
              <w:keepLines w:val="0"/>
              <w:pageBreakBefore w:val="0"/>
              <w:widowControl w:val="0"/>
              <w:kinsoku/>
              <w:wordWrap/>
              <w:overflowPunct/>
              <w:topLinePunct w:val="0"/>
              <w:autoSpaceDE/>
              <w:autoSpaceDN/>
              <w:bidi w:val="0"/>
              <w:adjustRightInd/>
              <w:snapToGrid/>
              <w:spacing w:line="240" w:lineRule="exact"/>
              <w:textAlignment w:val="auto"/>
              <w:rPr>
                <w:b w:val="0"/>
                <w:bCs w:val="0"/>
                <w:sz w:val="21"/>
                <w:szCs w:val="21"/>
              </w:rPr>
            </w:pPr>
            <w:r>
              <w:rPr>
                <w:b w:val="0"/>
                <w:bCs w:val="0"/>
                <w:sz w:val="21"/>
                <w:szCs w:val="21"/>
              </w:rPr>
              <w:t>81601</w:t>
            </w:r>
            <w:r>
              <w:rPr>
                <w:rFonts w:hint="eastAsia"/>
                <w:b w:val="0"/>
                <w:bCs w:val="0"/>
                <w:sz w:val="21"/>
                <w:szCs w:val="21"/>
              </w:rPr>
              <w:t xml:space="preserve">                      IMDG规则页码：</w:t>
            </w:r>
            <w:r>
              <w:rPr>
                <w:b w:val="0"/>
                <w:bCs w:val="0"/>
                <w:sz w:val="21"/>
                <w:szCs w:val="21"/>
              </w:rPr>
              <w:t>8100</w:t>
            </w:r>
          </w:p>
        </w:tc>
      </w:tr>
      <w:tr w14:paraId="110E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3D133E43">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理化性质</w:t>
            </w:r>
          </w:p>
        </w:tc>
        <w:tc>
          <w:tcPr>
            <w:tcW w:w="1800" w:type="dxa"/>
            <w:gridSpan w:val="2"/>
            <w:noWrap w:val="0"/>
            <w:vAlign w:val="center"/>
          </w:tcPr>
          <w:p w14:paraId="3DED28D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外观与性状：</w:t>
            </w:r>
          </w:p>
        </w:tc>
        <w:tc>
          <w:tcPr>
            <w:tcW w:w="7244" w:type="dxa"/>
            <w:noWrap w:val="0"/>
            <w:vAlign w:val="center"/>
          </w:tcPr>
          <w:p w14:paraId="439D644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无色透明液体，有刺激性酸臭。</w:t>
            </w:r>
          </w:p>
        </w:tc>
      </w:tr>
      <w:tr w14:paraId="1A85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5BD45E9F">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52C22EA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主要用途：</w:t>
            </w:r>
          </w:p>
        </w:tc>
        <w:tc>
          <w:tcPr>
            <w:tcW w:w="7244" w:type="dxa"/>
            <w:noWrap w:val="0"/>
            <w:vAlign w:val="center"/>
          </w:tcPr>
          <w:p w14:paraId="77EED59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用于制造醋酸盐、醋酸纤维素、医药、颜料、酯类、塑料、香料等。</w:t>
            </w:r>
          </w:p>
        </w:tc>
      </w:tr>
      <w:tr w14:paraId="74D4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4A80A656">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088DD50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相对密度(水=1)：</w:t>
            </w:r>
          </w:p>
        </w:tc>
        <w:tc>
          <w:tcPr>
            <w:tcW w:w="7244" w:type="dxa"/>
            <w:noWrap w:val="0"/>
            <w:vAlign w:val="center"/>
          </w:tcPr>
          <w:p w14:paraId="6B4A66D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1.05                       相对密度(空气=1):</w:t>
            </w:r>
            <w:r>
              <w:rPr>
                <w:b w:val="0"/>
                <w:bCs w:val="0"/>
                <w:sz w:val="21"/>
                <w:szCs w:val="21"/>
              </w:rPr>
              <w:t xml:space="preserve"> 2.07</w:t>
            </w:r>
          </w:p>
        </w:tc>
      </w:tr>
      <w:tr w14:paraId="6C93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73E58DE7">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3546AFD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饱和蒸汽压(kPa)：</w:t>
            </w:r>
          </w:p>
        </w:tc>
        <w:tc>
          <w:tcPr>
            <w:tcW w:w="7244" w:type="dxa"/>
            <w:noWrap w:val="0"/>
            <w:vAlign w:val="center"/>
          </w:tcPr>
          <w:p w14:paraId="68D83B6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1.52/20℃                   溶解性：溶于水、醚、甘油，不溶于二硫化碳。</w:t>
            </w:r>
          </w:p>
        </w:tc>
      </w:tr>
      <w:tr w14:paraId="2ADB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50C226B7">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11AA0E4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临界温度(℃)：</w:t>
            </w:r>
          </w:p>
        </w:tc>
        <w:tc>
          <w:tcPr>
            <w:tcW w:w="7244" w:type="dxa"/>
            <w:noWrap w:val="0"/>
            <w:vAlign w:val="center"/>
          </w:tcPr>
          <w:p w14:paraId="7DF933A8">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 xml:space="preserve">321.6     </w:t>
            </w:r>
          </w:p>
        </w:tc>
      </w:tr>
      <w:tr w14:paraId="0EF3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09DF21BE">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56F4683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 xml:space="preserve">  临界压力(MPa)：</w:t>
            </w:r>
          </w:p>
        </w:tc>
        <w:tc>
          <w:tcPr>
            <w:tcW w:w="7244" w:type="dxa"/>
            <w:noWrap w:val="0"/>
            <w:vAlign w:val="center"/>
          </w:tcPr>
          <w:p w14:paraId="1C25248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5.78                       燃烧热(kj/mol)：873.7</w:t>
            </w:r>
          </w:p>
        </w:tc>
      </w:tr>
      <w:tr w14:paraId="6550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3DF114A6">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燃烧爆炸危险性</w:t>
            </w:r>
          </w:p>
        </w:tc>
        <w:tc>
          <w:tcPr>
            <w:tcW w:w="1800" w:type="dxa"/>
            <w:gridSpan w:val="2"/>
            <w:noWrap w:val="0"/>
            <w:vAlign w:val="center"/>
          </w:tcPr>
          <w:p w14:paraId="4E50E5C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燃烧性：</w:t>
            </w:r>
          </w:p>
        </w:tc>
        <w:tc>
          <w:tcPr>
            <w:tcW w:w="7244" w:type="dxa"/>
            <w:noWrap w:val="0"/>
            <w:vAlign w:val="center"/>
          </w:tcPr>
          <w:p w14:paraId="17BF703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易燃                       建规火险分级：乙  </w:t>
            </w:r>
          </w:p>
        </w:tc>
      </w:tr>
      <w:tr w14:paraId="4F8F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7F19D2EB">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0ECC943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闪点(℃)：</w:t>
            </w:r>
          </w:p>
        </w:tc>
        <w:tc>
          <w:tcPr>
            <w:tcW w:w="7244" w:type="dxa"/>
            <w:noWrap w:val="0"/>
            <w:vAlign w:val="center"/>
          </w:tcPr>
          <w:p w14:paraId="3EEE1EB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b w:val="0"/>
                <w:bCs w:val="0"/>
                <w:sz w:val="21"/>
                <w:szCs w:val="21"/>
              </w:rPr>
              <w:t>39  </w:t>
            </w:r>
            <w:r>
              <w:rPr>
                <w:rFonts w:hint="eastAsia"/>
                <w:b w:val="0"/>
                <w:bCs w:val="0"/>
                <w:sz w:val="21"/>
                <w:szCs w:val="21"/>
              </w:rPr>
              <w:t xml:space="preserve">                       自燃温度(℃)：</w:t>
            </w:r>
            <w:r>
              <w:rPr>
                <w:b w:val="0"/>
                <w:bCs w:val="0"/>
                <w:sz w:val="21"/>
                <w:szCs w:val="21"/>
              </w:rPr>
              <w:t>463</w:t>
            </w:r>
          </w:p>
        </w:tc>
      </w:tr>
      <w:tr w14:paraId="2211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375DDAF0">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5BE97D4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爆炸下限(V%)：</w:t>
            </w:r>
          </w:p>
        </w:tc>
        <w:tc>
          <w:tcPr>
            <w:tcW w:w="7244" w:type="dxa"/>
            <w:noWrap w:val="0"/>
            <w:vAlign w:val="center"/>
          </w:tcPr>
          <w:p w14:paraId="56016F3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4.0                         爆炸上限(V%)：17.0</w:t>
            </w:r>
          </w:p>
        </w:tc>
      </w:tr>
      <w:tr w14:paraId="2A04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47785FD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764482A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危险特性：</w:t>
            </w:r>
          </w:p>
        </w:tc>
        <w:tc>
          <w:tcPr>
            <w:tcW w:w="7244" w:type="dxa"/>
            <w:noWrap w:val="0"/>
            <w:vAlign w:val="center"/>
          </w:tcPr>
          <w:p w14:paraId="750C660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其蒸气与空气形成爆炸性混合物，遇明火、高热能引起燃烧爆炸。与强氧化剂可发生反应。</w:t>
            </w:r>
          </w:p>
        </w:tc>
      </w:tr>
      <w:tr w14:paraId="4AF0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7B4F884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7657682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燃烧(分解)产物：</w:t>
            </w:r>
          </w:p>
        </w:tc>
        <w:tc>
          <w:tcPr>
            <w:tcW w:w="7244" w:type="dxa"/>
            <w:noWrap w:val="0"/>
            <w:vAlign w:val="center"/>
          </w:tcPr>
          <w:p w14:paraId="1FC13AED">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一氧化碳、二氧化碳。       稳定性：稳定</w:t>
            </w:r>
          </w:p>
        </w:tc>
      </w:tr>
      <w:tr w14:paraId="0F08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6F2ED5A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4894E23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聚合危害：</w:t>
            </w:r>
          </w:p>
        </w:tc>
        <w:tc>
          <w:tcPr>
            <w:tcW w:w="7244" w:type="dxa"/>
            <w:noWrap w:val="0"/>
            <w:vAlign w:val="center"/>
          </w:tcPr>
          <w:p w14:paraId="1381A50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不能出现                   禁忌物：碱类、强氧化剂。</w:t>
            </w:r>
          </w:p>
        </w:tc>
      </w:tr>
      <w:tr w14:paraId="1271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0F1BF5E9">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2D63CD4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灭火方法：</w:t>
            </w:r>
          </w:p>
        </w:tc>
        <w:tc>
          <w:tcPr>
            <w:tcW w:w="7244" w:type="dxa"/>
            <w:noWrap w:val="0"/>
            <w:vAlign w:val="center"/>
          </w:tcPr>
          <w:p w14:paraId="59548AF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雾状水、泡沫、二氧化碳、砂土。</w:t>
            </w:r>
          </w:p>
        </w:tc>
      </w:tr>
      <w:tr w14:paraId="03A7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3C2A5B02">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包装与储运</w:t>
            </w:r>
          </w:p>
        </w:tc>
        <w:tc>
          <w:tcPr>
            <w:tcW w:w="1800" w:type="dxa"/>
            <w:gridSpan w:val="2"/>
            <w:noWrap w:val="0"/>
            <w:vAlign w:val="center"/>
          </w:tcPr>
          <w:p w14:paraId="0BDA825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危险性类别：</w:t>
            </w:r>
          </w:p>
        </w:tc>
        <w:tc>
          <w:tcPr>
            <w:tcW w:w="7244" w:type="dxa"/>
            <w:noWrap w:val="0"/>
            <w:vAlign w:val="center"/>
          </w:tcPr>
          <w:p w14:paraId="77DF7FC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 xml:space="preserve">第8.1类  酸性腐蚀品        危险货物包装标志：16     </w:t>
            </w:r>
          </w:p>
        </w:tc>
      </w:tr>
      <w:tr w14:paraId="367B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192027B">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5DFF8AA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包装类别：</w:t>
            </w:r>
          </w:p>
        </w:tc>
        <w:tc>
          <w:tcPr>
            <w:tcW w:w="7244" w:type="dxa"/>
            <w:noWrap w:val="0"/>
            <w:vAlign w:val="center"/>
          </w:tcPr>
          <w:p w14:paraId="32EA149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Ⅱ</w:t>
            </w:r>
          </w:p>
        </w:tc>
      </w:tr>
      <w:tr w14:paraId="6401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4B2E4DC">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0A1DE77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储运注意事项：</w:t>
            </w:r>
          </w:p>
        </w:tc>
        <w:tc>
          <w:tcPr>
            <w:tcW w:w="7244" w:type="dxa"/>
            <w:noWrap w:val="0"/>
            <w:vAlign w:val="center"/>
          </w:tcPr>
          <w:p w14:paraId="313BE263">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储存于阴凉、通风仓间内。远离火种、热源。仓温不宜超过30℃。冬天要做好防冻工作，防止冻结。保持容器密封。应与氧化剂、碱类分开存放。储存间内的照明、通风等设施应采用防爆型，开关设在仓外。配备相应品种和数量的消防器材。禁止使用易产生火花的机械设备和工具。分装和搬运作业要注意个人防护。搬运时要轻装轻卸，防止包装及容器损坏。</w:t>
            </w:r>
            <w:r>
              <w:rPr>
                <w:b w:val="0"/>
                <w:bCs w:val="0"/>
                <w:sz w:val="21"/>
                <w:szCs w:val="21"/>
              </w:rPr>
              <w:t xml:space="preserve">  </w:t>
            </w:r>
          </w:p>
        </w:tc>
      </w:tr>
      <w:tr w14:paraId="47CC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55E94FFF">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毒性危害</w:t>
            </w:r>
          </w:p>
        </w:tc>
        <w:tc>
          <w:tcPr>
            <w:tcW w:w="1800" w:type="dxa"/>
            <w:gridSpan w:val="2"/>
            <w:noWrap w:val="0"/>
            <w:vAlign w:val="center"/>
          </w:tcPr>
          <w:p w14:paraId="0016365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接触限值：</w:t>
            </w:r>
          </w:p>
        </w:tc>
        <w:tc>
          <w:tcPr>
            <w:tcW w:w="7244" w:type="dxa"/>
            <w:noWrap w:val="0"/>
            <w:vAlign w:val="center"/>
          </w:tcPr>
          <w:p w14:paraId="259A133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中国MAC：未制定标准；苏联MAC：5mg/m</w:t>
            </w:r>
            <w:r>
              <w:rPr>
                <w:rFonts w:hint="eastAsia"/>
                <w:b w:val="0"/>
                <w:bCs w:val="0"/>
                <w:sz w:val="21"/>
                <w:szCs w:val="21"/>
                <w:vertAlign w:val="superscript"/>
              </w:rPr>
              <w:t>3</w:t>
            </w:r>
            <w:r>
              <w:rPr>
                <w:rFonts w:hint="eastAsia"/>
                <w:b w:val="0"/>
                <w:bCs w:val="0"/>
                <w:sz w:val="21"/>
                <w:szCs w:val="21"/>
              </w:rPr>
              <w:t>；美国TWA：OSHA</w:t>
            </w:r>
            <w:r>
              <w:rPr>
                <w:b w:val="0"/>
                <w:bCs w:val="0"/>
                <w:sz w:val="21"/>
                <w:szCs w:val="21"/>
              </w:rPr>
              <w:t xml:space="preserve"> </w:t>
            </w:r>
            <w:r>
              <w:rPr>
                <w:rFonts w:hint="eastAsia"/>
                <w:b w:val="0"/>
                <w:bCs w:val="0"/>
                <w:sz w:val="21"/>
                <w:szCs w:val="21"/>
              </w:rPr>
              <w:t>10ppm，25mg/m</w:t>
            </w:r>
            <w:r>
              <w:rPr>
                <w:rFonts w:hint="eastAsia"/>
                <w:b w:val="0"/>
                <w:bCs w:val="0"/>
                <w:sz w:val="21"/>
                <w:szCs w:val="21"/>
                <w:vertAlign w:val="superscript"/>
              </w:rPr>
              <w:t>3</w:t>
            </w:r>
            <w:r>
              <w:rPr>
                <w:rFonts w:hint="eastAsia"/>
                <w:b w:val="0"/>
                <w:bCs w:val="0"/>
                <w:sz w:val="21"/>
                <w:szCs w:val="21"/>
              </w:rPr>
              <w:t>；ACGIH 10ppm，25mg/m</w:t>
            </w:r>
            <w:r>
              <w:rPr>
                <w:rFonts w:hint="eastAsia"/>
                <w:b w:val="0"/>
                <w:bCs w:val="0"/>
                <w:sz w:val="21"/>
                <w:szCs w:val="21"/>
                <w:vertAlign w:val="superscript"/>
              </w:rPr>
              <w:t>3</w:t>
            </w:r>
            <w:r>
              <w:rPr>
                <w:rFonts w:hint="eastAsia"/>
                <w:b w:val="0"/>
                <w:bCs w:val="0"/>
                <w:sz w:val="21"/>
                <w:szCs w:val="21"/>
              </w:rPr>
              <w:t>；美国STEL：ACGIH 15ppm，37mg/m</w:t>
            </w:r>
            <w:r>
              <w:rPr>
                <w:rFonts w:hint="eastAsia"/>
                <w:b w:val="0"/>
                <w:bCs w:val="0"/>
                <w:sz w:val="21"/>
                <w:szCs w:val="21"/>
                <w:vertAlign w:val="superscript"/>
              </w:rPr>
              <w:t>3</w:t>
            </w:r>
            <w:r>
              <w:rPr>
                <w:rFonts w:hint="eastAsia"/>
                <w:b w:val="0"/>
                <w:bCs w:val="0"/>
                <w:sz w:val="21"/>
                <w:szCs w:val="21"/>
              </w:rPr>
              <w:t xml:space="preserve">  </w:t>
            </w:r>
          </w:p>
        </w:tc>
      </w:tr>
      <w:tr w14:paraId="79C6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5236A4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31DEEEA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侵入途径：</w:t>
            </w:r>
          </w:p>
        </w:tc>
        <w:tc>
          <w:tcPr>
            <w:tcW w:w="7244" w:type="dxa"/>
            <w:noWrap w:val="0"/>
            <w:vAlign w:val="center"/>
          </w:tcPr>
          <w:p w14:paraId="0E048CE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吸入  食入  经皮吸收  </w:t>
            </w:r>
          </w:p>
        </w:tc>
      </w:tr>
      <w:tr w14:paraId="7E26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D9B3D1B">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2B86592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毒性：</w:t>
            </w:r>
          </w:p>
        </w:tc>
        <w:tc>
          <w:tcPr>
            <w:tcW w:w="7244" w:type="dxa"/>
            <w:noWrap w:val="0"/>
            <w:vAlign w:val="center"/>
          </w:tcPr>
          <w:p w14:paraId="4D2304D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属低毒类。LD</w:t>
            </w:r>
            <w:r>
              <w:rPr>
                <w:rFonts w:hint="eastAsia"/>
                <w:b w:val="0"/>
                <w:bCs w:val="0"/>
                <w:sz w:val="21"/>
                <w:szCs w:val="21"/>
                <w:vertAlign w:val="subscript"/>
              </w:rPr>
              <w:t>50</w:t>
            </w:r>
            <w:r>
              <w:rPr>
                <w:rFonts w:hint="eastAsia"/>
                <w:b w:val="0"/>
                <w:bCs w:val="0"/>
                <w:sz w:val="21"/>
                <w:szCs w:val="21"/>
              </w:rPr>
              <w:t>：3530mg/kg(大鼠经口)；1060mg/kg(兔经皮)。</w:t>
            </w:r>
          </w:p>
          <w:p w14:paraId="6F62FB8A">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LC</w:t>
            </w:r>
            <w:r>
              <w:rPr>
                <w:rFonts w:hint="eastAsia"/>
                <w:b w:val="0"/>
                <w:bCs w:val="0"/>
                <w:sz w:val="21"/>
                <w:szCs w:val="21"/>
                <w:vertAlign w:val="subscript"/>
              </w:rPr>
              <w:t>50</w:t>
            </w:r>
            <w:r>
              <w:rPr>
                <w:rFonts w:hint="eastAsia"/>
                <w:b w:val="0"/>
                <w:bCs w:val="0"/>
                <w:sz w:val="21"/>
                <w:szCs w:val="21"/>
              </w:rPr>
              <w:t>：5620ppm</w:t>
            </w:r>
            <w:r>
              <w:rPr>
                <w:b w:val="0"/>
                <w:bCs w:val="0"/>
                <w:sz w:val="21"/>
                <w:szCs w:val="21"/>
              </w:rPr>
              <w:t xml:space="preserve"> </w:t>
            </w:r>
            <w:r>
              <w:rPr>
                <w:rFonts w:hint="eastAsia"/>
                <w:b w:val="0"/>
                <w:bCs w:val="0"/>
                <w:sz w:val="21"/>
                <w:szCs w:val="21"/>
              </w:rPr>
              <w:t>1小时(小鼠吸入)  </w:t>
            </w:r>
          </w:p>
        </w:tc>
      </w:tr>
      <w:tr w14:paraId="369D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5894E628">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58D0B21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健康危害：</w:t>
            </w:r>
          </w:p>
        </w:tc>
        <w:tc>
          <w:tcPr>
            <w:tcW w:w="7244" w:type="dxa"/>
            <w:noWrap w:val="0"/>
            <w:vAlign w:val="center"/>
          </w:tcPr>
          <w:p w14:paraId="2B4325B2">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吸入后对鼻、喉和呼吸道有刺激性。对眼有强烈刺激作用。皮肤接触，轻者出现红斑，重者引起化学灼伤。误服浓乙酸，口腔和消化道可产生糜烂，重者可因休克而致死。慢性影响：眼睑水肿、结膜充血、慢性咽炎和支气管炎。长期反复接触，可致皮肤干燥、脱脂和皮炎。</w:t>
            </w:r>
          </w:p>
        </w:tc>
      </w:tr>
      <w:tr w14:paraId="654A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71E7DA6F">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急救</w:t>
            </w:r>
          </w:p>
        </w:tc>
        <w:tc>
          <w:tcPr>
            <w:tcW w:w="1800" w:type="dxa"/>
            <w:gridSpan w:val="2"/>
            <w:noWrap w:val="0"/>
            <w:vAlign w:val="center"/>
          </w:tcPr>
          <w:p w14:paraId="4C593DE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皮肤接触：</w:t>
            </w:r>
          </w:p>
        </w:tc>
        <w:tc>
          <w:tcPr>
            <w:tcW w:w="7244" w:type="dxa"/>
            <w:noWrap w:val="0"/>
            <w:vAlign w:val="center"/>
          </w:tcPr>
          <w:p w14:paraId="3BE2C7C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脱去污染的衣着，立即用水冲洗至少15分钟。若有灼伤，就医治疗。  </w:t>
            </w:r>
          </w:p>
        </w:tc>
      </w:tr>
      <w:tr w14:paraId="6E54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104C810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7E43E41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眼睛接触：</w:t>
            </w:r>
          </w:p>
        </w:tc>
        <w:tc>
          <w:tcPr>
            <w:tcW w:w="7244" w:type="dxa"/>
            <w:noWrap w:val="0"/>
            <w:vAlign w:val="center"/>
          </w:tcPr>
          <w:p w14:paraId="4454E18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立即提起眼睑，用流动清水或生理盐水冲洗至少15分钟。就医。  </w:t>
            </w:r>
          </w:p>
        </w:tc>
      </w:tr>
      <w:tr w14:paraId="22CA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390E4374">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018FAC3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吸入：</w:t>
            </w:r>
          </w:p>
        </w:tc>
        <w:tc>
          <w:tcPr>
            <w:tcW w:w="7244" w:type="dxa"/>
            <w:noWrap w:val="0"/>
            <w:vAlign w:val="center"/>
          </w:tcPr>
          <w:p w14:paraId="25D5D671">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迅速脱离现场至空气新鲜处。保持呼吸道通畅。呼吸困难时给输氧。给予2～4％碳酸氢钠溶液雾化吸入。就医。</w:t>
            </w:r>
          </w:p>
        </w:tc>
      </w:tr>
      <w:tr w14:paraId="1C14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3D4F20AE">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0B6D5DA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食入：</w:t>
            </w:r>
          </w:p>
        </w:tc>
        <w:tc>
          <w:tcPr>
            <w:tcW w:w="7244" w:type="dxa"/>
            <w:noWrap w:val="0"/>
            <w:vAlign w:val="center"/>
          </w:tcPr>
          <w:p w14:paraId="32B975E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误服者给饮大量温水，催吐，就医。</w:t>
            </w:r>
          </w:p>
        </w:tc>
      </w:tr>
      <w:tr w14:paraId="22A8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restart"/>
            <w:noWrap w:val="0"/>
            <w:textDirection w:val="tbRlV"/>
            <w:vAlign w:val="center"/>
          </w:tcPr>
          <w:p w14:paraId="4727141E">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r>
              <w:rPr>
                <w:rFonts w:hint="eastAsia"/>
                <w:b w:val="0"/>
                <w:bCs w:val="0"/>
                <w:sz w:val="21"/>
                <w:szCs w:val="21"/>
              </w:rPr>
              <w:t>防护措施</w:t>
            </w:r>
          </w:p>
        </w:tc>
        <w:tc>
          <w:tcPr>
            <w:tcW w:w="1800" w:type="dxa"/>
            <w:gridSpan w:val="2"/>
            <w:noWrap w:val="0"/>
            <w:vAlign w:val="center"/>
          </w:tcPr>
          <w:p w14:paraId="4709676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工程控制：</w:t>
            </w:r>
          </w:p>
        </w:tc>
        <w:tc>
          <w:tcPr>
            <w:tcW w:w="7244" w:type="dxa"/>
            <w:noWrap w:val="0"/>
            <w:vAlign w:val="center"/>
          </w:tcPr>
          <w:p w14:paraId="5FD7E55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生产过程密闭，加强通风。</w:t>
            </w:r>
          </w:p>
        </w:tc>
      </w:tr>
      <w:tr w14:paraId="7484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6B40F5B9">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2E71117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呼吸系统防护：</w:t>
            </w:r>
          </w:p>
        </w:tc>
        <w:tc>
          <w:tcPr>
            <w:tcW w:w="7244" w:type="dxa"/>
            <w:noWrap w:val="0"/>
            <w:vAlign w:val="center"/>
          </w:tcPr>
          <w:p w14:paraId="343FA4F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空气中浓度超标时，应该佩带防毒面具。紧急事态抢救或逃生时，佩带自给式呼吸器。  </w:t>
            </w:r>
          </w:p>
        </w:tc>
      </w:tr>
      <w:tr w14:paraId="37B6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0CB48759">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7AD092D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眼睛防护：</w:t>
            </w:r>
          </w:p>
        </w:tc>
        <w:tc>
          <w:tcPr>
            <w:tcW w:w="7244" w:type="dxa"/>
            <w:noWrap w:val="0"/>
            <w:vAlign w:val="center"/>
          </w:tcPr>
          <w:p w14:paraId="7769B7E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戴化学安全防护眼镜。</w:t>
            </w:r>
          </w:p>
        </w:tc>
      </w:tr>
      <w:tr w14:paraId="2679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8" w:type="dxa"/>
            <w:vMerge w:val="continue"/>
            <w:noWrap w:val="0"/>
            <w:textDirection w:val="tbRlV"/>
            <w:vAlign w:val="center"/>
          </w:tcPr>
          <w:p w14:paraId="292B2DFD">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b w:val="0"/>
                <w:bCs w:val="0"/>
                <w:sz w:val="21"/>
                <w:szCs w:val="21"/>
              </w:rPr>
            </w:pPr>
          </w:p>
        </w:tc>
        <w:tc>
          <w:tcPr>
            <w:tcW w:w="1800" w:type="dxa"/>
            <w:gridSpan w:val="2"/>
            <w:noWrap w:val="0"/>
            <w:vAlign w:val="center"/>
          </w:tcPr>
          <w:p w14:paraId="29662AE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防护服：</w:t>
            </w:r>
          </w:p>
        </w:tc>
        <w:tc>
          <w:tcPr>
            <w:tcW w:w="7244" w:type="dxa"/>
            <w:noWrap w:val="0"/>
            <w:vAlign w:val="center"/>
          </w:tcPr>
          <w:p w14:paraId="7EAEA32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b w:val="0"/>
                <w:bCs w:val="0"/>
                <w:sz w:val="21"/>
                <w:szCs w:val="21"/>
              </w:rPr>
            </w:pPr>
            <w:r>
              <w:rPr>
                <w:rFonts w:hint="eastAsia"/>
                <w:b w:val="0"/>
                <w:bCs w:val="0"/>
                <w:sz w:val="21"/>
                <w:szCs w:val="21"/>
              </w:rPr>
              <w:t>穿工作服(防腐材料制作)。           手防护：戴橡皮手套。</w:t>
            </w:r>
          </w:p>
        </w:tc>
      </w:tr>
      <w:tr w14:paraId="5833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44" w:type="dxa"/>
            <w:gridSpan w:val="2"/>
            <w:noWrap w:val="0"/>
            <w:vAlign w:val="center"/>
          </w:tcPr>
          <w:p w14:paraId="0C91CC7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泄漏处置</w:t>
            </w:r>
          </w:p>
        </w:tc>
        <w:tc>
          <w:tcPr>
            <w:tcW w:w="8348" w:type="dxa"/>
            <w:gridSpan w:val="2"/>
            <w:noWrap w:val="0"/>
            <w:vAlign w:val="center"/>
          </w:tcPr>
          <w:p w14:paraId="4AEF3E5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w:t>
            </w:r>
            <w:r>
              <w:rPr>
                <w:rFonts w:hint="eastAsia"/>
                <w:b w:val="0"/>
                <w:bCs w:val="0"/>
                <w:sz w:val="21"/>
                <w:szCs w:val="21"/>
                <w:lang w:eastAsia="zh-CN"/>
              </w:rPr>
              <w:t>其他</w:t>
            </w:r>
            <w:r>
              <w:rPr>
                <w:rFonts w:hint="eastAsia"/>
                <w:b w:val="0"/>
                <w:bCs w:val="0"/>
                <w:sz w:val="21"/>
                <w:szCs w:val="21"/>
              </w:rPr>
              <w:t>惰性材料吸收，然后收集运至废物处理场所处置。也可以用大量水冲洗，经稀释的洗水放入废水系统。如大量泄漏，利用围堤收容，然后收集、转移、回收或无害处理后废弃。</w:t>
            </w:r>
          </w:p>
        </w:tc>
      </w:tr>
      <w:tr w14:paraId="583F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44" w:type="dxa"/>
            <w:gridSpan w:val="2"/>
            <w:noWrap w:val="0"/>
            <w:vAlign w:val="center"/>
          </w:tcPr>
          <w:p w14:paraId="6C05FB1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其他</w:t>
            </w:r>
          </w:p>
        </w:tc>
        <w:tc>
          <w:tcPr>
            <w:tcW w:w="8348" w:type="dxa"/>
            <w:gridSpan w:val="2"/>
            <w:noWrap w:val="0"/>
            <w:vAlign w:val="center"/>
          </w:tcPr>
          <w:p w14:paraId="044A3B8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val="0"/>
                <w:bCs w:val="0"/>
                <w:sz w:val="21"/>
                <w:szCs w:val="21"/>
              </w:rPr>
            </w:pPr>
            <w:r>
              <w:rPr>
                <w:rFonts w:hint="eastAsia"/>
                <w:b w:val="0"/>
                <w:bCs w:val="0"/>
                <w:sz w:val="21"/>
                <w:szCs w:val="21"/>
              </w:rPr>
              <w:t>工作后，淋浴更衣。注意个人清洁卫生。</w:t>
            </w:r>
          </w:p>
        </w:tc>
      </w:tr>
    </w:tbl>
    <w:p w14:paraId="371FA94A">
      <w:pPr>
        <w:spacing w:line="500" w:lineRule="exact"/>
        <w:ind w:firstLine="480" w:firstLineChars="200"/>
        <w:jc w:val="left"/>
        <w:rPr>
          <w:rFonts w:cs="Arial"/>
          <w:spacing w:val="10"/>
          <w:kern w:val="0"/>
          <w:sz w:val="24"/>
          <w:szCs w:val="20"/>
        </w:rPr>
      </w:pPr>
      <w:r>
        <w:rPr>
          <w:rFonts w:hint="eastAsia"/>
          <w:kern w:val="0"/>
          <w:sz w:val="24"/>
          <w:szCs w:val="20"/>
        </w:rPr>
        <w:t>（2）</w:t>
      </w:r>
      <w:r>
        <w:rPr>
          <w:rFonts w:hint="eastAsia"/>
          <w:kern w:val="0"/>
          <w:sz w:val="24"/>
          <w:szCs w:val="20"/>
          <w:lang w:val="en-US" w:eastAsia="zh-CN"/>
        </w:rPr>
        <w:t>丙酸</w:t>
      </w:r>
    </w:p>
    <w:p w14:paraId="0E5FD9A0">
      <w:pPr>
        <w:spacing w:line="500" w:lineRule="exact"/>
        <w:ind w:firstLine="482" w:firstLineChars="200"/>
        <w:jc w:val="center"/>
        <w:rPr>
          <w:b/>
          <w:kern w:val="0"/>
          <w:sz w:val="24"/>
          <w:szCs w:val="20"/>
        </w:rPr>
      </w:pPr>
      <w:r>
        <w:rPr>
          <w:rFonts w:hint="eastAsia"/>
          <w:b/>
          <w:kern w:val="0"/>
          <w:sz w:val="24"/>
          <w:szCs w:val="20"/>
        </w:rPr>
        <w:t>表1.3-3</w:t>
      </w:r>
      <w:r>
        <w:rPr>
          <w:rFonts w:hint="eastAsia"/>
          <w:b/>
          <w:kern w:val="0"/>
          <w:sz w:val="24"/>
          <w:szCs w:val="20"/>
          <w:lang w:val="en-US" w:eastAsia="zh-CN"/>
        </w:rPr>
        <w:t>丙酸</w:t>
      </w:r>
      <w:r>
        <w:rPr>
          <w:rFonts w:hint="eastAsia"/>
          <w:b/>
          <w:kern w:val="0"/>
          <w:sz w:val="24"/>
          <w:szCs w:val="20"/>
        </w:rPr>
        <w:t>安全技术说明书</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633"/>
        <w:gridCol w:w="6889"/>
      </w:tblGrid>
      <w:tr w14:paraId="0F2F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6366CA94">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标识</w:t>
            </w:r>
          </w:p>
        </w:tc>
        <w:tc>
          <w:tcPr>
            <w:tcW w:w="1633" w:type="dxa"/>
            <w:noWrap w:val="0"/>
            <w:vAlign w:val="center"/>
          </w:tcPr>
          <w:p w14:paraId="182918A5">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中文名：</w:t>
            </w:r>
          </w:p>
        </w:tc>
        <w:tc>
          <w:tcPr>
            <w:tcW w:w="6889" w:type="dxa"/>
            <w:noWrap w:val="0"/>
            <w:vAlign w:val="center"/>
          </w:tcPr>
          <w:p w14:paraId="1B8B036E">
            <w:pPr>
              <w:pStyle w:val="87"/>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丙酸；初油酸  </w:t>
            </w:r>
            <w:r>
              <w:rPr>
                <w:rFonts w:hint="eastAsia"/>
                <w:b w:val="0"/>
                <w:bCs w:val="0"/>
                <w:sz w:val="21"/>
                <w:szCs w:val="21"/>
              </w:rPr>
              <w:t xml:space="preserve">               </w:t>
            </w:r>
            <w:r>
              <w:rPr>
                <w:b w:val="0"/>
                <w:bCs w:val="0"/>
                <w:sz w:val="21"/>
                <w:szCs w:val="21"/>
              </w:rPr>
              <w:t>英文名：Propioni cacid</w:t>
            </w:r>
          </w:p>
        </w:tc>
      </w:tr>
      <w:tr w14:paraId="5F80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AD52BE4">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47CD577B">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分子式：</w:t>
            </w:r>
          </w:p>
        </w:tc>
        <w:tc>
          <w:tcPr>
            <w:tcW w:w="6889" w:type="dxa"/>
            <w:noWrap w:val="0"/>
            <w:vAlign w:val="center"/>
          </w:tcPr>
          <w:p w14:paraId="04467C47">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C</w:t>
            </w:r>
            <w:r>
              <w:rPr>
                <w:b w:val="0"/>
                <w:bCs w:val="0"/>
                <w:sz w:val="21"/>
                <w:szCs w:val="21"/>
                <w:vertAlign w:val="subscript"/>
              </w:rPr>
              <w:t>3</w:t>
            </w:r>
            <w:r>
              <w:rPr>
                <w:b w:val="0"/>
                <w:bCs w:val="0"/>
                <w:sz w:val="21"/>
                <w:szCs w:val="21"/>
              </w:rPr>
              <w:t>H</w:t>
            </w:r>
            <w:r>
              <w:rPr>
                <w:b w:val="0"/>
                <w:bCs w:val="0"/>
                <w:sz w:val="21"/>
                <w:szCs w:val="21"/>
                <w:vertAlign w:val="subscript"/>
              </w:rPr>
              <w:t>6</w:t>
            </w:r>
            <w:r>
              <w:rPr>
                <w:b w:val="0"/>
                <w:bCs w:val="0"/>
                <w:sz w:val="21"/>
                <w:szCs w:val="21"/>
              </w:rPr>
              <w:t>O</w:t>
            </w:r>
            <w:r>
              <w:rPr>
                <w:b w:val="0"/>
                <w:bCs w:val="0"/>
                <w:sz w:val="21"/>
                <w:szCs w:val="21"/>
                <w:vertAlign w:val="subscript"/>
              </w:rPr>
              <w:t>2</w:t>
            </w:r>
            <w:r>
              <w:rPr>
                <w:b w:val="0"/>
                <w:bCs w:val="0"/>
                <w:sz w:val="21"/>
                <w:szCs w:val="21"/>
              </w:rPr>
              <w:t xml:space="preserve">  </w:t>
            </w:r>
            <w:r>
              <w:rPr>
                <w:rFonts w:hint="eastAsia"/>
                <w:b w:val="0"/>
                <w:bCs w:val="0"/>
                <w:sz w:val="21"/>
                <w:szCs w:val="21"/>
              </w:rPr>
              <w:t xml:space="preserve">                    </w:t>
            </w:r>
            <w:r>
              <w:rPr>
                <w:b w:val="0"/>
                <w:bCs w:val="0"/>
                <w:sz w:val="21"/>
                <w:szCs w:val="21"/>
              </w:rPr>
              <w:t>分子量：74.08  </w:t>
            </w:r>
          </w:p>
        </w:tc>
      </w:tr>
      <w:tr w14:paraId="60EC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53AA0DCE">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7D4274B2">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CAS号：</w:t>
            </w:r>
          </w:p>
        </w:tc>
        <w:tc>
          <w:tcPr>
            <w:tcW w:w="6889" w:type="dxa"/>
            <w:noWrap w:val="0"/>
            <w:vAlign w:val="center"/>
          </w:tcPr>
          <w:p w14:paraId="753C3ECD">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 xml:space="preserve">79-09-4   </w:t>
            </w:r>
            <w:r>
              <w:rPr>
                <w:rFonts w:hint="eastAsia"/>
                <w:b w:val="0"/>
                <w:bCs w:val="0"/>
                <w:sz w:val="21"/>
                <w:szCs w:val="21"/>
              </w:rPr>
              <w:t xml:space="preserve">                    </w:t>
            </w:r>
            <w:r>
              <w:rPr>
                <w:b w:val="0"/>
                <w:bCs w:val="0"/>
                <w:sz w:val="21"/>
                <w:szCs w:val="21"/>
              </w:rPr>
              <w:t>RTECS号：UE5950000  </w:t>
            </w:r>
          </w:p>
        </w:tc>
      </w:tr>
      <w:tr w14:paraId="68CF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30310AE7">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10ACEB7A">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UN编号：</w:t>
            </w:r>
          </w:p>
        </w:tc>
        <w:tc>
          <w:tcPr>
            <w:tcW w:w="6889" w:type="dxa"/>
            <w:noWrap w:val="0"/>
            <w:vAlign w:val="center"/>
          </w:tcPr>
          <w:p w14:paraId="29E78992">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 xml:space="preserve">1848 </w:t>
            </w:r>
            <w:r>
              <w:rPr>
                <w:rFonts w:hint="eastAsia"/>
                <w:b w:val="0"/>
                <w:bCs w:val="0"/>
                <w:sz w:val="21"/>
                <w:szCs w:val="21"/>
              </w:rPr>
              <w:t xml:space="preserve">     </w:t>
            </w:r>
            <w:r>
              <w:rPr>
                <w:b w:val="0"/>
                <w:bCs w:val="0"/>
                <w:sz w:val="21"/>
                <w:szCs w:val="21"/>
              </w:rPr>
              <w:t xml:space="preserve">危险货物编号：81613 </w:t>
            </w:r>
            <w:r>
              <w:rPr>
                <w:rFonts w:hint="eastAsia"/>
                <w:b w:val="0"/>
                <w:bCs w:val="0"/>
                <w:sz w:val="21"/>
                <w:szCs w:val="21"/>
              </w:rPr>
              <w:t xml:space="preserve">      </w:t>
            </w:r>
            <w:r>
              <w:rPr>
                <w:b w:val="0"/>
                <w:bCs w:val="0"/>
                <w:sz w:val="21"/>
                <w:szCs w:val="21"/>
              </w:rPr>
              <w:t> IMDG规则页码：8216  </w:t>
            </w:r>
          </w:p>
        </w:tc>
      </w:tr>
      <w:tr w14:paraId="3AF2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5143C893">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理化性质</w:t>
            </w:r>
          </w:p>
        </w:tc>
        <w:tc>
          <w:tcPr>
            <w:tcW w:w="1633" w:type="dxa"/>
            <w:noWrap w:val="0"/>
            <w:vAlign w:val="center"/>
          </w:tcPr>
          <w:p w14:paraId="26849F19">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外观与性状：</w:t>
            </w:r>
          </w:p>
        </w:tc>
        <w:tc>
          <w:tcPr>
            <w:tcW w:w="6889" w:type="dxa"/>
            <w:noWrap w:val="0"/>
            <w:vAlign w:val="center"/>
          </w:tcPr>
          <w:p w14:paraId="2353C1E7">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无色液体，有刺激性气味。</w:t>
            </w:r>
          </w:p>
        </w:tc>
      </w:tr>
      <w:tr w14:paraId="6A94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15C86055">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713B771">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主要用途：</w:t>
            </w:r>
          </w:p>
        </w:tc>
        <w:tc>
          <w:tcPr>
            <w:tcW w:w="6889" w:type="dxa"/>
            <w:noWrap w:val="0"/>
            <w:vAlign w:val="center"/>
          </w:tcPr>
          <w:p w14:paraId="60C6790E">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用作酯化剂、硝酸纤维素的溶剂、增塑剂、化学试剂和配制食品原料等。</w:t>
            </w:r>
          </w:p>
        </w:tc>
      </w:tr>
      <w:tr w14:paraId="616F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38525CDB">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73CC8F97">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熔点(℃)：</w:t>
            </w:r>
          </w:p>
        </w:tc>
        <w:tc>
          <w:tcPr>
            <w:tcW w:w="6889" w:type="dxa"/>
            <w:noWrap w:val="0"/>
            <w:vAlign w:val="center"/>
          </w:tcPr>
          <w:p w14:paraId="35C0030E">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-22</w:t>
            </w:r>
            <w:r>
              <w:rPr>
                <w:rFonts w:hint="eastAsia"/>
                <w:b w:val="0"/>
                <w:bCs w:val="0"/>
                <w:sz w:val="21"/>
                <w:szCs w:val="21"/>
              </w:rPr>
              <w:t xml:space="preserve">             </w:t>
            </w:r>
            <w:r>
              <w:rPr>
                <w:b w:val="0"/>
                <w:bCs w:val="0"/>
                <w:sz w:val="21"/>
                <w:szCs w:val="21"/>
              </w:rPr>
              <w:t>沸点：140．7</w:t>
            </w:r>
            <w:r>
              <w:rPr>
                <w:rFonts w:hint="eastAsia"/>
                <w:b w:val="0"/>
                <w:bCs w:val="0"/>
                <w:sz w:val="21"/>
                <w:szCs w:val="21"/>
              </w:rPr>
              <w:t xml:space="preserve">    </w:t>
            </w:r>
            <w:r>
              <w:rPr>
                <w:b w:val="0"/>
                <w:bCs w:val="0"/>
                <w:sz w:val="21"/>
                <w:szCs w:val="21"/>
              </w:rPr>
              <w:t>饱和蒸汽压(kPa)：1．33／39．7℃</w:t>
            </w:r>
          </w:p>
        </w:tc>
      </w:tr>
      <w:tr w14:paraId="32B1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0E6A8770">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1E53420">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ascii="宋体" w:hAnsi="宋体"/>
                <w:b w:val="0"/>
                <w:bCs w:val="0"/>
                <w:sz w:val="21"/>
                <w:szCs w:val="21"/>
              </w:rPr>
              <w:t>相对密度(水=1)：</w:t>
            </w:r>
          </w:p>
        </w:tc>
        <w:tc>
          <w:tcPr>
            <w:tcW w:w="6889" w:type="dxa"/>
            <w:noWrap w:val="0"/>
            <w:vAlign w:val="center"/>
          </w:tcPr>
          <w:p w14:paraId="3430F751">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 xml:space="preserve">0．99 </w:t>
            </w:r>
            <w:r>
              <w:rPr>
                <w:rFonts w:hint="eastAsia"/>
                <w:b w:val="0"/>
                <w:bCs w:val="0"/>
                <w:sz w:val="21"/>
                <w:szCs w:val="21"/>
              </w:rPr>
              <w:t xml:space="preserve">                     </w:t>
            </w:r>
            <w:r>
              <w:rPr>
                <w:b w:val="0"/>
                <w:bCs w:val="0"/>
                <w:sz w:val="21"/>
                <w:szCs w:val="21"/>
              </w:rPr>
              <w:t> 相对密度(空气=1): 2．56</w:t>
            </w:r>
          </w:p>
        </w:tc>
      </w:tr>
      <w:tr w14:paraId="0AC5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0BEFDC1D">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D0B9F4C">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ascii="宋体" w:hAnsi="宋体"/>
                <w:b w:val="0"/>
                <w:bCs w:val="0"/>
                <w:sz w:val="21"/>
                <w:szCs w:val="21"/>
              </w:rPr>
              <w:t>溶解性：</w:t>
            </w:r>
          </w:p>
        </w:tc>
        <w:tc>
          <w:tcPr>
            <w:tcW w:w="6889" w:type="dxa"/>
            <w:noWrap w:val="0"/>
            <w:vAlign w:val="center"/>
          </w:tcPr>
          <w:p w14:paraId="4DE4E747">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与水混溶，可混溶于乙醇、乙醚、氯仿。冰点为－21℃。  </w:t>
            </w:r>
          </w:p>
        </w:tc>
      </w:tr>
      <w:tr w14:paraId="072E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5C366A84">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6FED5CE2">
            <w:pPr>
              <w:keepNext w:val="0"/>
              <w:keepLines w:val="0"/>
              <w:pageBreakBefore w:val="0"/>
              <w:kinsoku/>
              <w:wordWrap/>
              <w:overflowPunct/>
              <w:topLinePunct w:val="0"/>
              <w:autoSpaceDE/>
              <w:autoSpaceDN/>
              <w:bidi w:val="0"/>
              <w:adjustRightInd/>
              <w:spacing w:line="240" w:lineRule="atLeast"/>
              <w:textAlignment w:val="auto"/>
              <w:rPr>
                <w:rFonts w:ascii="宋体" w:hAnsi="宋体"/>
                <w:b w:val="0"/>
                <w:bCs w:val="0"/>
                <w:sz w:val="21"/>
                <w:szCs w:val="21"/>
              </w:rPr>
            </w:pPr>
            <w:r>
              <w:rPr>
                <w:b w:val="0"/>
                <w:bCs w:val="0"/>
                <w:sz w:val="21"/>
                <w:szCs w:val="21"/>
              </w:rPr>
              <w:t>临界温度(℃)：</w:t>
            </w:r>
            <w:r>
              <w:rPr>
                <w:rFonts w:ascii="宋体" w:hAnsi="宋体"/>
                <w:b w:val="0"/>
                <w:bCs w:val="0"/>
                <w:sz w:val="21"/>
                <w:szCs w:val="21"/>
              </w:rPr>
              <w:t xml:space="preserve"> </w:t>
            </w:r>
          </w:p>
        </w:tc>
        <w:tc>
          <w:tcPr>
            <w:tcW w:w="6889" w:type="dxa"/>
            <w:noWrap w:val="0"/>
            <w:vAlign w:val="center"/>
          </w:tcPr>
          <w:p w14:paraId="6ACF14AC">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339  </w:t>
            </w:r>
            <w:r>
              <w:rPr>
                <w:rFonts w:hint="eastAsia"/>
                <w:b w:val="0"/>
                <w:bCs w:val="0"/>
                <w:sz w:val="21"/>
                <w:szCs w:val="21"/>
              </w:rPr>
              <w:t xml:space="preserve">      </w:t>
            </w:r>
            <w:r>
              <w:rPr>
                <w:b w:val="0"/>
                <w:bCs w:val="0"/>
                <w:sz w:val="21"/>
                <w:szCs w:val="21"/>
              </w:rPr>
              <w:t>临界压力(MPa)：5．37  </w:t>
            </w:r>
            <w:r>
              <w:rPr>
                <w:rFonts w:hint="eastAsia"/>
                <w:b w:val="0"/>
                <w:bCs w:val="0"/>
                <w:sz w:val="21"/>
                <w:szCs w:val="21"/>
              </w:rPr>
              <w:t xml:space="preserve">   </w:t>
            </w:r>
            <w:r>
              <w:rPr>
                <w:b w:val="0"/>
                <w:bCs w:val="0"/>
                <w:sz w:val="21"/>
                <w:szCs w:val="21"/>
              </w:rPr>
              <w:t>燃烧热(kj/mol)：1525．8  </w:t>
            </w:r>
          </w:p>
        </w:tc>
      </w:tr>
      <w:tr w14:paraId="5C3D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793C976D">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燃烧爆炸危险性</w:t>
            </w:r>
          </w:p>
        </w:tc>
        <w:tc>
          <w:tcPr>
            <w:tcW w:w="1633" w:type="dxa"/>
            <w:noWrap w:val="0"/>
            <w:vAlign w:val="center"/>
          </w:tcPr>
          <w:p w14:paraId="14621C26">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避燃烧性：</w:t>
            </w:r>
            <w:r>
              <w:rPr>
                <w:rFonts w:hint="eastAsia"/>
                <w:b w:val="0"/>
                <w:bCs w:val="0"/>
                <w:sz w:val="21"/>
                <w:szCs w:val="21"/>
              </w:rPr>
              <w:t xml:space="preserve"> </w:t>
            </w:r>
          </w:p>
        </w:tc>
        <w:tc>
          <w:tcPr>
            <w:tcW w:w="6889" w:type="dxa"/>
            <w:noWrap w:val="0"/>
            <w:vAlign w:val="center"/>
          </w:tcPr>
          <w:p w14:paraId="3F5A35FD">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易燃  </w:t>
            </w:r>
            <w:r>
              <w:rPr>
                <w:rFonts w:hint="eastAsia"/>
                <w:b w:val="0"/>
                <w:bCs w:val="0"/>
                <w:sz w:val="21"/>
                <w:szCs w:val="21"/>
              </w:rPr>
              <w:t xml:space="preserve">                        </w:t>
            </w:r>
            <w:r>
              <w:rPr>
                <w:b w:val="0"/>
                <w:bCs w:val="0"/>
                <w:sz w:val="21"/>
                <w:szCs w:val="21"/>
              </w:rPr>
              <w:t>建规火险分级：乙</w:t>
            </w:r>
          </w:p>
        </w:tc>
      </w:tr>
      <w:tr w14:paraId="62D6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C9F5D57">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92A6F92">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闪点(℃)：</w:t>
            </w:r>
          </w:p>
        </w:tc>
        <w:tc>
          <w:tcPr>
            <w:tcW w:w="6889" w:type="dxa"/>
            <w:noWrap w:val="0"/>
            <w:vAlign w:val="center"/>
          </w:tcPr>
          <w:p w14:paraId="17F7F4C2">
            <w:pPr>
              <w:keepNext w:val="0"/>
              <w:keepLines w:val="0"/>
              <w:pageBreakBefore w:val="0"/>
              <w:kinsoku/>
              <w:wordWrap/>
              <w:overflowPunct/>
              <w:topLinePunct w:val="0"/>
              <w:autoSpaceDE/>
              <w:autoSpaceDN/>
              <w:bidi w:val="0"/>
              <w:adjustRightInd/>
              <w:spacing w:line="240" w:lineRule="atLeast"/>
              <w:textAlignment w:val="auto"/>
              <w:rPr>
                <w:b w:val="0"/>
                <w:bCs w:val="0"/>
                <w:sz w:val="21"/>
                <w:szCs w:val="21"/>
              </w:rPr>
            </w:pPr>
            <w:r>
              <w:rPr>
                <w:b w:val="0"/>
                <w:bCs w:val="0"/>
                <w:sz w:val="21"/>
                <w:szCs w:val="21"/>
              </w:rPr>
              <w:t xml:space="preserve">52℃闭杯；57℃开杯 </w:t>
            </w:r>
            <w:r>
              <w:rPr>
                <w:rFonts w:hint="eastAsia"/>
                <w:b w:val="0"/>
                <w:bCs w:val="0"/>
                <w:sz w:val="21"/>
                <w:szCs w:val="21"/>
              </w:rPr>
              <w:t xml:space="preserve">          </w:t>
            </w:r>
            <w:r>
              <w:rPr>
                <w:b w:val="0"/>
                <w:bCs w:val="0"/>
                <w:sz w:val="21"/>
                <w:szCs w:val="21"/>
              </w:rPr>
              <w:t> 自燃温度(℃)：465  </w:t>
            </w:r>
          </w:p>
        </w:tc>
      </w:tr>
      <w:tr w14:paraId="1C06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73479D48">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21D3C3C6">
            <w:pPr>
              <w:keepNext w:val="0"/>
              <w:keepLines w:val="0"/>
              <w:pageBreakBefore w:val="0"/>
              <w:kinsoku/>
              <w:wordWrap/>
              <w:overflowPunct/>
              <w:topLinePunct w:val="0"/>
              <w:autoSpaceDE/>
              <w:autoSpaceDN/>
              <w:bidi w:val="0"/>
              <w:adjustRightInd/>
              <w:spacing w:line="240" w:lineRule="atLeast"/>
              <w:textAlignment w:val="auto"/>
              <w:rPr>
                <w:b w:val="0"/>
                <w:bCs w:val="0"/>
                <w:sz w:val="21"/>
                <w:szCs w:val="21"/>
              </w:rPr>
            </w:pPr>
            <w:r>
              <w:rPr>
                <w:b w:val="0"/>
                <w:bCs w:val="0"/>
                <w:sz w:val="21"/>
                <w:szCs w:val="21"/>
              </w:rPr>
              <w:t>爆炸下限(V%)：</w:t>
            </w:r>
          </w:p>
        </w:tc>
        <w:tc>
          <w:tcPr>
            <w:tcW w:w="6889" w:type="dxa"/>
            <w:noWrap w:val="0"/>
            <w:vAlign w:val="center"/>
          </w:tcPr>
          <w:p w14:paraId="5421C881">
            <w:pPr>
              <w:keepNext w:val="0"/>
              <w:keepLines w:val="0"/>
              <w:pageBreakBefore w:val="0"/>
              <w:kinsoku/>
              <w:wordWrap/>
              <w:overflowPunct/>
              <w:topLinePunct w:val="0"/>
              <w:autoSpaceDE/>
              <w:autoSpaceDN/>
              <w:bidi w:val="0"/>
              <w:adjustRightInd/>
              <w:spacing w:line="240" w:lineRule="atLeast"/>
              <w:textAlignment w:val="auto"/>
              <w:rPr>
                <w:b w:val="0"/>
                <w:bCs w:val="0"/>
                <w:sz w:val="21"/>
                <w:szCs w:val="21"/>
              </w:rPr>
            </w:pPr>
            <w:r>
              <w:rPr>
                <w:b w:val="0"/>
                <w:bCs w:val="0"/>
                <w:sz w:val="21"/>
                <w:szCs w:val="21"/>
              </w:rPr>
              <w:t>2．9  </w:t>
            </w:r>
            <w:r>
              <w:rPr>
                <w:rFonts w:hint="eastAsia"/>
                <w:b w:val="0"/>
                <w:bCs w:val="0"/>
                <w:sz w:val="21"/>
                <w:szCs w:val="21"/>
              </w:rPr>
              <w:t xml:space="preserve">                        </w:t>
            </w:r>
            <w:r>
              <w:rPr>
                <w:b w:val="0"/>
                <w:bCs w:val="0"/>
                <w:sz w:val="21"/>
                <w:szCs w:val="21"/>
              </w:rPr>
              <w:t>爆炸上限(V%)：12．1  </w:t>
            </w:r>
          </w:p>
        </w:tc>
      </w:tr>
      <w:tr w14:paraId="1ED4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9F89AED">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298B8D74">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危险特性：</w:t>
            </w:r>
          </w:p>
        </w:tc>
        <w:tc>
          <w:tcPr>
            <w:tcW w:w="6889" w:type="dxa"/>
            <w:noWrap w:val="0"/>
            <w:vAlign w:val="center"/>
          </w:tcPr>
          <w:p w14:paraId="1D705CD0">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其蒸气与空气形成爆炸性混合物，遇明火、高热能引起燃烧爆炸。与氧化剂能发生强烈反应。易燃性(红色)： 2</w:t>
            </w:r>
            <w:r>
              <w:rPr>
                <w:rFonts w:hint="eastAsia"/>
                <w:b w:val="0"/>
                <w:bCs w:val="0"/>
                <w:sz w:val="21"/>
                <w:szCs w:val="21"/>
              </w:rPr>
              <w:t>；</w:t>
            </w:r>
            <w:r>
              <w:rPr>
                <w:b w:val="0"/>
                <w:bCs w:val="0"/>
                <w:sz w:val="21"/>
                <w:szCs w:val="21"/>
              </w:rPr>
              <w:t>反应活性(黄色)：0  </w:t>
            </w:r>
          </w:p>
        </w:tc>
      </w:tr>
      <w:tr w14:paraId="4BB2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9B014A9">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294E450D">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燃烧(分解)产物：</w:t>
            </w:r>
          </w:p>
        </w:tc>
        <w:tc>
          <w:tcPr>
            <w:tcW w:w="6889" w:type="dxa"/>
            <w:noWrap w:val="0"/>
            <w:vAlign w:val="center"/>
          </w:tcPr>
          <w:p w14:paraId="0D64A638">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 xml:space="preserve">一氧化碳、二氧化碳。 </w:t>
            </w:r>
            <w:r>
              <w:rPr>
                <w:rFonts w:hint="eastAsia"/>
                <w:b w:val="0"/>
                <w:bCs w:val="0"/>
                <w:sz w:val="21"/>
                <w:szCs w:val="21"/>
              </w:rPr>
              <w:t xml:space="preserve">     </w:t>
            </w:r>
            <w:r>
              <w:rPr>
                <w:b w:val="0"/>
                <w:bCs w:val="0"/>
                <w:sz w:val="21"/>
                <w:szCs w:val="21"/>
              </w:rPr>
              <w:t> 稳定性：稳定  </w:t>
            </w:r>
          </w:p>
        </w:tc>
      </w:tr>
      <w:tr w14:paraId="3C8B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51450E46">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55C42CE3">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聚合危害：</w:t>
            </w:r>
          </w:p>
        </w:tc>
        <w:tc>
          <w:tcPr>
            <w:tcW w:w="6889" w:type="dxa"/>
            <w:noWrap w:val="0"/>
            <w:vAlign w:val="center"/>
          </w:tcPr>
          <w:p w14:paraId="1BA530B0">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不能出现  </w:t>
            </w:r>
            <w:r>
              <w:rPr>
                <w:rFonts w:hint="eastAsia"/>
                <w:b w:val="0"/>
                <w:bCs w:val="0"/>
                <w:sz w:val="21"/>
                <w:szCs w:val="21"/>
              </w:rPr>
              <w:t xml:space="preserve">               </w:t>
            </w:r>
            <w:r>
              <w:rPr>
                <w:b w:val="0"/>
                <w:bCs w:val="0"/>
                <w:sz w:val="21"/>
                <w:szCs w:val="21"/>
              </w:rPr>
              <w:t>禁忌物：碱类、强氧化剂、强还原剂。</w:t>
            </w:r>
          </w:p>
        </w:tc>
      </w:tr>
      <w:tr w14:paraId="69C9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0DADEA9F">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4BE0294F">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ascii="宋体" w:hAnsi="宋体"/>
                <w:b w:val="0"/>
                <w:bCs w:val="0"/>
                <w:sz w:val="21"/>
                <w:szCs w:val="21"/>
              </w:rPr>
              <w:t>灭火方法：</w:t>
            </w:r>
          </w:p>
        </w:tc>
        <w:tc>
          <w:tcPr>
            <w:tcW w:w="6889" w:type="dxa"/>
            <w:noWrap w:val="0"/>
            <w:vAlign w:val="center"/>
          </w:tcPr>
          <w:p w14:paraId="4AE16D5F">
            <w:pPr>
              <w:keepNext w:val="0"/>
              <w:keepLines w:val="0"/>
              <w:pageBreakBefore w:val="0"/>
              <w:kinsoku/>
              <w:wordWrap/>
              <w:overflowPunct/>
              <w:topLinePunct w:val="0"/>
              <w:autoSpaceDE/>
              <w:autoSpaceDN/>
              <w:bidi w:val="0"/>
              <w:adjustRightInd/>
              <w:spacing w:line="240" w:lineRule="atLeast"/>
              <w:textAlignment w:val="auto"/>
              <w:rPr>
                <w:rFonts w:ascii="宋体" w:hAnsi="宋体"/>
                <w:b w:val="0"/>
                <w:bCs w:val="0"/>
                <w:sz w:val="21"/>
                <w:szCs w:val="21"/>
              </w:rPr>
            </w:pPr>
            <w:r>
              <w:rPr>
                <w:b w:val="0"/>
                <w:bCs w:val="0"/>
                <w:sz w:val="21"/>
                <w:szCs w:val="21"/>
              </w:rPr>
              <w:t>雾状水、二氧化碳、砂土、抗溶性泡沫。蒸气比空气重，易在低处聚集。封闭区域内的蒸气遇火能爆炸。蒸气能扩散到远处，遇点火源着火，并引起回燃。储存容器及其部件可能向四面八方飞射很远。如果该物质或被污染的流体进入水路，通知有潜在水体污染的下游用户，通知地方卫生、消防官员和污染控制部门。在安全防爆距离以外，使用雾状水冷却暴露的容器。  </w:t>
            </w:r>
          </w:p>
        </w:tc>
      </w:tr>
      <w:tr w14:paraId="1543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05FF2D97">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包装与储运</w:t>
            </w:r>
          </w:p>
        </w:tc>
        <w:tc>
          <w:tcPr>
            <w:tcW w:w="1633" w:type="dxa"/>
            <w:noWrap w:val="0"/>
            <w:vAlign w:val="center"/>
          </w:tcPr>
          <w:p w14:paraId="785F3636">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危险性类别：</w:t>
            </w:r>
          </w:p>
        </w:tc>
        <w:tc>
          <w:tcPr>
            <w:tcW w:w="6889" w:type="dxa"/>
            <w:noWrap w:val="0"/>
            <w:vAlign w:val="center"/>
          </w:tcPr>
          <w:p w14:paraId="0846D248">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第8，1类  酸性腐蚀品。</w:t>
            </w:r>
            <w:r>
              <w:rPr>
                <w:rFonts w:hint="eastAsia"/>
                <w:b w:val="0"/>
                <w:bCs w:val="0"/>
                <w:sz w:val="21"/>
                <w:szCs w:val="21"/>
              </w:rPr>
              <w:t xml:space="preserve"> </w:t>
            </w:r>
            <w:r>
              <w:rPr>
                <w:b w:val="0"/>
                <w:bCs w:val="0"/>
                <w:sz w:val="21"/>
                <w:szCs w:val="21"/>
              </w:rPr>
              <w:t xml:space="preserve">  危险货物包装标志：</w:t>
            </w:r>
            <w:r>
              <w:rPr>
                <w:rFonts w:hint="eastAsia"/>
                <w:b w:val="0"/>
                <w:bCs w:val="0"/>
                <w:sz w:val="21"/>
                <w:szCs w:val="21"/>
              </w:rPr>
              <w:t>16</w:t>
            </w:r>
            <w:r>
              <w:rPr>
                <w:b w:val="0"/>
                <w:bCs w:val="0"/>
                <w:sz w:val="21"/>
                <w:szCs w:val="21"/>
              </w:rPr>
              <w:t> </w:t>
            </w:r>
            <w:r>
              <w:rPr>
                <w:rFonts w:hint="eastAsia"/>
                <w:b w:val="0"/>
                <w:bCs w:val="0"/>
                <w:sz w:val="21"/>
                <w:szCs w:val="21"/>
              </w:rPr>
              <w:t xml:space="preserve">   </w:t>
            </w:r>
            <w:r>
              <w:rPr>
                <w:b w:val="0"/>
                <w:bCs w:val="0"/>
                <w:sz w:val="21"/>
                <w:szCs w:val="21"/>
              </w:rPr>
              <w:t>包装类别：Ⅲ</w:t>
            </w:r>
          </w:p>
        </w:tc>
      </w:tr>
      <w:tr w14:paraId="41DF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50DBEBC9">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4A8CC86A">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储运注意事项：</w:t>
            </w:r>
          </w:p>
        </w:tc>
        <w:tc>
          <w:tcPr>
            <w:tcW w:w="6889" w:type="dxa"/>
            <w:noWrap w:val="0"/>
            <w:vAlign w:val="center"/>
          </w:tcPr>
          <w:p w14:paraId="4AD1FC05">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储存于阴凉、通风仓间内。远寓火种、热源。仓温不宜超过30℃，保持容器密封，应与氧化剂、碱类分开存放。储存间内的照明、通风等设施应采用防爆型，开关设在仓外。配备相应品种和数量的消防器材。禁止使用易产生火花的机械设备和工具，分装和搬运作业要注意个人防护，搬运时要轻装轻卸，防止包装及容器损坏。ERG指南：132</w:t>
            </w:r>
            <w:r>
              <w:rPr>
                <w:rFonts w:hint="eastAsia"/>
                <w:b w:val="0"/>
                <w:bCs w:val="0"/>
                <w:sz w:val="21"/>
                <w:szCs w:val="21"/>
              </w:rPr>
              <w:t>；</w:t>
            </w:r>
            <w:r>
              <w:rPr>
                <w:b w:val="0"/>
                <w:bCs w:val="0"/>
                <w:sz w:val="21"/>
                <w:szCs w:val="21"/>
              </w:rPr>
              <w:t>ERG指南分类：易燃液体—腐蚀性的  </w:t>
            </w:r>
          </w:p>
        </w:tc>
      </w:tr>
      <w:tr w14:paraId="6EC3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509BF735">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毒性危害</w:t>
            </w:r>
          </w:p>
        </w:tc>
        <w:tc>
          <w:tcPr>
            <w:tcW w:w="1633" w:type="dxa"/>
            <w:noWrap w:val="0"/>
            <w:vAlign w:val="center"/>
          </w:tcPr>
          <w:p w14:paraId="177BF2D6">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接触限值：</w:t>
            </w:r>
          </w:p>
        </w:tc>
        <w:tc>
          <w:tcPr>
            <w:tcW w:w="6889" w:type="dxa"/>
            <w:noWrap w:val="0"/>
            <w:vAlign w:val="center"/>
          </w:tcPr>
          <w:p w14:paraId="5B9CEA61">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中国MAC：未制定标准</w:t>
            </w:r>
            <w:r>
              <w:rPr>
                <w:rFonts w:hint="eastAsia"/>
                <w:b w:val="0"/>
                <w:bCs w:val="0"/>
                <w:sz w:val="21"/>
                <w:szCs w:val="21"/>
              </w:rPr>
              <w:t>；</w:t>
            </w:r>
            <w:r>
              <w:rPr>
                <w:b w:val="0"/>
                <w:bCs w:val="0"/>
                <w:sz w:val="21"/>
                <w:szCs w:val="21"/>
              </w:rPr>
              <w:t>苏联MAC：20mg</w:t>
            </w:r>
            <w:r>
              <w:rPr>
                <w:rFonts w:hint="eastAsia"/>
                <w:b w:val="0"/>
                <w:bCs w:val="0"/>
                <w:sz w:val="21"/>
                <w:szCs w:val="21"/>
              </w:rPr>
              <w:t>/</w:t>
            </w:r>
            <w:r>
              <w:rPr>
                <w:b w:val="0"/>
                <w:bCs w:val="0"/>
                <w:sz w:val="21"/>
                <w:szCs w:val="21"/>
              </w:rPr>
              <w:t>m</w:t>
            </w:r>
            <w:r>
              <w:rPr>
                <w:b w:val="0"/>
                <w:bCs w:val="0"/>
                <w:sz w:val="21"/>
                <w:szCs w:val="21"/>
                <w:vertAlign w:val="superscript"/>
              </w:rPr>
              <w:t>3</w:t>
            </w:r>
            <w:r>
              <w:rPr>
                <w:rFonts w:hint="eastAsia"/>
                <w:b w:val="0"/>
                <w:bCs w:val="0"/>
                <w:sz w:val="21"/>
                <w:szCs w:val="21"/>
              </w:rPr>
              <w:t>；</w:t>
            </w:r>
          </w:p>
          <w:p w14:paraId="64A4F838">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美国TWA：ACGIH 10ppm，30mg</w:t>
            </w:r>
            <w:r>
              <w:rPr>
                <w:rFonts w:hint="eastAsia"/>
                <w:b w:val="0"/>
                <w:bCs w:val="0"/>
                <w:sz w:val="21"/>
                <w:szCs w:val="21"/>
              </w:rPr>
              <w:t>/</w:t>
            </w:r>
            <w:r>
              <w:rPr>
                <w:b w:val="0"/>
                <w:bCs w:val="0"/>
                <w:sz w:val="21"/>
                <w:szCs w:val="21"/>
              </w:rPr>
              <w:t>m</w:t>
            </w:r>
            <w:r>
              <w:rPr>
                <w:b w:val="0"/>
                <w:bCs w:val="0"/>
                <w:sz w:val="21"/>
                <w:szCs w:val="21"/>
                <w:vertAlign w:val="superscript"/>
              </w:rPr>
              <w:t>3</w:t>
            </w:r>
            <w:r>
              <w:rPr>
                <w:rFonts w:hint="eastAsia"/>
                <w:b w:val="0"/>
                <w:bCs w:val="0"/>
                <w:sz w:val="21"/>
                <w:szCs w:val="21"/>
              </w:rPr>
              <w:t>；</w:t>
            </w:r>
            <w:r>
              <w:rPr>
                <w:b w:val="0"/>
                <w:bCs w:val="0"/>
                <w:sz w:val="21"/>
                <w:szCs w:val="21"/>
              </w:rPr>
              <w:t>美国STEL：ACGIH(15ppm)，(45mg</w:t>
            </w:r>
            <w:r>
              <w:rPr>
                <w:rFonts w:hint="eastAsia"/>
                <w:b w:val="0"/>
                <w:bCs w:val="0"/>
                <w:sz w:val="21"/>
                <w:szCs w:val="21"/>
              </w:rPr>
              <w:t>/</w:t>
            </w:r>
            <w:r>
              <w:rPr>
                <w:b w:val="0"/>
                <w:bCs w:val="0"/>
                <w:sz w:val="21"/>
                <w:szCs w:val="21"/>
              </w:rPr>
              <w:t>m</w:t>
            </w:r>
            <w:r>
              <w:rPr>
                <w:b w:val="0"/>
                <w:bCs w:val="0"/>
                <w:sz w:val="21"/>
                <w:szCs w:val="21"/>
                <w:vertAlign w:val="superscript"/>
              </w:rPr>
              <w:t>3</w:t>
            </w:r>
            <w:r>
              <w:rPr>
                <w:b w:val="0"/>
                <w:bCs w:val="0"/>
                <w:sz w:val="21"/>
                <w:szCs w:val="21"/>
              </w:rPr>
              <w:t>)  </w:t>
            </w:r>
          </w:p>
        </w:tc>
      </w:tr>
      <w:tr w14:paraId="79FE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08E233C">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DE11D7B">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侵入途径：</w:t>
            </w:r>
          </w:p>
        </w:tc>
        <w:tc>
          <w:tcPr>
            <w:tcW w:w="6889" w:type="dxa"/>
            <w:noWrap w:val="0"/>
            <w:vAlign w:val="center"/>
          </w:tcPr>
          <w:p w14:paraId="2F06C22E">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吸入  食入  经皮吸收</w:t>
            </w:r>
          </w:p>
        </w:tc>
      </w:tr>
      <w:tr w14:paraId="3619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7EFFCC01">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66487CE4">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毒性：</w:t>
            </w:r>
          </w:p>
        </w:tc>
        <w:tc>
          <w:tcPr>
            <w:tcW w:w="6889" w:type="dxa"/>
            <w:noWrap w:val="0"/>
            <w:vAlign w:val="center"/>
          </w:tcPr>
          <w:p w14:paraId="346F2602">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属低毒类</w:t>
            </w:r>
            <w:r>
              <w:rPr>
                <w:rFonts w:hint="eastAsia"/>
                <w:b w:val="0"/>
                <w:bCs w:val="0"/>
                <w:sz w:val="21"/>
                <w:szCs w:val="21"/>
              </w:rPr>
              <w:t>。</w:t>
            </w:r>
            <w:r>
              <w:rPr>
                <w:b w:val="0"/>
                <w:bCs w:val="0"/>
                <w:sz w:val="21"/>
                <w:szCs w:val="21"/>
              </w:rPr>
              <w:t>LD</w:t>
            </w:r>
            <w:r>
              <w:rPr>
                <w:b w:val="0"/>
                <w:bCs w:val="0"/>
                <w:sz w:val="21"/>
                <w:szCs w:val="21"/>
                <w:vertAlign w:val="subscript"/>
              </w:rPr>
              <w:t>50</w:t>
            </w:r>
            <w:r>
              <w:rPr>
                <w:b w:val="0"/>
                <w:bCs w:val="0"/>
                <w:sz w:val="21"/>
                <w:szCs w:val="21"/>
              </w:rPr>
              <w:t>：3500mg</w:t>
            </w:r>
            <w:r>
              <w:rPr>
                <w:rFonts w:hint="eastAsia"/>
                <w:b w:val="0"/>
                <w:bCs w:val="0"/>
                <w:sz w:val="21"/>
                <w:szCs w:val="21"/>
              </w:rPr>
              <w:t>/</w:t>
            </w:r>
            <w:r>
              <w:rPr>
                <w:b w:val="0"/>
                <w:bCs w:val="0"/>
                <w:sz w:val="21"/>
                <w:szCs w:val="21"/>
              </w:rPr>
              <w:t>kg(大鼠经口)；500mg</w:t>
            </w:r>
            <w:r>
              <w:rPr>
                <w:rFonts w:hint="eastAsia"/>
                <w:b w:val="0"/>
                <w:bCs w:val="0"/>
                <w:sz w:val="21"/>
                <w:szCs w:val="21"/>
              </w:rPr>
              <w:t>/</w:t>
            </w:r>
            <w:r>
              <w:rPr>
                <w:b w:val="0"/>
                <w:bCs w:val="0"/>
                <w:sz w:val="21"/>
                <w:szCs w:val="21"/>
              </w:rPr>
              <w:t>kg(兔经皮)</w:t>
            </w:r>
          </w:p>
        </w:tc>
      </w:tr>
      <w:tr w14:paraId="2883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7A95851A">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4DF35D70">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健康危害：</w:t>
            </w:r>
          </w:p>
        </w:tc>
        <w:tc>
          <w:tcPr>
            <w:tcW w:w="6889" w:type="dxa"/>
            <w:noWrap w:val="0"/>
            <w:vAlign w:val="center"/>
          </w:tcPr>
          <w:p w14:paraId="6A3FFA7F">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吸入本品对呼吸道有强烈刺激性，可发生肺水肿。蒸气对眼有强烈刺激性，液体可致严重眼损害。皮肤接触可致灼伤。大量口服出现恶心、呕吐和腹痛。嗅阈：0．037ppm</w:t>
            </w:r>
            <w:r>
              <w:rPr>
                <w:rFonts w:hint="eastAsia"/>
                <w:b w:val="0"/>
                <w:bCs w:val="0"/>
                <w:sz w:val="21"/>
                <w:szCs w:val="21"/>
              </w:rPr>
              <w:t>；</w:t>
            </w:r>
            <w:r>
              <w:rPr>
                <w:b w:val="0"/>
                <w:bCs w:val="0"/>
                <w:sz w:val="21"/>
                <w:szCs w:val="21"/>
              </w:rPr>
              <w:t>健康危害(蓝色)：3  </w:t>
            </w:r>
          </w:p>
        </w:tc>
      </w:tr>
      <w:tr w14:paraId="13E1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3886A801">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急救</w:t>
            </w:r>
          </w:p>
        </w:tc>
        <w:tc>
          <w:tcPr>
            <w:tcW w:w="1633" w:type="dxa"/>
            <w:noWrap w:val="0"/>
            <w:vAlign w:val="center"/>
          </w:tcPr>
          <w:p w14:paraId="67B1EC14">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皮肤接触：</w:t>
            </w:r>
          </w:p>
        </w:tc>
        <w:tc>
          <w:tcPr>
            <w:tcW w:w="6889" w:type="dxa"/>
            <w:noWrap w:val="0"/>
            <w:vAlign w:val="center"/>
          </w:tcPr>
          <w:p w14:paraId="6B82E933">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脱去污染的衣着，立即用水冲洗至少15分钟。若有灼伤，就医治疗。注意患者保暖并且保持安静。吸入、食入或皮肤接触该物质可引起迟发反应。确保医务人员了解该物质相关的个体防护知识，注意自身防护。</w:t>
            </w:r>
          </w:p>
        </w:tc>
      </w:tr>
      <w:tr w14:paraId="28ED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07B1E04B">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4BC2CCDE">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眼睛接触：</w:t>
            </w:r>
          </w:p>
        </w:tc>
        <w:tc>
          <w:tcPr>
            <w:tcW w:w="6889" w:type="dxa"/>
            <w:noWrap w:val="0"/>
            <w:vAlign w:val="center"/>
          </w:tcPr>
          <w:p w14:paraId="5BE27E90">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立即提起眼睑，用流动清水或生理盐水冲洗至少15分钟，就医。</w:t>
            </w:r>
          </w:p>
        </w:tc>
      </w:tr>
      <w:tr w14:paraId="2A19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ACB5163">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306EA169">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吸入：</w:t>
            </w:r>
          </w:p>
        </w:tc>
        <w:tc>
          <w:tcPr>
            <w:tcW w:w="6889" w:type="dxa"/>
            <w:noWrap w:val="0"/>
            <w:vAlign w:val="center"/>
          </w:tcPr>
          <w:p w14:paraId="2E31ABD9">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迅速脱离现场至空气新鲜处。保持呼吸道通畅。必要时进行人工呼吸。就医。如果呼吸困难，给予吸氧。如果患者食入或吸入该物质不要用口对口进行人工呼吸，可用单向阀小型呼吸器或其他适当的医疗呼吸器。</w:t>
            </w:r>
          </w:p>
        </w:tc>
      </w:tr>
      <w:tr w14:paraId="2DE7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7DB7482D">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24C5940B">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 xml:space="preserve">食入： </w:t>
            </w:r>
          </w:p>
        </w:tc>
        <w:tc>
          <w:tcPr>
            <w:tcW w:w="6889" w:type="dxa"/>
            <w:noWrap w:val="0"/>
            <w:vAlign w:val="center"/>
          </w:tcPr>
          <w:p w14:paraId="19A63158">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误服者给饮大量温水，催吐，就医。  </w:t>
            </w:r>
          </w:p>
        </w:tc>
      </w:tr>
      <w:tr w14:paraId="6CF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restart"/>
            <w:noWrap w:val="0"/>
            <w:textDirection w:val="tbRlV"/>
            <w:vAlign w:val="center"/>
          </w:tcPr>
          <w:p w14:paraId="2F8F8BF4">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r>
              <w:rPr>
                <w:rFonts w:hint="eastAsia"/>
                <w:b w:val="0"/>
                <w:bCs w:val="0"/>
                <w:sz w:val="21"/>
                <w:szCs w:val="21"/>
              </w:rPr>
              <w:t>防护措施</w:t>
            </w:r>
          </w:p>
        </w:tc>
        <w:tc>
          <w:tcPr>
            <w:tcW w:w="1633" w:type="dxa"/>
            <w:noWrap w:val="0"/>
            <w:vAlign w:val="center"/>
          </w:tcPr>
          <w:p w14:paraId="5A2B9D1E">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工程控制：</w:t>
            </w:r>
          </w:p>
        </w:tc>
        <w:tc>
          <w:tcPr>
            <w:tcW w:w="6889" w:type="dxa"/>
            <w:noWrap w:val="0"/>
            <w:vAlign w:val="center"/>
          </w:tcPr>
          <w:p w14:paraId="3BF13C82">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生产过程密闭，加强通风。  </w:t>
            </w:r>
          </w:p>
        </w:tc>
      </w:tr>
      <w:tr w14:paraId="5A88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610272F6">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5AAE32A3">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呼吸系统防护：</w:t>
            </w:r>
          </w:p>
        </w:tc>
        <w:tc>
          <w:tcPr>
            <w:tcW w:w="6889" w:type="dxa"/>
            <w:noWrap w:val="0"/>
            <w:vAlign w:val="center"/>
          </w:tcPr>
          <w:p w14:paraId="7BA3D694">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空气中浓度超标时，应该佩带防毒面具。紧急事态抢救或逃生时，佩带自给式呼吸器。高于NIOSH REL浓度或尚未建立REL，任何可检测浓度下：自携式正压全面罩呼吸器、供气式正压全面罩呼吸器辅之以辅助自携式正压呼吸器。    逃生：装有机蒸气滤毒盒的空气净化式全面罩呼吸器(防毒面具)、自携式逃生呼吸器。</w:t>
            </w:r>
          </w:p>
        </w:tc>
      </w:tr>
      <w:tr w14:paraId="6C48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38" w:type="dxa"/>
            <w:vMerge w:val="continue"/>
            <w:noWrap w:val="0"/>
            <w:textDirection w:val="tbRlV"/>
            <w:vAlign w:val="center"/>
          </w:tcPr>
          <w:p w14:paraId="38800DA8">
            <w:pPr>
              <w:keepNext w:val="0"/>
              <w:keepLines w:val="0"/>
              <w:pageBreakBefore w:val="0"/>
              <w:kinsoku/>
              <w:wordWrap/>
              <w:overflowPunct/>
              <w:topLinePunct w:val="0"/>
              <w:autoSpaceDE/>
              <w:autoSpaceDN/>
              <w:bidi w:val="0"/>
              <w:adjustRightInd/>
              <w:spacing w:line="240" w:lineRule="atLeast"/>
              <w:ind w:left="113" w:right="113"/>
              <w:jc w:val="center"/>
              <w:textAlignment w:val="auto"/>
              <w:rPr>
                <w:rFonts w:hint="eastAsia"/>
                <w:b w:val="0"/>
                <w:bCs w:val="0"/>
                <w:sz w:val="21"/>
                <w:szCs w:val="21"/>
              </w:rPr>
            </w:pPr>
          </w:p>
        </w:tc>
        <w:tc>
          <w:tcPr>
            <w:tcW w:w="1633" w:type="dxa"/>
            <w:noWrap w:val="0"/>
            <w:vAlign w:val="center"/>
          </w:tcPr>
          <w:p w14:paraId="7AA6521A">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rFonts w:hint="eastAsia"/>
                <w:b w:val="0"/>
                <w:bCs w:val="0"/>
                <w:sz w:val="21"/>
                <w:szCs w:val="21"/>
              </w:rPr>
              <w:t>眼睛防护：</w:t>
            </w:r>
          </w:p>
        </w:tc>
        <w:tc>
          <w:tcPr>
            <w:tcW w:w="6889" w:type="dxa"/>
            <w:noWrap w:val="0"/>
            <w:vAlign w:val="center"/>
          </w:tcPr>
          <w:p w14:paraId="527AD481">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戴化学安全防护眼镜。  防护服：穿工作服(防腐材料制作)。  手防护：戴橡皮手套。</w:t>
            </w:r>
          </w:p>
        </w:tc>
      </w:tr>
      <w:tr w14:paraId="3E9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71" w:type="dxa"/>
            <w:gridSpan w:val="2"/>
            <w:noWrap w:val="0"/>
            <w:vAlign w:val="center"/>
          </w:tcPr>
          <w:p w14:paraId="6C114AA6">
            <w:pPr>
              <w:keepNext w:val="0"/>
              <w:keepLines w:val="0"/>
              <w:pageBreakBefore w:val="0"/>
              <w:kinsoku/>
              <w:wordWrap/>
              <w:overflowPunct/>
              <w:topLinePunct w:val="0"/>
              <w:autoSpaceDE/>
              <w:autoSpaceDN/>
              <w:bidi w:val="0"/>
              <w:adjustRightInd/>
              <w:spacing w:line="240" w:lineRule="atLeast"/>
              <w:jc w:val="center"/>
              <w:textAlignment w:val="auto"/>
              <w:rPr>
                <w:rFonts w:hint="eastAsia"/>
                <w:b w:val="0"/>
                <w:bCs w:val="0"/>
                <w:sz w:val="21"/>
                <w:szCs w:val="21"/>
              </w:rPr>
            </w:pPr>
            <w:r>
              <w:rPr>
                <w:rFonts w:hint="eastAsia"/>
                <w:b w:val="0"/>
                <w:bCs w:val="0"/>
                <w:sz w:val="21"/>
                <w:szCs w:val="21"/>
              </w:rPr>
              <w:t>泄漏处置：</w:t>
            </w:r>
          </w:p>
        </w:tc>
        <w:tc>
          <w:tcPr>
            <w:tcW w:w="6889" w:type="dxa"/>
            <w:noWrap w:val="0"/>
            <w:vAlign w:val="center"/>
          </w:tcPr>
          <w:p w14:paraId="483EA79D">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疏散泄漏污染区人员至安全区，禁止无关人员进入污染区，建议应急处理人员戴自给式呼吸器，穿化学防护服。不要直接接触泄漏物，在确保安全情况下堵漏，用沙土或</w:t>
            </w:r>
            <w:r>
              <w:rPr>
                <w:rFonts w:hint="eastAsia"/>
                <w:b w:val="0"/>
                <w:bCs w:val="0"/>
                <w:sz w:val="21"/>
                <w:szCs w:val="21"/>
                <w:lang w:eastAsia="zh-CN"/>
              </w:rPr>
              <w:t>其他不</w:t>
            </w:r>
            <w:r>
              <w:rPr>
                <w:b w:val="0"/>
                <w:bCs w:val="0"/>
                <w:sz w:val="21"/>
                <w:szCs w:val="21"/>
              </w:rPr>
              <w:t>燃性吸附剂混合吸收，然后收集运至废物处理场所处置，也可以用大量水冲洗，经．稀释的洗水放入废水系统。如大量泄漏，利用围堤收容，然后收集、转移、回收或无害处理后废弃。</w:t>
            </w:r>
          </w:p>
        </w:tc>
      </w:tr>
      <w:tr w14:paraId="513B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71" w:type="dxa"/>
            <w:gridSpan w:val="2"/>
            <w:noWrap w:val="0"/>
            <w:vAlign w:val="center"/>
          </w:tcPr>
          <w:p w14:paraId="043EC63A">
            <w:pPr>
              <w:keepNext w:val="0"/>
              <w:keepLines w:val="0"/>
              <w:pageBreakBefore w:val="0"/>
              <w:kinsoku/>
              <w:wordWrap/>
              <w:overflowPunct/>
              <w:topLinePunct w:val="0"/>
              <w:autoSpaceDE/>
              <w:autoSpaceDN/>
              <w:bidi w:val="0"/>
              <w:adjustRightInd/>
              <w:spacing w:line="240" w:lineRule="atLeast"/>
              <w:jc w:val="center"/>
              <w:textAlignment w:val="auto"/>
              <w:rPr>
                <w:rFonts w:hint="eastAsia"/>
                <w:b w:val="0"/>
                <w:bCs w:val="0"/>
                <w:sz w:val="21"/>
                <w:szCs w:val="21"/>
              </w:rPr>
            </w:pPr>
            <w:r>
              <w:rPr>
                <w:rFonts w:hint="eastAsia"/>
                <w:b w:val="0"/>
                <w:bCs w:val="0"/>
                <w:sz w:val="21"/>
                <w:szCs w:val="21"/>
              </w:rPr>
              <w:t>其他：</w:t>
            </w:r>
          </w:p>
        </w:tc>
        <w:tc>
          <w:tcPr>
            <w:tcW w:w="6889" w:type="dxa"/>
            <w:noWrap w:val="0"/>
            <w:vAlign w:val="center"/>
          </w:tcPr>
          <w:p w14:paraId="69509599">
            <w:pPr>
              <w:keepNext w:val="0"/>
              <w:keepLines w:val="0"/>
              <w:pageBreakBefore w:val="0"/>
              <w:kinsoku/>
              <w:wordWrap/>
              <w:overflowPunct/>
              <w:topLinePunct w:val="0"/>
              <w:autoSpaceDE/>
              <w:autoSpaceDN/>
              <w:bidi w:val="0"/>
              <w:adjustRightInd/>
              <w:spacing w:line="240" w:lineRule="atLeast"/>
              <w:textAlignment w:val="auto"/>
              <w:rPr>
                <w:rFonts w:hint="eastAsia"/>
                <w:b w:val="0"/>
                <w:bCs w:val="0"/>
                <w:sz w:val="21"/>
                <w:szCs w:val="21"/>
              </w:rPr>
            </w:pPr>
            <w:r>
              <w:rPr>
                <w:b w:val="0"/>
                <w:bCs w:val="0"/>
                <w:sz w:val="21"/>
                <w:szCs w:val="21"/>
              </w:rPr>
              <w:t>工作后，淋浴更衣。注意个人清洁卫生。</w:t>
            </w:r>
          </w:p>
        </w:tc>
      </w:tr>
    </w:tbl>
    <w:p w14:paraId="7996D3CD">
      <w:pPr>
        <w:spacing w:line="500" w:lineRule="exact"/>
        <w:ind w:firstLine="480" w:firstLineChars="200"/>
        <w:jc w:val="left"/>
        <w:rPr>
          <w:rFonts w:hint="default"/>
          <w:kern w:val="0"/>
          <w:sz w:val="24"/>
          <w:szCs w:val="20"/>
          <w:u w:val="single"/>
          <w:lang w:val="en-US" w:eastAsia="zh-CN"/>
        </w:rPr>
      </w:pPr>
      <w:r>
        <w:rPr>
          <w:rFonts w:hint="eastAsia"/>
          <w:kern w:val="0"/>
          <w:sz w:val="24"/>
          <w:szCs w:val="20"/>
          <w:u w:val="single"/>
          <w:lang w:val="en-US" w:eastAsia="zh-CN"/>
        </w:rPr>
        <w:t>废液里主要成分为丁酸、戊酸。丁酸及戊酸安全技术说明书详见表1.3-4、1.3-5。</w:t>
      </w:r>
    </w:p>
    <w:p w14:paraId="1B8F5210">
      <w:pPr>
        <w:spacing w:line="500" w:lineRule="exact"/>
        <w:ind w:firstLine="480" w:firstLineChars="200"/>
        <w:jc w:val="left"/>
        <w:rPr>
          <w:rFonts w:hint="default" w:eastAsia="宋体"/>
          <w:b/>
          <w:kern w:val="0"/>
          <w:sz w:val="24"/>
          <w:szCs w:val="20"/>
          <w:lang w:val="en-US" w:eastAsia="zh-CN"/>
        </w:rPr>
      </w:pPr>
      <w:r>
        <w:rPr>
          <w:rFonts w:hint="eastAsia"/>
          <w:kern w:val="0"/>
          <w:sz w:val="24"/>
          <w:szCs w:val="20"/>
          <w:lang w:eastAsia="zh-CN"/>
        </w:rPr>
        <w:t>（</w:t>
      </w:r>
      <w:r>
        <w:rPr>
          <w:rFonts w:hint="eastAsia"/>
          <w:kern w:val="0"/>
          <w:sz w:val="24"/>
          <w:szCs w:val="20"/>
          <w:lang w:val="en-US" w:eastAsia="zh-CN"/>
        </w:rPr>
        <w:t>3</w:t>
      </w:r>
      <w:r>
        <w:rPr>
          <w:rFonts w:hint="eastAsia"/>
          <w:kern w:val="0"/>
          <w:sz w:val="24"/>
          <w:szCs w:val="20"/>
          <w:lang w:eastAsia="zh-CN"/>
        </w:rPr>
        <w:t>）</w:t>
      </w:r>
      <w:r>
        <w:rPr>
          <w:rFonts w:hint="eastAsia"/>
          <w:kern w:val="0"/>
          <w:sz w:val="24"/>
          <w:szCs w:val="20"/>
          <w:lang w:val="en-US" w:eastAsia="zh-CN"/>
        </w:rPr>
        <w:t>丁酸</w:t>
      </w:r>
    </w:p>
    <w:p w14:paraId="50ABDA68">
      <w:pPr>
        <w:spacing w:line="500" w:lineRule="exact"/>
        <w:ind w:firstLine="482" w:firstLineChars="200"/>
        <w:jc w:val="center"/>
        <w:rPr>
          <w:b/>
          <w:kern w:val="0"/>
          <w:sz w:val="24"/>
          <w:szCs w:val="20"/>
        </w:rPr>
      </w:pPr>
      <w:r>
        <w:rPr>
          <w:rFonts w:hint="eastAsia"/>
          <w:b/>
          <w:kern w:val="0"/>
          <w:sz w:val="24"/>
          <w:szCs w:val="20"/>
        </w:rPr>
        <w:t>表1.3-4</w:t>
      </w:r>
      <w:r>
        <w:rPr>
          <w:rFonts w:hint="eastAsia"/>
          <w:b/>
          <w:kern w:val="0"/>
          <w:sz w:val="24"/>
          <w:szCs w:val="20"/>
          <w:lang w:val="en-US" w:eastAsia="zh-CN"/>
        </w:rPr>
        <w:t>丁酸</w:t>
      </w:r>
      <w:r>
        <w:rPr>
          <w:rFonts w:hint="eastAsia"/>
          <w:b/>
          <w:kern w:val="0"/>
          <w:sz w:val="24"/>
          <w:szCs w:val="20"/>
        </w:rPr>
        <w:t>安全技术说明书一览表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459"/>
        <w:gridCol w:w="6951"/>
      </w:tblGrid>
      <w:tr w14:paraId="284D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2FE1D0E1">
            <w:pPr>
              <w:spacing w:line="240" w:lineRule="exact"/>
              <w:jc w:val="center"/>
              <w:rPr>
                <w:b w:val="0"/>
                <w:bCs w:val="0"/>
                <w:kern w:val="0"/>
                <w:szCs w:val="21"/>
              </w:rPr>
            </w:pPr>
            <w:r>
              <w:rPr>
                <w:b w:val="0"/>
                <w:bCs w:val="0"/>
                <w:kern w:val="0"/>
                <w:szCs w:val="21"/>
              </w:rPr>
              <w:t>标识</w:t>
            </w:r>
          </w:p>
        </w:tc>
        <w:tc>
          <w:tcPr>
            <w:tcW w:w="1459" w:type="dxa"/>
            <w:tcBorders>
              <w:top w:val="single" w:color="auto" w:sz="4" w:space="0"/>
              <w:left w:val="single" w:color="auto" w:sz="4" w:space="0"/>
              <w:bottom w:val="single" w:color="auto" w:sz="4" w:space="0"/>
              <w:right w:val="single" w:color="auto" w:sz="4" w:space="0"/>
            </w:tcBorders>
            <w:vAlign w:val="center"/>
          </w:tcPr>
          <w:p w14:paraId="5D9E5177">
            <w:pPr>
              <w:spacing w:line="240" w:lineRule="exact"/>
              <w:jc w:val="left"/>
              <w:rPr>
                <w:b w:val="0"/>
                <w:bCs w:val="0"/>
                <w:kern w:val="0"/>
                <w:szCs w:val="21"/>
              </w:rPr>
            </w:pPr>
            <w:r>
              <w:rPr>
                <w:b w:val="0"/>
                <w:bCs w:val="0"/>
                <w:kern w:val="0"/>
                <w:szCs w:val="21"/>
              </w:rPr>
              <w:t>中文名：</w:t>
            </w:r>
          </w:p>
        </w:tc>
        <w:tc>
          <w:tcPr>
            <w:tcW w:w="6951" w:type="dxa"/>
            <w:tcBorders>
              <w:top w:val="single" w:color="auto" w:sz="4" w:space="0"/>
              <w:left w:val="single" w:color="auto" w:sz="4" w:space="0"/>
              <w:bottom w:val="single" w:color="auto" w:sz="4" w:space="0"/>
              <w:right w:val="single" w:color="auto" w:sz="4" w:space="0"/>
            </w:tcBorders>
            <w:vAlign w:val="center"/>
          </w:tcPr>
          <w:p w14:paraId="19B86D11">
            <w:pPr>
              <w:spacing w:line="240" w:lineRule="exact"/>
              <w:jc w:val="center"/>
              <w:rPr>
                <w:b w:val="0"/>
                <w:bCs w:val="0"/>
                <w:kern w:val="0"/>
                <w:szCs w:val="21"/>
              </w:rPr>
            </w:pPr>
            <w:r>
              <w:rPr>
                <w:rFonts w:hint="eastAsia"/>
                <w:b w:val="0"/>
                <w:bCs w:val="0"/>
                <w:kern w:val="0"/>
                <w:szCs w:val="21"/>
                <w:lang w:val="en-US" w:eastAsia="zh-CN"/>
              </w:rPr>
              <w:t>丁酸</w:t>
            </w:r>
            <w:r>
              <w:rPr>
                <w:b w:val="0"/>
                <w:bCs w:val="0"/>
                <w:kern w:val="0"/>
                <w:szCs w:val="21"/>
              </w:rPr>
              <w:t xml:space="preserve">                        英文名：</w:t>
            </w:r>
            <w:r>
              <w:rPr>
                <w:rFonts w:hint="eastAsia"/>
                <w:b w:val="0"/>
                <w:bCs w:val="0"/>
                <w:kern w:val="0"/>
                <w:szCs w:val="21"/>
              </w:rPr>
              <w:t>butyric acid</w:t>
            </w:r>
            <w:r>
              <w:rPr>
                <w:b w:val="0"/>
                <w:bCs w:val="0"/>
                <w:kern w:val="0"/>
                <w:szCs w:val="21"/>
              </w:rPr>
              <w:t xml:space="preserve">  </w:t>
            </w:r>
          </w:p>
        </w:tc>
      </w:tr>
      <w:tr w14:paraId="67F7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50E23CA3">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2EDFB94F">
            <w:pPr>
              <w:spacing w:line="240" w:lineRule="exact"/>
              <w:jc w:val="left"/>
              <w:rPr>
                <w:b w:val="0"/>
                <w:bCs w:val="0"/>
                <w:kern w:val="0"/>
                <w:szCs w:val="21"/>
              </w:rPr>
            </w:pPr>
            <w:r>
              <w:rPr>
                <w:b w:val="0"/>
                <w:bCs w:val="0"/>
                <w:kern w:val="0"/>
                <w:szCs w:val="21"/>
              </w:rPr>
              <w:t>分子式：</w:t>
            </w:r>
          </w:p>
        </w:tc>
        <w:tc>
          <w:tcPr>
            <w:tcW w:w="6951" w:type="dxa"/>
            <w:tcBorders>
              <w:top w:val="single" w:color="auto" w:sz="4" w:space="0"/>
              <w:left w:val="single" w:color="auto" w:sz="4" w:space="0"/>
              <w:bottom w:val="single" w:color="auto" w:sz="4" w:space="0"/>
              <w:right w:val="single" w:color="auto" w:sz="4" w:space="0"/>
            </w:tcBorders>
            <w:vAlign w:val="center"/>
          </w:tcPr>
          <w:p w14:paraId="373FA391">
            <w:pPr>
              <w:spacing w:line="240" w:lineRule="exact"/>
              <w:ind w:left="0" w:leftChars="0" w:right="0" w:rightChars="0" w:firstLine="0" w:firstLineChars="0"/>
              <w:jc w:val="center"/>
              <w:rPr>
                <w:b w:val="0"/>
                <w:bCs w:val="0"/>
                <w:kern w:val="0"/>
                <w:szCs w:val="21"/>
              </w:rPr>
            </w:pPr>
            <w:r>
              <w:rPr>
                <w:rFonts w:hint="eastAsia"/>
                <w:b w:val="0"/>
                <w:bCs w:val="0"/>
                <w:kern w:val="0"/>
                <w:szCs w:val="21"/>
              </w:rPr>
              <w:t>C</w:t>
            </w:r>
            <w:r>
              <w:rPr>
                <w:rFonts w:hint="eastAsia"/>
                <w:b w:val="0"/>
                <w:bCs w:val="0"/>
                <w:kern w:val="0"/>
                <w:szCs w:val="21"/>
                <w:vertAlign w:val="subscript"/>
              </w:rPr>
              <w:t>4</w:t>
            </w:r>
            <w:r>
              <w:rPr>
                <w:rFonts w:hint="eastAsia"/>
                <w:b w:val="0"/>
                <w:bCs w:val="0"/>
                <w:kern w:val="0"/>
                <w:szCs w:val="21"/>
              </w:rPr>
              <w:t>H</w:t>
            </w:r>
            <w:r>
              <w:rPr>
                <w:rFonts w:hint="eastAsia"/>
                <w:b w:val="0"/>
                <w:bCs w:val="0"/>
                <w:kern w:val="0"/>
                <w:szCs w:val="21"/>
                <w:vertAlign w:val="subscript"/>
              </w:rPr>
              <w:t>8</w:t>
            </w:r>
            <w:r>
              <w:rPr>
                <w:rFonts w:hint="eastAsia"/>
                <w:b w:val="0"/>
                <w:bCs w:val="0"/>
                <w:kern w:val="0"/>
                <w:szCs w:val="21"/>
              </w:rPr>
              <w:t>O</w:t>
            </w:r>
            <w:r>
              <w:rPr>
                <w:rFonts w:hint="eastAsia"/>
                <w:b w:val="0"/>
                <w:bCs w:val="0"/>
                <w:kern w:val="0"/>
                <w:szCs w:val="21"/>
                <w:vertAlign w:val="subscript"/>
              </w:rPr>
              <w:t>2</w:t>
            </w:r>
          </w:p>
        </w:tc>
      </w:tr>
      <w:tr w14:paraId="3C72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67AFDB88">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2BCBC430">
            <w:pPr>
              <w:spacing w:line="240" w:lineRule="exact"/>
              <w:jc w:val="left"/>
              <w:rPr>
                <w:b w:val="0"/>
                <w:bCs w:val="0"/>
                <w:kern w:val="0"/>
                <w:szCs w:val="21"/>
              </w:rPr>
            </w:pPr>
            <w:r>
              <w:rPr>
                <w:b w:val="0"/>
                <w:bCs w:val="0"/>
                <w:kern w:val="0"/>
                <w:szCs w:val="21"/>
              </w:rPr>
              <w:t>CAS号：</w:t>
            </w:r>
          </w:p>
        </w:tc>
        <w:tc>
          <w:tcPr>
            <w:tcW w:w="6951" w:type="dxa"/>
            <w:tcBorders>
              <w:top w:val="single" w:color="auto" w:sz="4" w:space="0"/>
              <w:left w:val="single" w:color="auto" w:sz="4" w:space="0"/>
              <w:bottom w:val="single" w:color="auto" w:sz="4" w:space="0"/>
              <w:right w:val="single" w:color="auto" w:sz="4" w:space="0"/>
            </w:tcBorders>
            <w:vAlign w:val="center"/>
          </w:tcPr>
          <w:p w14:paraId="1EC6DFD0">
            <w:pPr>
              <w:spacing w:line="240" w:lineRule="exact"/>
              <w:ind w:left="0" w:leftChars="0" w:right="0" w:rightChars="0" w:firstLine="0" w:firstLineChars="0"/>
              <w:jc w:val="center"/>
              <w:rPr>
                <w:b w:val="0"/>
                <w:bCs w:val="0"/>
                <w:kern w:val="0"/>
                <w:szCs w:val="21"/>
              </w:rPr>
            </w:pPr>
            <w:r>
              <w:rPr>
                <w:rFonts w:hint="eastAsia"/>
                <w:b w:val="0"/>
                <w:bCs w:val="0"/>
                <w:kern w:val="0"/>
                <w:szCs w:val="21"/>
                <w:lang w:val="en-US" w:eastAsia="zh-CN"/>
              </w:rPr>
              <w:t>107-92-6</w:t>
            </w:r>
          </w:p>
        </w:tc>
      </w:tr>
      <w:tr w14:paraId="31A0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2323B28E">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10789050">
            <w:pPr>
              <w:spacing w:line="240" w:lineRule="exact"/>
              <w:jc w:val="left"/>
              <w:rPr>
                <w:b w:val="0"/>
                <w:bCs w:val="0"/>
                <w:kern w:val="0"/>
                <w:szCs w:val="21"/>
              </w:rPr>
            </w:pPr>
            <w:r>
              <w:rPr>
                <w:b w:val="0"/>
                <w:bCs w:val="0"/>
                <w:kern w:val="0"/>
                <w:szCs w:val="21"/>
              </w:rPr>
              <w:t>UN编号：</w:t>
            </w:r>
          </w:p>
        </w:tc>
        <w:tc>
          <w:tcPr>
            <w:tcW w:w="6951" w:type="dxa"/>
            <w:tcBorders>
              <w:top w:val="single" w:color="auto" w:sz="4" w:space="0"/>
              <w:left w:val="single" w:color="auto" w:sz="4" w:space="0"/>
              <w:bottom w:val="single" w:color="auto" w:sz="4" w:space="0"/>
              <w:right w:val="single" w:color="auto" w:sz="4" w:space="0"/>
            </w:tcBorders>
            <w:vAlign w:val="center"/>
          </w:tcPr>
          <w:p w14:paraId="502175C3">
            <w:pPr>
              <w:spacing w:line="240" w:lineRule="exact"/>
              <w:ind w:left="0" w:leftChars="0" w:right="0" w:rightChars="0" w:firstLine="0" w:firstLineChars="0"/>
              <w:jc w:val="center"/>
              <w:rPr>
                <w:b w:val="0"/>
                <w:bCs w:val="0"/>
                <w:kern w:val="0"/>
                <w:szCs w:val="21"/>
              </w:rPr>
            </w:pPr>
            <w:r>
              <w:rPr>
                <w:rFonts w:hint="eastAsia"/>
                <w:b w:val="0"/>
                <w:bCs w:val="0"/>
                <w:kern w:val="0"/>
                <w:szCs w:val="21"/>
                <w:lang w:val="en-US" w:eastAsia="zh-CN"/>
              </w:rPr>
              <w:t>922</w:t>
            </w:r>
          </w:p>
        </w:tc>
      </w:tr>
      <w:tr w14:paraId="70CA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4530565D">
            <w:pPr>
              <w:spacing w:line="240" w:lineRule="exact"/>
              <w:jc w:val="center"/>
              <w:rPr>
                <w:b w:val="0"/>
                <w:bCs w:val="0"/>
                <w:kern w:val="0"/>
                <w:szCs w:val="21"/>
              </w:rPr>
            </w:pPr>
            <w:r>
              <w:rPr>
                <w:b w:val="0"/>
                <w:bCs w:val="0"/>
                <w:kern w:val="0"/>
                <w:szCs w:val="21"/>
              </w:rPr>
              <w:t>包装与储运</w:t>
            </w:r>
          </w:p>
        </w:tc>
        <w:tc>
          <w:tcPr>
            <w:tcW w:w="1459" w:type="dxa"/>
            <w:tcBorders>
              <w:top w:val="single" w:color="auto" w:sz="4" w:space="0"/>
              <w:left w:val="single" w:color="auto" w:sz="4" w:space="0"/>
              <w:bottom w:val="single" w:color="auto" w:sz="4" w:space="0"/>
              <w:right w:val="single" w:color="auto" w:sz="4" w:space="0"/>
            </w:tcBorders>
            <w:vAlign w:val="center"/>
          </w:tcPr>
          <w:p w14:paraId="5F37FCCA">
            <w:pPr>
              <w:spacing w:line="240" w:lineRule="exact"/>
              <w:jc w:val="left"/>
              <w:rPr>
                <w:b w:val="0"/>
                <w:bCs w:val="0"/>
                <w:kern w:val="0"/>
                <w:szCs w:val="21"/>
              </w:rPr>
            </w:pPr>
            <w:r>
              <w:rPr>
                <w:b w:val="0"/>
                <w:bCs w:val="0"/>
                <w:kern w:val="0"/>
                <w:szCs w:val="21"/>
              </w:rPr>
              <w:t>危险性类别：</w:t>
            </w:r>
          </w:p>
        </w:tc>
        <w:tc>
          <w:tcPr>
            <w:tcW w:w="6951" w:type="dxa"/>
            <w:tcBorders>
              <w:top w:val="single" w:color="auto" w:sz="4" w:space="0"/>
              <w:left w:val="single" w:color="auto" w:sz="4" w:space="0"/>
              <w:bottom w:val="single" w:color="auto" w:sz="4" w:space="0"/>
              <w:right w:val="single" w:color="auto" w:sz="4" w:space="0"/>
            </w:tcBorders>
            <w:vAlign w:val="center"/>
          </w:tcPr>
          <w:p w14:paraId="5E6817A5">
            <w:pPr>
              <w:spacing w:line="240" w:lineRule="exact"/>
              <w:jc w:val="center"/>
              <w:rPr>
                <w:b w:val="0"/>
                <w:bCs w:val="0"/>
                <w:kern w:val="0"/>
                <w:szCs w:val="21"/>
              </w:rPr>
            </w:pPr>
            <w:r>
              <w:rPr>
                <w:rFonts w:hint="eastAsia"/>
                <w:b w:val="0"/>
                <w:bCs w:val="0"/>
                <w:kern w:val="0"/>
                <w:szCs w:val="21"/>
              </w:rPr>
              <w:t>遇明火、高热可燃。对大多数金属有腐蚀性</w:t>
            </w:r>
          </w:p>
        </w:tc>
      </w:tr>
      <w:tr w14:paraId="3ED8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1E80C69A">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7AE8B389">
            <w:pPr>
              <w:spacing w:line="240" w:lineRule="exact"/>
              <w:jc w:val="left"/>
              <w:rPr>
                <w:b w:val="0"/>
                <w:bCs w:val="0"/>
                <w:kern w:val="0"/>
                <w:szCs w:val="21"/>
              </w:rPr>
            </w:pPr>
            <w:r>
              <w:rPr>
                <w:b w:val="0"/>
                <w:bCs w:val="0"/>
                <w:kern w:val="0"/>
                <w:szCs w:val="21"/>
              </w:rPr>
              <w:t>储运注意事项：</w:t>
            </w:r>
          </w:p>
        </w:tc>
        <w:tc>
          <w:tcPr>
            <w:tcW w:w="6951" w:type="dxa"/>
            <w:tcBorders>
              <w:top w:val="single" w:color="auto" w:sz="4" w:space="0"/>
              <w:left w:val="single" w:color="auto" w:sz="4" w:space="0"/>
              <w:bottom w:val="single" w:color="auto" w:sz="4" w:space="0"/>
              <w:right w:val="single" w:color="auto" w:sz="4" w:space="0"/>
            </w:tcBorders>
            <w:vAlign w:val="center"/>
          </w:tcPr>
          <w:p w14:paraId="69C6E50C">
            <w:pPr>
              <w:spacing w:line="240" w:lineRule="exact"/>
              <w:jc w:val="center"/>
              <w:rPr>
                <w:b w:val="0"/>
                <w:bCs w:val="0"/>
                <w:kern w:val="0"/>
                <w:szCs w:val="21"/>
              </w:rPr>
            </w:pPr>
            <w:r>
              <w:rPr>
                <w:rFonts w:hint="eastAsia"/>
                <w:b w:val="0"/>
                <w:bCs w:val="0"/>
                <w:kern w:val="0"/>
                <w:szCs w:val="21"/>
              </w:rPr>
              <w:t>储存于阴凉、通风的库房。远离火种、热源。库温不宜超过30℃。保持容器密封。应与氧化剂、还原剂、碱类分开存放，切忌混储。配备相应品种和数量的消防器材。储区应备有泄漏应急处理设备和合适的收容材料。</w:t>
            </w:r>
          </w:p>
        </w:tc>
      </w:tr>
      <w:tr w14:paraId="1890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70C8CA37">
            <w:pPr>
              <w:spacing w:line="240" w:lineRule="exact"/>
              <w:jc w:val="center"/>
              <w:rPr>
                <w:b w:val="0"/>
                <w:bCs w:val="0"/>
                <w:kern w:val="0"/>
                <w:szCs w:val="21"/>
              </w:rPr>
            </w:pPr>
            <w:r>
              <w:rPr>
                <w:b w:val="0"/>
                <w:bCs w:val="0"/>
                <w:kern w:val="0"/>
                <w:szCs w:val="21"/>
              </w:rPr>
              <w:t>危害</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7459526B">
            <w:pPr>
              <w:spacing w:line="240" w:lineRule="exact"/>
              <w:jc w:val="left"/>
              <w:rPr>
                <w:rFonts w:ascii="Times New Roman" w:hAnsi="Times New Roman" w:eastAsia="宋体" w:cs="Times New Roman"/>
                <w:b w:val="0"/>
                <w:bCs w:val="0"/>
                <w:kern w:val="0"/>
                <w:sz w:val="21"/>
                <w:szCs w:val="21"/>
                <w:lang w:val="en-US" w:eastAsia="zh-CN" w:bidi="ar-SA"/>
              </w:rPr>
            </w:pPr>
            <w:r>
              <w:rPr>
                <w:b w:val="0"/>
                <w:bCs w:val="0"/>
                <w:kern w:val="0"/>
                <w:szCs w:val="21"/>
              </w:rPr>
              <w:t>健康危害：</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102829B">
            <w:pPr>
              <w:spacing w:line="240" w:lineRule="exact"/>
              <w:jc w:val="center"/>
              <w:rPr>
                <w:rFonts w:ascii="Times New Roman" w:hAnsi="Times New Roman" w:eastAsia="宋体" w:cs="Times New Roman"/>
                <w:b w:val="0"/>
                <w:bCs w:val="0"/>
                <w:kern w:val="0"/>
                <w:sz w:val="21"/>
                <w:szCs w:val="21"/>
                <w:lang w:val="en-US" w:eastAsia="zh-CN" w:bidi="ar-SA"/>
              </w:rPr>
            </w:pPr>
            <w:r>
              <w:rPr>
                <w:rFonts w:hint="eastAsia"/>
                <w:b w:val="0"/>
                <w:bCs w:val="0"/>
                <w:kern w:val="0"/>
                <w:szCs w:val="21"/>
              </w:rPr>
              <w:t>高浓度一次接触，可引起皮肤、眼或粘膜的中度刺激性损害。</w:t>
            </w:r>
          </w:p>
        </w:tc>
      </w:tr>
      <w:tr w14:paraId="68CE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047DF726">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4D1C4E03">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环境危害：</w:t>
            </w:r>
          </w:p>
        </w:tc>
        <w:tc>
          <w:tcPr>
            <w:tcW w:w="6951" w:type="dxa"/>
            <w:tcBorders>
              <w:top w:val="single" w:color="auto" w:sz="4" w:space="0"/>
              <w:left w:val="single" w:color="auto" w:sz="4" w:space="0"/>
              <w:bottom w:val="single" w:color="auto" w:sz="4" w:space="0"/>
              <w:right w:val="single" w:color="auto" w:sz="4" w:space="0"/>
            </w:tcBorders>
            <w:vAlign w:val="center"/>
          </w:tcPr>
          <w:p w14:paraId="0B713DE0">
            <w:pPr>
              <w:spacing w:line="240" w:lineRule="exact"/>
              <w:jc w:val="center"/>
              <w:rPr>
                <w:b w:val="0"/>
                <w:bCs w:val="0"/>
                <w:kern w:val="0"/>
                <w:szCs w:val="21"/>
              </w:rPr>
            </w:pPr>
            <w:r>
              <w:rPr>
                <w:rFonts w:hint="eastAsia"/>
                <w:b w:val="0"/>
                <w:bCs w:val="0"/>
                <w:kern w:val="0"/>
                <w:szCs w:val="21"/>
              </w:rPr>
              <w:t>对环境有危害，对水体可造成污染。</w:t>
            </w:r>
          </w:p>
        </w:tc>
      </w:tr>
      <w:tr w14:paraId="20B7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39E58841">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12826A17">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爆炸危害：</w:t>
            </w:r>
          </w:p>
        </w:tc>
        <w:tc>
          <w:tcPr>
            <w:tcW w:w="6951" w:type="dxa"/>
            <w:tcBorders>
              <w:top w:val="single" w:color="auto" w:sz="4" w:space="0"/>
              <w:left w:val="single" w:color="auto" w:sz="4" w:space="0"/>
              <w:bottom w:val="single" w:color="auto" w:sz="4" w:space="0"/>
              <w:right w:val="single" w:color="auto" w:sz="4" w:space="0"/>
            </w:tcBorders>
            <w:vAlign w:val="center"/>
          </w:tcPr>
          <w:p w14:paraId="33FBB830">
            <w:pPr>
              <w:spacing w:line="240" w:lineRule="exact"/>
              <w:jc w:val="center"/>
              <w:rPr>
                <w:b w:val="0"/>
                <w:bCs w:val="0"/>
                <w:kern w:val="0"/>
                <w:szCs w:val="21"/>
              </w:rPr>
            </w:pPr>
            <w:r>
              <w:rPr>
                <w:rFonts w:hint="eastAsia"/>
                <w:b w:val="0"/>
                <w:bCs w:val="0"/>
                <w:kern w:val="0"/>
                <w:szCs w:val="21"/>
              </w:rPr>
              <w:t>本品可燃，具腐蚀性、刺激性，可致人体灼伤。</w:t>
            </w:r>
          </w:p>
        </w:tc>
      </w:tr>
      <w:tr w14:paraId="7014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624431FA">
            <w:pPr>
              <w:spacing w:line="240" w:lineRule="exact"/>
              <w:jc w:val="center"/>
              <w:rPr>
                <w:b w:val="0"/>
                <w:bCs w:val="0"/>
                <w:kern w:val="0"/>
                <w:szCs w:val="21"/>
              </w:rPr>
            </w:pPr>
            <w:r>
              <w:rPr>
                <w:b w:val="0"/>
                <w:bCs w:val="0"/>
                <w:kern w:val="0"/>
                <w:szCs w:val="21"/>
              </w:rPr>
              <w:t>急救</w:t>
            </w:r>
          </w:p>
        </w:tc>
        <w:tc>
          <w:tcPr>
            <w:tcW w:w="1459" w:type="dxa"/>
            <w:tcBorders>
              <w:top w:val="single" w:color="auto" w:sz="4" w:space="0"/>
              <w:left w:val="single" w:color="auto" w:sz="4" w:space="0"/>
              <w:bottom w:val="single" w:color="auto" w:sz="4" w:space="0"/>
              <w:right w:val="single" w:color="auto" w:sz="4" w:space="0"/>
            </w:tcBorders>
            <w:vAlign w:val="center"/>
          </w:tcPr>
          <w:p w14:paraId="539B37D5">
            <w:pPr>
              <w:spacing w:line="240" w:lineRule="exact"/>
              <w:jc w:val="left"/>
              <w:rPr>
                <w:b w:val="0"/>
                <w:bCs w:val="0"/>
                <w:kern w:val="0"/>
                <w:szCs w:val="21"/>
              </w:rPr>
            </w:pPr>
            <w:r>
              <w:rPr>
                <w:b w:val="0"/>
                <w:bCs w:val="0"/>
                <w:kern w:val="0"/>
                <w:szCs w:val="21"/>
              </w:rPr>
              <w:t>皮肤接触：</w:t>
            </w:r>
          </w:p>
        </w:tc>
        <w:tc>
          <w:tcPr>
            <w:tcW w:w="6951" w:type="dxa"/>
            <w:tcBorders>
              <w:top w:val="single" w:color="auto" w:sz="4" w:space="0"/>
              <w:left w:val="single" w:color="auto" w:sz="4" w:space="0"/>
              <w:bottom w:val="single" w:color="auto" w:sz="4" w:space="0"/>
              <w:right w:val="single" w:color="auto" w:sz="4" w:space="0"/>
            </w:tcBorders>
            <w:vAlign w:val="center"/>
          </w:tcPr>
          <w:p w14:paraId="12D38E22">
            <w:pPr>
              <w:spacing w:line="240" w:lineRule="exact"/>
              <w:jc w:val="center"/>
              <w:rPr>
                <w:b w:val="0"/>
                <w:bCs w:val="0"/>
                <w:kern w:val="0"/>
                <w:szCs w:val="21"/>
              </w:rPr>
            </w:pPr>
            <w:r>
              <w:rPr>
                <w:rFonts w:hint="eastAsia"/>
                <w:b w:val="0"/>
                <w:bCs w:val="0"/>
                <w:kern w:val="0"/>
                <w:szCs w:val="21"/>
              </w:rPr>
              <w:t>脱去污染的衣着，用肥皂水和清水彻底冲洗皮肤</w:t>
            </w:r>
          </w:p>
        </w:tc>
      </w:tr>
      <w:tr w14:paraId="3BCB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312422B1">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51540F0C">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眼睛接触：</w:t>
            </w:r>
          </w:p>
        </w:tc>
        <w:tc>
          <w:tcPr>
            <w:tcW w:w="6951" w:type="dxa"/>
            <w:tcBorders>
              <w:top w:val="single" w:color="auto" w:sz="4" w:space="0"/>
              <w:left w:val="single" w:color="auto" w:sz="4" w:space="0"/>
              <w:bottom w:val="single" w:color="auto" w:sz="4" w:space="0"/>
              <w:right w:val="single" w:color="auto" w:sz="4" w:space="0"/>
            </w:tcBorders>
            <w:vAlign w:val="center"/>
          </w:tcPr>
          <w:p w14:paraId="4D73943D">
            <w:pPr>
              <w:spacing w:line="240" w:lineRule="exact"/>
              <w:jc w:val="center"/>
              <w:rPr>
                <w:b w:val="0"/>
                <w:bCs w:val="0"/>
                <w:kern w:val="0"/>
                <w:szCs w:val="21"/>
              </w:rPr>
            </w:pPr>
            <w:r>
              <w:rPr>
                <w:rFonts w:hint="eastAsia"/>
                <w:b w:val="0"/>
                <w:bCs w:val="0"/>
                <w:kern w:val="0"/>
                <w:szCs w:val="21"/>
              </w:rPr>
              <w:t>提起眼睑，用流动清水或生理盐水冲洗。就医</w:t>
            </w:r>
          </w:p>
        </w:tc>
      </w:tr>
      <w:tr w14:paraId="6BAC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4E8DBA8D">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2D5C8DDE">
            <w:pPr>
              <w:spacing w:line="240" w:lineRule="exact"/>
              <w:jc w:val="left"/>
              <w:rPr>
                <w:rFonts w:hint="eastAsia" w:ascii="Times New Roman" w:hAnsi="Times New Roman" w:eastAsia="宋体" w:cs="Times New Roman"/>
                <w:b w:val="0"/>
                <w:bCs w:val="0"/>
                <w:kern w:val="0"/>
                <w:sz w:val="21"/>
                <w:szCs w:val="21"/>
                <w:lang w:val="en-US" w:eastAsia="zh-CN" w:bidi="ar-SA"/>
              </w:rPr>
            </w:pPr>
            <w:r>
              <w:rPr>
                <w:b w:val="0"/>
                <w:bCs w:val="0"/>
                <w:kern w:val="0"/>
                <w:szCs w:val="21"/>
              </w:rPr>
              <w:t>吸入：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BC88BBD">
            <w:pPr>
              <w:spacing w:line="240" w:lineRule="exact"/>
              <w:jc w:val="center"/>
              <w:rPr>
                <w:rFonts w:hint="eastAsia" w:ascii="Times New Roman" w:hAnsi="Times New Roman" w:eastAsia="宋体" w:cs="Times New Roman"/>
                <w:b w:val="0"/>
                <w:bCs w:val="0"/>
                <w:kern w:val="0"/>
                <w:sz w:val="21"/>
                <w:szCs w:val="21"/>
                <w:lang w:val="en-US" w:eastAsia="zh-CN" w:bidi="ar-SA"/>
              </w:rPr>
            </w:pPr>
            <w:r>
              <w:rPr>
                <w:b w:val="0"/>
                <w:bCs w:val="0"/>
                <w:kern w:val="0"/>
                <w:szCs w:val="21"/>
              </w:rPr>
              <w:t>迅速脱离现场至空气新鲜处。保持呼吸道通畅。呼吸困难时给输氧。呼吸停止时，立即进行人工呼吸。就医。</w:t>
            </w:r>
          </w:p>
        </w:tc>
      </w:tr>
      <w:tr w14:paraId="4FEA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0639570A">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757E2364">
            <w:pPr>
              <w:spacing w:line="240" w:lineRule="exact"/>
              <w:jc w:val="left"/>
              <w:rPr>
                <w:rFonts w:hint="eastAsia" w:eastAsia="宋体"/>
                <w:b w:val="0"/>
                <w:bCs w:val="0"/>
                <w:kern w:val="0"/>
                <w:szCs w:val="21"/>
                <w:lang w:val="en-US" w:eastAsia="zh-CN"/>
              </w:rPr>
            </w:pPr>
            <w:r>
              <w:rPr>
                <w:rFonts w:hint="eastAsia"/>
                <w:b w:val="0"/>
                <w:bCs w:val="0"/>
                <w:kern w:val="0"/>
                <w:szCs w:val="21"/>
                <w:lang w:val="en-US" w:eastAsia="zh-CN"/>
              </w:rPr>
              <w:t>食入：</w:t>
            </w:r>
          </w:p>
        </w:tc>
        <w:tc>
          <w:tcPr>
            <w:tcW w:w="6951" w:type="dxa"/>
            <w:tcBorders>
              <w:top w:val="single" w:color="auto" w:sz="4" w:space="0"/>
              <w:left w:val="single" w:color="auto" w:sz="4" w:space="0"/>
              <w:bottom w:val="single" w:color="auto" w:sz="4" w:space="0"/>
              <w:right w:val="single" w:color="auto" w:sz="4" w:space="0"/>
            </w:tcBorders>
            <w:vAlign w:val="center"/>
          </w:tcPr>
          <w:p w14:paraId="4B871CDA">
            <w:pPr>
              <w:spacing w:line="240" w:lineRule="exact"/>
              <w:jc w:val="center"/>
              <w:rPr>
                <w:b w:val="0"/>
                <w:bCs w:val="0"/>
                <w:kern w:val="0"/>
                <w:szCs w:val="21"/>
              </w:rPr>
            </w:pPr>
            <w:r>
              <w:rPr>
                <w:rFonts w:hint="eastAsia"/>
                <w:b w:val="0"/>
                <w:bCs w:val="0"/>
                <w:kern w:val="0"/>
                <w:szCs w:val="21"/>
              </w:rPr>
              <w:t>饮足量温水，催吐。就医。</w:t>
            </w:r>
          </w:p>
        </w:tc>
      </w:tr>
      <w:tr w14:paraId="74D7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2109" w:type="dxa"/>
            <w:gridSpan w:val="2"/>
            <w:tcBorders>
              <w:top w:val="single" w:color="auto" w:sz="4" w:space="0"/>
              <w:left w:val="single" w:color="auto" w:sz="4" w:space="0"/>
              <w:right w:val="single" w:color="auto" w:sz="4" w:space="0"/>
            </w:tcBorders>
            <w:vAlign w:val="center"/>
          </w:tcPr>
          <w:p w14:paraId="72A05CBC">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操作注意事项：</w:t>
            </w:r>
          </w:p>
        </w:tc>
        <w:tc>
          <w:tcPr>
            <w:tcW w:w="6951" w:type="dxa"/>
            <w:tcBorders>
              <w:top w:val="single" w:color="auto" w:sz="4" w:space="0"/>
              <w:left w:val="single" w:color="auto" w:sz="4" w:space="0"/>
              <w:bottom w:val="single" w:color="auto" w:sz="4" w:space="0"/>
              <w:right w:val="single" w:color="auto" w:sz="4" w:space="0"/>
            </w:tcBorders>
            <w:vAlign w:val="center"/>
          </w:tcPr>
          <w:p w14:paraId="40148284">
            <w:pPr>
              <w:spacing w:line="240" w:lineRule="exact"/>
              <w:jc w:val="center"/>
              <w:rPr>
                <w:b w:val="0"/>
                <w:bCs w:val="0"/>
                <w:kern w:val="0"/>
                <w:szCs w:val="21"/>
              </w:rPr>
            </w:pPr>
            <w:r>
              <w:rPr>
                <w:rFonts w:hint="eastAsia"/>
                <w:b w:val="0"/>
                <w:bCs w:val="0"/>
                <w:kern w:val="0"/>
                <w:szCs w:val="21"/>
              </w:rPr>
              <w:t>密闭操作，加强通风。操作人员必须经过专门培训，严格遵守操作规程。建议操作人员佩戴直接式防毒面具(半面置)，戴化学安全防护眼镜，穿防酸碱工作服，戴橡胶耐酸碱手套。远离火种、热源，工作场所严禁吸烟。使用防爆型的通风系统和设备。防止蒸气泄漏到工作场所空气中。避免与氧化剂、还原剂、碱类接触。搬运时要轻装轻卸，防止包装及容器损坏。配备相应品种和数量的消防器材及泄漏应急处理设备。倒空的容器可能残留有害物。</w:t>
            </w:r>
          </w:p>
        </w:tc>
      </w:tr>
      <w:tr w14:paraId="6F0E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09" w:type="dxa"/>
            <w:gridSpan w:val="2"/>
            <w:tcBorders>
              <w:left w:val="single" w:color="auto" w:sz="4" w:space="0"/>
              <w:bottom w:val="single" w:color="auto" w:sz="4" w:space="0"/>
              <w:right w:val="single" w:color="auto" w:sz="4" w:space="0"/>
            </w:tcBorders>
            <w:vAlign w:val="center"/>
          </w:tcPr>
          <w:p w14:paraId="2A9DBA48">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应急处置</w:t>
            </w:r>
          </w:p>
        </w:tc>
        <w:tc>
          <w:tcPr>
            <w:tcW w:w="6951" w:type="dxa"/>
            <w:tcBorders>
              <w:top w:val="single" w:color="auto" w:sz="4" w:space="0"/>
              <w:left w:val="single" w:color="auto" w:sz="4" w:space="0"/>
              <w:bottom w:val="single" w:color="auto" w:sz="4" w:space="0"/>
              <w:right w:val="single" w:color="auto" w:sz="4" w:space="0"/>
            </w:tcBorders>
            <w:vAlign w:val="center"/>
          </w:tcPr>
          <w:p w14:paraId="00BC99DE">
            <w:pPr>
              <w:spacing w:line="240" w:lineRule="exact"/>
              <w:jc w:val="center"/>
              <w:rPr>
                <w:b w:val="0"/>
                <w:bCs w:val="0"/>
                <w:kern w:val="0"/>
                <w:szCs w:val="21"/>
              </w:rPr>
            </w:pPr>
            <w:r>
              <w:rPr>
                <w:rFonts w:hint="eastAsia"/>
                <w:b w:val="0"/>
                <w:bCs w:val="0"/>
                <w:kern w:val="0"/>
                <w:szCs w:val="21"/>
              </w:rPr>
              <w:t>迅速撤离泄漏污染区人员至安全区，并进行隔离，严格限制出入。切断火源。建议应急处理人员戴自给正压式呼吸器，穿防酸碱工作服。不要直接接触泄漏物。尽可能切断泄漏源。防止流入下水道、排洪沟等限制性空间。小量泄漏:用砂土或</w:t>
            </w:r>
            <w:r>
              <w:rPr>
                <w:rFonts w:hint="eastAsia"/>
                <w:b w:val="0"/>
                <w:bCs w:val="0"/>
                <w:kern w:val="0"/>
                <w:szCs w:val="21"/>
                <w:lang w:eastAsia="zh-CN"/>
              </w:rPr>
              <w:t>其他不</w:t>
            </w:r>
            <w:r>
              <w:rPr>
                <w:rFonts w:hint="eastAsia"/>
                <w:b w:val="0"/>
                <w:bCs w:val="0"/>
                <w:kern w:val="0"/>
                <w:szCs w:val="21"/>
              </w:rPr>
              <w:t>燃材料吸附或吸收。也可以用大量水冲洗，洗水稀释后放入废水系统。大量泄漏:构筑围堤或挖坑收容用泡沫覆盖，降低蒸气灾害。用泵转移至槽车或专用收集器内，回收或运至废物处理场所处置。</w:t>
            </w:r>
          </w:p>
        </w:tc>
      </w:tr>
    </w:tbl>
    <w:p w14:paraId="52FF78A0">
      <w:pPr>
        <w:spacing w:line="500" w:lineRule="exact"/>
        <w:ind w:firstLine="480" w:firstLineChars="200"/>
        <w:jc w:val="left"/>
        <w:rPr>
          <w:rFonts w:hint="default" w:eastAsia="宋体"/>
          <w:b/>
          <w:kern w:val="0"/>
          <w:sz w:val="24"/>
          <w:szCs w:val="20"/>
          <w:lang w:val="en-US" w:eastAsia="zh-CN"/>
        </w:rPr>
      </w:pPr>
      <w:r>
        <w:rPr>
          <w:rFonts w:hint="eastAsia"/>
          <w:kern w:val="0"/>
          <w:sz w:val="24"/>
          <w:szCs w:val="20"/>
          <w:lang w:eastAsia="zh-CN"/>
        </w:rPr>
        <w:t>（</w:t>
      </w:r>
      <w:r>
        <w:rPr>
          <w:rFonts w:hint="eastAsia"/>
          <w:kern w:val="0"/>
          <w:sz w:val="24"/>
          <w:szCs w:val="20"/>
          <w:lang w:val="en-US" w:eastAsia="zh-CN"/>
        </w:rPr>
        <w:t>4</w:t>
      </w:r>
      <w:r>
        <w:rPr>
          <w:rFonts w:hint="eastAsia"/>
          <w:kern w:val="0"/>
          <w:sz w:val="24"/>
          <w:szCs w:val="20"/>
          <w:lang w:eastAsia="zh-CN"/>
        </w:rPr>
        <w:t>）</w:t>
      </w:r>
      <w:r>
        <w:rPr>
          <w:rFonts w:hint="eastAsia"/>
          <w:kern w:val="0"/>
          <w:sz w:val="24"/>
          <w:szCs w:val="20"/>
          <w:lang w:val="en-US" w:eastAsia="zh-CN"/>
        </w:rPr>
        <w:t>戊酸</w:t>
      </w:r>
    </w:p>
    <w:p w14:paraId="715D4B6F">
      <w:pPr>
        <w:spacing w:line="500" w:lineRule="exact"/>
        <w:ind w:firstLine="482" w:firstLineChars="200"/>
        <w:jc w:val="center"/>
        <w:rPr>
          <w:b/>
          <w:kern w:val="0"/>
          <w:sz w:val="24"/>
          <w:szCs w:val="20"/>
        </w:rPr>
      </w:pPr>
      <w:r>
        <w:rPr>
          <w:rFonts w:hint="eastAsia"/>
          <w:b/>
          <w:kern w:val="0"/>
          <w:sz w:val="24"/>
          <w:szCs w:val="20"/>
        </w:rPr>
        <w:t>表1.3-5</w:t>
      </w:r>
      <w:r>
        <w:rPr>
          <w:rFonts w:hint="eastAsia"/>
          <w:b/>
          <w:kern w:val="0"/>
          <w:sz w:val="24"/>
          <w:szCs w:val="20"/>
          <w:lang w:val="en-US" w:eastAsia="zh-CN"/>
        </w:rPr>
        <w:t>戊酸</w:t>
      </w:r>
      <w:r>
        <w:rPr>
          <w:rFonts w:hint="eastAsia"/>
          <w:b/>
          <w:kern w:val="0"/>
          <w:sz w:val="24"/>
          <w:szCs w:val="20"/>
        </w:rPr>
        <w:t>安全技术说明书一览表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459"/>
        <w:gridCol w:w="6951"/>
      </w:tblGrid>
      <w:tr w14:paraId="27C0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770515C1">
            <w:pPr>
              <w:spacing w:line="240" w:lineRule="exact"/>
              <w:jc w:val="center"/>
              <w:rPr>
                <w:b w:val="0"/>
                <w:bCs w:val="0"/>
                <w:kern w:val="0"/>
                <w:szCs w:val="21"/>
              </w:rPr>
            </w:pPr>
            <w:bookmarkStart w:id="44" w:name="_Toc144992662"/>
            <w:r>
              <w:rPr>
                <w:b w:val="0"/>
                <w:bCs w:val="0"/>
                <w:kern w:val="0"/>
                <w:szCs w:val="21"/>
              </w:rPr>
              <w:t>标识</w:t>
            </w:r>
          </w:p>
        </w:tc>
        <w:tc>
          <w:tcPr>
            <w:tcW w:w="1459" w:type="dxa"/>
            <w:tcBorders>
              <w:top w:val="single" w:color="auto" w:sz="4" w:space="0"/>
              <w:left w:val="single" w:color="auto" w:sz="4" w:space="0"/>
              <w:bottom w:val="single" w:color="auto" w:sz="4" w:space="0"/>
              <w:right w:val="single" w:color="auto" w:sz="4" w:space="0"/>
            </w:tcBorders>
            <w:vAlign w:val="center"/>
          </w:tcPr>
          <w:p w14:paraId="7ED56C06">
            <w:pPr>
              <w:spacing w:line="240" w:lineRule="exact"/>
              <w:jc w:val="left"/>
              <w:rPr>
                <w:b w:val="0"/>
                <w:bCs w:val="0"/>
                <w:kern w:val="0"/>
                <w:szCs w:val="21"/>
              </w:rPr>
            </w:pPr>
            <w:r>
              <w:rPr>
                <w:b w:val="0"/>
                <w:bCs w:val="0"/>
                <w:kern w:val="0"/>
                <w:szCs w:val="21"/>
              </w:rPr>
              <w:t>中文名：</w:t>
            </w:r>
          </w:p>
        </w:tc>
        <w:tc>
          <w:tcPr>
            <w:tcW w:w="6951" w:type="dxa"/>
            <w:tcBorders>
              <w:top w:val="single" w:color="auto" w:sz="4" w:space="0"/>
              <w:left w:val="single" w:color="auto" w:sz="4" w:space="0"/>
              <w:bottom w:val="single" w:color="auto" w:sz="4" w:space="0"/>
              <w:right w:val="single" w:color="auto" w:sz="4" w:space="0"/>
            </w:tcBorders>
            <w:vAlign w:val="center"/>
          </w:tcPr>
          <w:p w14:paraId="060F464F">
            <w:pPr>
              <w:spacing w:line="240" w:lineRule="exact"/>
              <w:jc w:val="center"/>
              <w:rPr>
                <w:b w:val="0"/>
                <w:bCs w:val="0"/>
                <w:kern w:val="0"/>
                <w:szCs w:val="21"/>
              </w:rPr>
            </w:pPr>
            <w:r>
              <w:rPr>
                <w:rFonts w:hint="eastAsia"/>
                <w:b w:val="0"/>
                <w:bCs w:val="0"/>
                <w:kern w:val="0"/>
                <w:szCs w:val="21"/>
                <w:lang w:val="en-US" w:eastAsia="zh-CN"/>
              </w:rPr>
              <w:t>戊酸</w:t>
            </w:r>
            <w:r>
              <w:rPr>
                <w:b w:val="0"/>
                <w:bCs w:val="0"/>
                <w:kern w:val="0"/>
                <w:szCs w:val="21"/>
              </w:rPr>
              <w:t xml:space="preserve">                        英文名：</w:t>
            </w:r>
            <w:r>
              <w:rPr>
                <w:rFonts w:hint="eastAsia"/>
                <w:b w:val="0"/>
                <w:bCs w:val="0"/>
                <w:kern w:val="0"/>
                <w:szCs w:val="21"/>
              </w:rPr>
              <w:t>n-valeric acid</w:t>
            </w:r>
            <w:r>
              <w:rPr>
                <w:b w:val="0"/>
                <w:bCs w:val="0"/>
                <w:kern w:val="0"/>
                <w:szCs w:val="21"/>
              </w:rPr>
              <w:t xml:space="preserve">  </w:t>
            </w:r>
          </w:p>
        </w:tc>
      </w:tr>
      <w:tr w14:paraId="52D7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68DFAD77">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5B85145F">
            <w:pPr>
              <w:spacing w:line="240" w:lineRule="exact"/>
              <w:jc w:val="left"/>
              <w:rPr>
                <w:b w:val="0"/>
                <w:bCs w:val="0"/>
                <w:kern w:val="0"/>
                <w:szCs w:val="21"/>
              </w:rPr>
            </w:pPr>
            <w:r>
              <w:rPr>
                <w:b w:val="0"/>
                <w:bCs w:val="0"/>
                <w:kern w:val="0"/>
                <w:szCs w:val="21"/>
              </w:rPr>
              <w:t>分子式：</w:t>
            </w:r>
          </w:p>
        </w:tc>
        <w:tc>
          <w:tcPr>
            <w:tcW w:w="6951" w:type="dxa"/>
            <w:tcBorders>
              <w:top w:val="single" w:color="auto" w:sz="4" w:space="0"/>
              <w:left w:val="single" w:color="auto" w:sz="4" w:space="0"/>
              <w:bottom w:val="single" w:color="auto" w:sz="4" w:space="0"/>
              <w:right w:val="single" w:color="auto" w:sz="4" w:space="0"/>
            </w:tcBorders>
            <w:vAlign w:val="center"/>
          </w:tcPr>
          <w:p w14:paraId="6EBAFC71">
            <w:pPr>
              <w:spacing w:line="240" w:lineRule="exact"/>
              <w:ind w:left="0" w:leftChars="0" w:right="0" w:rightChars="0" w:firstLine="0" w:firstLineChars="0"/>
              <w:jc w:val="center"/>
              <w:rPr>
                <w:b w:val="0"/>
                <w:bCs w:val="0"/>
                <w:kern w:val="0"/>
                <w:szCs w:val="21"/>
              </w:rPr>
            </w:pPr>
            <w:r>
              <w:rPr>
                <w:rFonts w:hint="eastAsia"/>
                <w:b w:val="0"/>
                <w:bCs w:val="0"/>
                <w:kern w:val="0"/>
                <w:szCs w:val="21"/>
              </w:rPr>
              <w:t>C</w:t>
            </w:r>
            <w:r>
              <w:rPr>
                <w:rFonts w:hint="eastAsia"/>
                <w:b w:val="0"/>
                <w:bCs w:val="0"/>
                <w:kern w:val="0"/>
                <w:szCs w:val="21"/>
                <w:vertAlign w:val="subscript"/>
                <w:lang w:val="en-US" w:eastAsia="zh-CN"/>
              </w:rPr>
              <w:t>5</w:t>
            </w:r>
            <w:r>
              <w:rPr>
                <w:rFonts w:hint="eastAsia"/>
                <w:b w:val="0"/>
                <w:bCs w:val="0"/>
                <w:kern w:val="0"/>
                <w:szCs w:val="21"/>
              </w:rPr>
              <w:t>H</w:t>
            </w:r>
            <w:r>
              <w:rPr>
                <w:rFonts w:hint="eastAsia"/>
                <w:b w:val="0"/>
                <w:bCs w:val="0"/>
                <w:kern w:val="0"/>
                <w:szCs w:val="21"/>
                <w:vertAlign w:val="subscript"/>
                <w:lang w:val="en-US" w:eastAsia="zh-CN"/>
              </w:rPr>
              <w:t>10</w:t>
            </w:r>
            <w:r>
              <w:rPr>
                <w:rFonts w:hint="eastAsia"/>
                <w:b w:val="0"/>
                <w:bCs w:val="0"/>
                <w:kern w:val="0"/>
                <w:szCs w:val="21"/>
              </w:rPr>
              <w:t>O</w:t>
            </w:r>
            <w:r>
              <w:rPr>
                <w:rFonts w:hint="eastAsia"/>
                <w:b w:val="0"/>
                <w:bCs w:val="0"/>
                <w:kern w:val="0"/>
                <w:szCs w:val="21"/>
                <w:vertAlign w:val="subscript"/>
              </w:rPr>
              <w:t>2</w:t>
            </w:r>
          </w:p>
        </w:tc>
      </w:tr>
      <w:tr w14:paraId="78C2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7A1CEDDE">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14E0E3AF">
            <w:pPr>
              <w:spacing w:line="240" w:lineRule="exact"/>
              <w:jc w:val="left"/>
              <w:rPr>
                <w:b w:val="0"/>
                <w:bCs w:val="0"/>
                <w:kern w:val="0"/>
                <w:szCs w:val="21"/>
              </w:rPr>
            </w:pPr>
            <w:r>
              <w:rPr>
                <w:b w:val="0"/>
                <w:bCs w:val="0"/>
                <w:kern w:val="0"/>
                <w:szCs w:val="21"/>
              </w:rPr>
              <w:t>CAS号：</w:t>
            </w:r>
          </w:p>
        </w:tc>
        <w:tc>
          <w:tcPr>
            <w:tcW w:w="6951" w:type="dxa"/>
            <w:tcBorders>
              <w:top w:val="single" w:color="auto" w:sz="4" w:space="0"/>
              <w:left w:val="single" w:color="auto" w:sz="4" w:space="0"/>
              <w:bottom w:val="single" w:color="auto" w:sz="4" w:space="0"/>
              <w:right w:val="single" w:color="auto" w:sz="4" w:space="0"/>
            </w:tcBorders>
            <w:vAlign w:val="center"/>
          </w:tcPr>
          <w:p w14:paraId="184BAD83">
            <w:pPr>
              <w:spacing w:line="240" w:lineRule="exact"/>
              <w:ind w:left="0" w:leftChars="0" w:right="0" w:rightChars="0" w:firstLine="0" w:firstLineChars="0"/>
              <w:jc w:val="center"/>
              <w:rPr>
                <w:rFonts w:hint="default"/>
                <w:b w:val="0"/>
                <w:bCs w:val="0"/>
                <w:kern w:val="0"/>
                <w:szCs w:val="21"/>
                <w:lang w:val="en-US"/>
              </w:rPr>
            </w:pPr>
            <w:r>
              <w:rPr>
                <w:rFonts w:hint="eastAsia"/>
                <w:b w:val="0"/>
                <w:bCs w:val="0"/>
                <w:kern w:val="0"/>
                <w:szCs w:val="21"/>
                <w:lang w:val="en-US" w:eastAsia="zh-CN"/>
              </w:rPr>
              <w:t>109-52-4</w:t>
            </w:r>
          </w:p>
        </w:tc>
      </w:tr>
      <w:tr w14:paraId="510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2A06AE14">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057F2DCC">
            <w:pPr>
              <w:spacing w:line="240" w:lineRule="exact"/>
              <w:jc w:val="left"/>
              <w:rPr>
                <w:b w:val="0"/>
                <w:bCs w:val="0"/>
                <w:kern w:val="0"/>
                <w:szCs w:val="21"/>
              </w:rPr>
            </w:pPr>
            <w:r>
              <w:rPr>
                <w:b w:val="0"/>
                <w:bCs w:val="0"/>
                <w:kern w:val="0"/>
                <w:szCs w:val="21"/>
              </w:rPr>
              <w:t>UN编号：</w:t>
            </w:r>
          </w:p>
        </w:tc>
        <w:tc>
          <w:tcPr>
            <w:tcW w:w="6951" w:type="dxa"/>
            <w:tcBorders>
              <w:top w:val="single" w:color="auto" w:sz="4" w:space="0"/>
              <w:left w:val="single" w:color="auto" w:sz="4" w:space="0"/>
              <w:bottom w:val="single" w:color="auto" w:sz="4" w:space="0"/>
              <w:right w:val="single" w:color="auto" w:sz="4" w:space="0"/>
            </w:tcBorders>
            <w:vAlign w:val="center"/>
          </w:tcPr>
          <w:p w14:paraId="10DD3F33">
            <w:pPr>
              <w:spacing w:line="240" w:lineRule="exact"/>
              <w:ind w:left="0" w:leftChars="0" w:right="0" w:rightChars="0" w:firstLine="0" w:firstLineChars="0"/>
              <w:jc w:val="center"/>
              <w:rPr>
                <w:rFonts w:hint="default"/>
                <w:b w:val="0"/>
                <w:bCs w:val="0"/>
                <w:kern w:val="0"/>
                <w:szCs w:val="21"/>
                <w:lang w:val="en-US"/>
              </w:rPr>
            </w:pPr>
            <w:r>
              <w:rPr>
                <w:rFonts w:hint="eastAsia"/>
                <w:b w:val="0"/>
                <w:bCs w:val="0"/>
                <w:kern w:val="0"/>
                <w:szCs w:val="21"/>
                <w:lang w:val="en-US" w:eastAsia="zh-CN"/>
              </w:rPr>
              <w:t>1387</w:t>
            </w:r>
          </w:p>
        </w:tc>
      </w:tr>
      <w:tr w14:paraId="608C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2E805F95">
            <w:pPr>
              <w:spacing w:line="240" w:lineRule="exact"/>
              <w:jc w:val="center"/>
              <w:rPr>
                <w:b w:val="0"/>
                <w:bCs w:val="0"/>
                <w:kern w:val="0"/>
                <w:szCs w:val="21"/>
              </w:rPr>
            </w:pPr>
            <w:r>
              <w:rPr>
                <w:b w:val="0"/>
                <w:bCs w:val="0"/>
                <w:kern w:val="0"/>
                <w:szCs w:val="21"/>
              </w:rPr>
              <w:t>包装与储运</w:t>
            </w:r>
          </w:p>
        </w:tc>
        <w:tc>
          <w:tcPr>
            <w:tcW w:w="1459" w:type="dxa"/>
            <w:tcBorders>
              <w:top w:val="single" w:color="auto" w:sz="4" w:space="0"/>
              <w:left w:val="single" w:color="auto" w:sz="4" w:space="0"/>
              <w:bottom w:val="single" w:color="auto" w:sz="4" w:space="0"/>
              <w:right w:val="single" w:color="auto" w:sz="4" w:space="0"/>
            </w:tcBorders>
            <w:vAlign w:val="center"/>
          </w:tcPr>
          <w:p w14:paraId="4E79C888">
            <w:pPr>
              <w:spacing w:line="240" w:lineRule="exact"/>
              <w:jc w:val="left"/>
              <w:rPr>
                <w:b w:val="0"/>
                <w:bCs w:val="0"/>
                <w:kern w:val="0"/>
                <w:szCs w:val="21"/>
              </w:rPr>
            </w:pPr>
            <w:r>
              <w:rPr>
                <w:b w:val="0"/>
                <w:bCs w:val="0"/>
                <w:kern w:val="0"/>
                <w:szCs w:val="21"/>
              </w:rPr>
              <w:t>危险</w:t>
            </w:r>
            <w:r>
              <w:rPr>
                <w:rFonts w:hint="eastAsia"/>
                <w:b w:val="0"/>
                <w:bCs w:val="0"/>
                <w:kern w:val="0"/>
                <w:szCs w:val="21"/>
                <w:lang w:val="en-US" w:eastAsia="zh-CN"/>
              </w:rPr>
              <w:t>特性</w:t>
            </w:r>
            <w:r>
              <w:rPr>
                <w:b w:val="0"/>
                <w:bCs w:val="0"/>
                <w:kern w:val="0"/>
                <w:szCs w:val="21"/>
              </w:rPr>
              <w:t>：</w:t>
            </w:r>
          </w:p>
        </w:tc>
        <w:tc>
          <w:tcPr>
            <w:tcW w:w="6951" w:type="dxa"/>
            <w:tcBorders>
              <w:top w:val="single" w:color="auto" w:sz="4" w:space="0"/>
              <w:left w:val="single" w:color="auto" w:sz="4" w:space="0"/>
              <w:bottom w:val="single" w:color="auto" w:sz="4" w:space="0"/>
              <w:right w:val="single" w:color="auto" w:sz="4" w:space="0"/>
            </w:tcBorders>
            <w:vAlign w:val="center"/>
          </w:tcPr>
          <w:p w14:paraId="53042474">
            <w:pPr>
              <w:spacing w:line="240" w:lineRule="exact"/>
              <w:jc w:val="center"/>
              <w:rPr>
                <w:rFonts w:hint="eastAsia" w:eastAsia="宋体"/>
                <w:b w:val="0"/>
                <w:bCs w:val="0"/>
                <w:kern w:val="0"/>
                <w:szCs w:val="21"/>
                <w:lang w:val="en-US" w:eastAsia="zh-CN"/>
              </w:rPr>
            </w:pPr>
            <w:r>
              <w:rPr>
                <w:rFonts w:hint="eastAsia"/>
                <w:b w:val="0"/>
                <w:bCs w:val="0"/>
                <w:kern w:val="0"/>
                <w:szCs w:val="21"/>
              </w:rPr>
              <w:t>遇明火、高热可</w:t>
            </w:r>
            <w:r>
              <w:rPr>
                <w:rFonts w:hint="eastAsia"/>
                <w:b w:val="0"/>
                <w:bCs w:val="0"/>
                <w:kern w:val="0"/>
                <w:szCs w:val="21"/>
                <w:lang w:val="en-US" w:eastAsia="zh-CN"/>
              </w:rPr>
              <w:t>燃</w:t>
            </w:r>
          </w:p>
        </w:tc>
      </w:tr>
      <w:tr w14:paraId="33CA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77C1D8F2">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183D8122">
            <w:pPr>
              <w:spacing w:line="240" w:lineRule="exact"/>
              <w:jc w:val="left"/>
              <w:rPr>
                <w:b w:val="0"/>
                <w:bCs w:val="0"/>
                <w:kern w:val="0"/>
                <w:szCs w:val="21"/>
              </w:rPr>
            </w:pPr>
            <w:r>
              <w:rPr>
                <w:b w:val="0"/>
                <w:bCs w:val="0"/>
                <w:kern w:val="0"/>
                <w:szCs w:val="21"/>
              </w:rPr>
              <w:t>储运注意事项：</w:t>
            </w:r>
          </w:p>
        </w:tc>
        <w:tc>
          <w:tcPr>
            <w:tcW w:w="6951" w:type="dxa"/>
            <w:tcBorders>
              <w:top w:val="single" w:color="auto" w:sz="4" w:space="0"/>
              <w:left w:val="single" w:color="auto" w:sz="4" w:space="0"/>
              <w:bottom w:val="single" w:color="auto" w:sz="4" w:space="0"/>
              <w:right w:val="single" w:color="auto" w:sz="4" w:space="0"/>
            </w:tcBorders>
            <w:vAlign w:val="center"/>
          </w:tcPr>
          <w:p w14:paraId="23423958">
            <w:pPr>
              <w:spacing w:line="240" w:lineRule="exact"/>
              <w:jc w:val="center"/>
              <w:rPr>
                <w:b w:val="0"/>
                <w:bCs w:val="0"/>
                <w:kern w:val="0"/>
                <w:szCs w:val="21"/>
              </w:rPr>
            </w:pPr>
            <w:r>
              <w:rPr>
                <w:rFonts w:hint="eastAsia"/>
                <w:b w:val="0"/>
                <w:bCs w:val="0"/>
                <w:kern w:val="0"/>
                <w:szCs w:val="21"/>
              </w:rPr>
              <w:t>储存于阴凉、通风的库房。远离火种、热源。应与氧化剂、还原剂、碱类、食用化学品分开存放，切忌混储。配备相应品种和数量的消防器材。储区应备有泄漏应急处理设备和合适的收容材料。</w:t>
            </w:r>
          </w:p>
        </w:tc>
      </w:tr>
      <w:tr w14:paraId="4BDD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49E50AA2">
            <w:pPr>
              <w:spacing w:line="240" w:lineRule="exact"/>
              <w:jc w:val="center"/>
              <w:rPr>
                <w:b w:val="0"/>
                <w:bCs w:val="0"/>
                <w:kern w:val="0"/>
                <w:szCs w:val="21"/>
              </w:rPr>
            </w:pPr>
            <w:r>
              <w:rPr>
                <w:b w:val="0"/>
                <w:bCs w:val="0"/>
                <w:kern w:val="0"/>
                <w:szCs w:val="21"/>
              </w:rPr>
              <w:t>危害</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1569D1BD">
            <w:pPr>
              <w:spacing w:line="240" w:lineRule="exact"/>
              <w:jc w:val="left"/>
              <w:rPr>
                <w:rFonts w:ascii="Times New Roman" w:hAnsi="Times New Roman" w:eastAsia="宋体" w:cs="Times New Roman"/>
                <w:b w:val="0"/>
                <w:bCs w:val="0"/>
                <w:kern w:val="0"/>
                <w:sz w:val="21"/>
                <w:szCs w:val="21"/>
                <w:lang w:val="en-US" w:eastAsia="zh-CN" w:bidi="ar-SA"/>
              </w:rPr>
            </w:pPr>
            <w:r>
              <w:rPr>
                <w:b w:val="0"/>
                <w:bCs w:val="0"/>
                <w:kern w:val="0"/>
                <w:szCs w:val="21"/>
              </w:rPr>
              <w:t>健康危害：</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D98B36F">
            <w:pPr>
              <w:spacing w:line="240" w:lineRule="exact"/>
              <w:jc w:val="center"/>
              <w:rPr>
                <w:rFonts w:ascii="Times New Roman" w:hAnsi="Times New Roman" w:eastAsia="宋体" w:cs="Times New Roman"/>
                <w:b w:val="0"/>
                <w:bCs w:val="0"/>
                <w:kern w:val="0"/>
                <w:sz w:val="21"/>
                <w:szCs w:val="21"/>
                <w:lang w:val="en-US" w:eastAsia="zh-CN" w:bidi="ar-SA"/>
              </w:rPr>
            </w:pPr>
            <w:r>
              <w:rPr>
                <w:rFonts w:hint="eastAsia"/>
                <w:b w:val="0"/>
                <w:bCs w:val="0"/>
                <w:kern w:val="0"/>
                <w:szCs w:val="21"/>
              </w:rPr>
              <w:t>吸入、摄入或经皮肤吸收后对身体有害。可引起灼伤。对眼睛、皮肤、粘膜和上呼吸道具有强烈刺激作用。吸入后，可引起喉、支气管的炎症、水肿、痉挛，化学性肺炎或肺水肿。接触后可引起烧灼感、咳嗽、喘息、气短、头痛、恶心和呕吐等。</w:t>
            </w:r>
          </w:p>
        </w:tc>
      </w:tr>
      <w:tr w14:paraId="022C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4F966852">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6DF346CF">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环境危害：</w:t>
            </w:r>
          </w:p>
        </w:tc>
        <w:tc>
          <w:tcPr>
            <w:tcW w:w="6951" w:type="dxa"/>
            <w:tcBorders>
              <w:top w:val="single" w:color="auto" w:sz="4" w:space="0"/>
              <w:left w:val="single" w:color="auto" w:sz="4" w:space="0"/>
              <w:bottom w:val="single" w:color="auto" w:sz="4" w:space="0"/>
              <w:right w:val="single" w:color="auto" w:sz="4" w:space="0"/>
            </w:tcBorders>
            <w:vAlign w:val="center"/>
          </w:tcPr>
          <w:p w14:paraId="67E905B9">
            <w:pPr>
              <w:spacing w:line="240" w:lineRule="exact"/>
              <w:jc w:val="center"/>
              <w:rPr>
                <w:b w:val="0"/>
                <w:bCs w:val="0"/>
                <w:kern w:val="0"/>
                <w:szCs w:val="21"/>
              </w:rPr>
            </w:pPr>
            <w:r>
              <w:rPr>
                <w:rFonts w:hint="eastAsia"/>
                <w:b w:val="0"/>
                <w:bCs w:val="0"/>
                <w:kern w:val="0"/>
                <w:szCs w:val="21"/>
              </w:rPr>
              <w:t>对环境有危害，对水体可造成污染。</w:t>
            </w:r>
          </w:p>
        </w:tc>
      </w:tr>
      <w:tr w14:paraId="48AC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0B7C3968">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19F70985">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爆炸危害：</w:t>
            </w:r>
          </w:p>
        </w:tc>
        <w:tc>
          <w:tcPr>
            <w:tcW w:w="6951" w:type="dxa"/>
            <w:tcBorders>
              <w:top w:val="single" w:color="auto" w:sz="4" w:space="0"/>
              <w:left w:val="single" w:color="auto" w:sz="4" w:space="0"/>
              <w:bottom w:val="single" w:color="auto" w:sz="4" w:space="0"/>
              <w:right w:val="single" w:color="auto" w:sz="4" w:space="0"/>
            </w:tcBorders>
            <w:vAlign w:val="center"/>
          </w:tcPr>
          <w:p w14:paraId="2BB5FB01">
            <w:pPr>
              <w:spacing w:line="240" w:lineRule="exact"/>
              <w:jc w:val="center"/>
              <w:rPr>
                <w:b w:val="0"/>
                <w:bCs w:val="0"/>
                <w:kern w:val="0"/>
                <w:szCs w:val="21"/>
              </w:rPr>
            </w:pPr>
            <w:r>
              <w:rPr>
                <w:rFonts w:hint="eastAsia"/>
                <w:b w:val="0"/>
                <w:bCs w:val="0"/>
                <w:kern w:val="0"/>
                <w:szCs w:val="21"/>
              </w:rPr>
              <w:t>本品可燃，具</w:t>
            </w:r>
            <w:r>
              <w:rPr>
                <w:rFonts w:hint="eastAsia"/>
                <w:b w:val="0"/>
                <w:bCs w:val="0"/>
                <w:kern w:val="0"/>
                <w:szCs w:val="21"/>
                <w:lang w:val="en-US" w:eastAsia="zh-CN"/>
              </w:rPr>
              <w:t>强</w:t>
            </w:r>
            <w:r>
              <w:rPr>
                <w:rFonts w:hint="eastAsia"/>
                <w:b w:val="0"/>
                <w:bCs w:val="0"/>
                <w:kern w:val="0"/>
                <w:szCs w:val="21"/>
              </w:rPr>
              <w:t>刺激性。</w:t>
            </w:r>
          </w:p>
        </w:tc>
      </w:tr>
      <w:tr w14:paraId="1FBA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restart"/>
            <w:tcBorders>
              <w:top w:val="single" w:color="auto" w:sz="4" w:space="0"/>
              <w:left w:val="single" w:color="auto" w:sz="4" w:space="0"/>
              <w:right w:val="single" w:color="auto" w:sz="4" w:space="0"/>
            </w:tcBorders>
            <w:vAlign w:val="center"/>
          </w:tcPr>
          <w:p w14:paraId="62C8B2C9">
            <w:pPr>
              <w:spacing w:line="240" w:lineRule="exact"/>
              <w:jc w:val="center"/>
              <w:rPr>
                <w:b w:val="0"/>
                <w:bCs w:val="0"/>
                <w:kern w:val="0"/>
                <w:szCs w:val="21"/>
              </w:rPr>
            </w:pPr>
            <w:r>
              <w:rPr>
                <w:b w:val="0"/>
                <w:bCs w:val="0"/>
                <w:kern w:val="0"/>
                <w:szCs w:val="21"/>
              </w:rPr>
              <w:t>急救</w:t>
            </w:r>
          </w:p>
        </w:tc>
        <w:tc>
          <w:tcPr>
            <w:tcW w:w="1459" w:type="dxa"/>
            <w:tcBorders>
              <w:top w:val="single" w:color="auto" w:sz="4" w:space="0"/>
              <w:left w:val="single" w:color="auto" w:sz="4" w:space="0"/>
              <w:bottom w:val="single" w:color="auto" w:sz="4" w:space="0"/>
              <w:right w:val="single" w:color="auto" w:sz="4" w:space="0"/>
            </w:tcBorders>
            <w:vAlign w:val="center"/>
          </w:tcPr>
          <w:p w14:paraId="29F9F7C2">
            <w:pPr>
              <w:spacing w:line="240" w:lineRule="exact"/>
              <w:jc w:val="left"/>
              <w:rPr>
                <w:b w:val="0"/>
                <w:bCs w:val="0"/>
                <w:kern w:val="0"/>
                <w:szCs w:val="21"/>
              </w:rPr>
            </w:pPr>
            <w:r>
              <w:rPr>
                <w:b w:val="0"/>
                <w:bCs w:val="0"/>
                <w:kern w:val="0"/>
                <w:szCs w:val="21"/>
              </w:rPr>
              <w:t>皮肤接触：</w:t>
            </w:r>
          </w:p>
        </w:tc>
        <w:tc>
          <w:tcPr>
            <w:tcW w:w="6951" w:type="dxa"/>
            <w:tcBorders>
              <w:top w:val="single" w:color="auto" w:sz="4" w:space="0"/>
              <w:left w:val="single" w:color="auto" w:sz="4" w:space="0"/>
              <w:bottom w:val="single" w:color="auto" w:sz="4" w:space="0"/>
              <w:right w:val="single" w:color="auto" w:sz="4" w:space="0"/>
            </w:tcBorders>
            <w:vAlign w:val="center"/>
          </w:tcPr>
          <w:p w14:paraId="581F959B">
            <w:pPr>
              <w:spacing w:line="240" w:lineRule="exact"/>
              <w:jc w:val="center"/>
              <w:rPr>
                <w:b w:val="0"/>
                <w:bCs w:val="0"/>
                <w:kern w:val="0"/>
                <w:szCs w:val="21"/>
              </w:rPr>
            </w:pPr>
            <w:r>
              <w:rPr>
                <w:rFonts w:hint="eastAsia"/>
                <w:b w:val="0"/>
                <w:bCs w:val="0"/>
                <w:kern w:val="0"/>
                <w:szCs w:val="21"/>
              </w:rPr>
              <w:t>立即脱去污染的衣着，用大量流动清水冲洗至少15分钟。就医</w:t>
            </w:r>
          </w:p>
        </w:tc>
      </w:tr>
      <w:tr w14:paraId="391B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2283FEB0">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4E640007">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眼睛接触：</w:t>
            </w:r>
          </w:p>
        </w:tc>
        <w:tc>
          <w:tcPr>
            <w:tcW w:w="6951" w:type="dxa"/>
            <w:tcBorders>
              <w:top w:val="single" w:color="auto" w:sz="4" w:space="0"/>
              <w:left w:val="single" w:color="auto" w:sz="4" w:space="0"/>
              <w:bottom w:val="single" w:color="auto" w:sz="4" w:space="0"/>
              <w:right w:val="single" w:color="auto" w:sz="4" w:space="0"/>
            </w:tcBorders>
            <w:vAlign w:val="center"/>
          </w:tcPr>
          <w:p w14:paraId="072098F4">
            <w:pPr>
              <w:spacing w:line="240" w:lineRule="exact"/>
              <w:jc w:val="center"/>
              <w:rPr>
                <w:b w:val="0"/>
                <w:bCs w:val="0"/>
                <w:kern w:val="0"/>
                <w:szCs w:val="21"/>
              </w:rPr>
            </w:pPr>
            <w:r>
              <w:rPr>
                <w:rFonts w:hint="eastAsia"/>
                <w:b w:val="0"/>
                <w:bCs w:val="0"/>
                <w:kern w:val="0"/>
                <w:szCs w:val="21"/>
              </w:rPr>
              <w:t>立即提起眼睑，用大量流动清水或生理盐水彻底冲洗至少15分钟。就医。</w:t>
            </w:r>
          </w:p>
        </w:tc>
      </w:tr>
      <w:tr w14:paraId="5625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right w:val="single" w:color="auto" w:sz="4" w:space="0"/>
            </w:tcBorders>
            <w:vAlign w:val="center"/>
          </w:tcPr>
          <w:p w14:paraId="54EDB634">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14:paraId="7739FDF1">
            <w:pPr>
              <w:spacing w:line="240" w:lineRule="exact"/>
              <w:jc w:val="left"/>
              <w:rPr>
                <w:rFonts w:hint="eastAsia" w:ascii="Times New Roman" w:hAnsi="Times New Roman" w:eastAsia="宋体" w:cs="Times New Roman"/>
                <w:b w:val="0"/>
                <w:bCs w:val="0"/>
                <w:kern w:val="0"/>
                <w:sz w:val="21"/>
                <w:szCs w:val="21"/>
                <w:lang w:val="en-US" w:eastAsia="zh-CN" w:bidi="ar-SA"/>
              </w:rPr>
            </w:pPr>
            <w:r>
              <w:rPr>
                <w:b w:val="0"/>
                <w:bCs w:val="0"/>
                <w:kern w:val="0"/>
                <w:szCs w:val="21"/>
              </w:rPr>
              <w:t>吸入：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FE78602">
            <w:pPr>
              <w:spacing w:line="240" w:lineRule="exact"/>
              <w:jc w:val="center"/>
              <w:rPr>
                <w:rFonts w:hint="eastAsia" w:ascii="Times New Roman" w:hAnsi="Times New Roman" w:eastAsia="宋体" w:cs="Times New Roman"/>
                <w:b w:val="0"/>
                <w:bCs w:val="0"/>
                <w:kern w:val="0"/>
                <w:sz w:val="21"/>
                <w:szCs w:val="21"/>
                <w:lang w:val="en-US" w:eastAsia="zh-CN" w:bidi="ar-SA"/>
              </w:rPr>
            </w:pPr>
            <w:r>
              <w:rPr>
                <w:b w:val="0"/>
                <w:bCs w:val="0"/>
                <w:kern w:val="0"/>
                <w:szCs w:val="21"/>
              </w:rPr>
              <w:t>迅速脱离现场至空气新鲜处。保持呼吸道通畅。呼吸困难时给输氧。呼吸停止时，立即进行人工呼吸。就医。</w:t>
            </w:r>
          </w:p>
        </w:tc>
      </w:tr>
      <w:tr w14:paraId="3047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50" w:type="dxa"/>
            <w:vMerge w:val="continue"/>
            <w:tcBorders>
              <w:left w:val="single" w:color="auto" w:sz="4" w:space="0"/>
              <w:bottom w:val="single" w:color="auto" w:sz="4" w:space="0"/>
              <w:right w:val="single" w:color="auto" w:sz="4" w:space="0"/>
            </w:tcBorders>
            <w:vAlign w:val="center"/>
          </w:tcPr>
          <w:p w14:paraId="0966F6C6">
            <w:pPr>
              <w:spacing w:line="240" w:lineRule="exact"/>
              <w:jc w:val="center"/>
              <w:rPr>
                <w:b w:val="0"/>
                <w:bCs w:val="0"/>
                <w:kern w:val="0"/>
                <w:szCs w:val="21"/>
              </w:rPr>
            </w:pPr>
          </w:p>
        </w:tc>
        <w:tc>
          <w:tcPr>
            <w:tcW w:w="1459" w:type="dxa"/>
            <w:tcBorders>
              <w:top w:val="single" w:color="auto" w:sz="4" w:space="0"/>
              <w:left w:val="single" w:color="auto" w:sz="4" w:space="0"/>
              <w:bottom w:val="single" w:color="auto" w:sz="4" w:space="0"/>
              <w:right w:val="single" w:color="auto" w:sz="4" w:space="0"/>
            </w:tcBorders>
            <w:vAlign w:val="center"/>
          </w:tcPr>
          <w:p w14:paraId="4335F608">
            <w:pPr>
              <w:spacing w:line="240" w:lineRule="exact"/>
              <w:jc w:val="left"/>
              <w:rPr>
                <w:rFonts w:hint="eastAsia" w:eastAsia="宋体"/>
                <w:b w:val="0"/>
                <w:bCs w:val="0"/>
                <w:kern w:val="0"/>
                <w:szCs w:val="21"/>
                <w:lang w:val="en-US" w:eastAsia="zh-CN"/>
              </w:rPr>
            </w:pPr>
            <w:r>
              <w:rPr>
                <w:rFonts w:hint="eastAsia"/>
                <w:b w:val="0"/>
                <w:bCs w:val="0"/>
                <w:kern w:val="0"/>
                <w:szCs w:val="21"/>
                <w:lang w:val="en-US" w:eastAsia="zh-CN"/>
              </w:rPr>
              <w:t>食入：</w:t>
            </w:r>
          </w:p>
        </w:tc>
        <w:tc>
          <w:tcPr>
            <w:tcW w:w="6951" w:type="dxa"/>
            <w:tcBorders>
              <w:top w:val="single" w:color="auto" w:sz="4" w:space="0"/>
              <w:left w:val="single" w:color="auto" w:sz="4" w:space="0"/>
              <w:bottom w:val="single" w:color="auto" w:sz="4" w:space="0"/>
              <w:right w:val="single" w:color="auto" w:sz="4" w:space="0"/>
            </w:tcBorders>
            <w:vAlign w:val="center"/>
          </w:tcPr>
          <w:p w14:paraId="05EE3712">
            <w:pPr>
              <w:spacing w:line="240" w:lineRule="exact"/>
              <w:jc w:val="center"/>
              <w:rPr>
                <w:b w:val="0"/>
                <w:bCs w:val="0"/>
                <w:kern w:val="0"/>
                <w:szCs w:val="21"/>
              </w:rPr>
            </w:pPr>
            <w:r>
              <w:rPr>
                <w:rFonts w:hint="eastAsia"/>
                <w:b w:val="0"/>
                <w:bCs w:val="0"/>
                <w:kern w:val="0"/>
                <w:szCs w:val="21"/>
              </w:rPr>
              <w:t>用水漱口，给饮牛奶或蛋清。就医。</w:t>
            </w:r>
          </w:p>
        </w:tc>
      </w:tr>
      <w:tr w14:paraId="3382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09" w:type="dxa"/>
            <w:gridSpan w:val="2"/>
            <w:tcBorders>
              <w:left w:val="single" w:color="auto" w:sz="4" w:space="0"/>
              <w:bottom w:val="single" w:color="auto" w:sz="4" w:space="0"/>
              <w:right w:val="single" w:color="auto" w:sz="4" w:space="0"/>
            </w:tcBorders>
            <w:shd w:val="clear" w:color="auto" w:fill="auto"/>
            <w:vAlign w:val="center"/>
          </w:tcPr>
          <w:p w14:paraId="37BFE4AF">
            <w:pPr>
              <w:spacing w:line="240" w:lineRule="exact"/>
              <w:jc w:val="left"/>
              <w:rPr>
                <w:rFonts w:hint="eastAsia" w:ascii="Times New Roman" w:hAnsi="Times New Roman" w:eastAsia="宋体" w:cs="Times New Roman"/>
                <w:b w:val="0"/>
                <w:bCs w:val="0"/>
                <w:kern w:val="0"/>
                <w:sz w:val="21"/>
                <w:szCs w:val="21"/>
                <w:lang w:val="en-US" w:eastAsia="zh-CN" w:bidi="ar-SA"/>
              </w:rPr>
            </w:pPr>
            <w:r>
              <w:rPr>
                <w:rFonts w:hint="eastAsia"/>
                <w:b w:val="0"/>
                <w:bCs w:val="0"/>
                <w:kern w:val="0"/>
                <w:szCs w:val="21"/>
                <w:lang w:val="en-US" w:eastAsia="zh-CN"/>
              </w:rPr>
              <w:t>操作注意事项：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0789690">
            <w:pPr>
              <w:spacing w:line="240" w:lineRule="exact"/>
              <w:jc w:val="center"/>
              <w:rPr>
                <w:rFonts w:hint="eastAsia" w:ascii="Times New Roman" w:hAnsi="Times New Roman" w:eastAsia="宋体" w:cs="Times New Roman"/>
                <w:b w:val="0"/>
                <w:bCs w:val="0"/>
                <w:kern w:val="0"/>
                <w:sz w:val="21"/>
                <w:szCs w:val="21"/>
                <w:lang w:val="en-US" w:eastAsia="zh-CN" w:bidi="ar-SA"/>
              </w:rPr>
            </w:pPr>
            <w:r>
              <w:rPr>
                <w:rFonts w:hint="eastAsia"/>
                <w:b w:val="0"/>
                <w:bCs w:val="0"/>
                <w:kern w:val="0"/>
                <w:szCs w:val="21"/>
              </w:rPr>
              <w:t>密闭操作，全面通风。操作人员必须经过专门培训，严格遵守操作规程。建议操作人员佩戴自吸过滤式防毒面具(全面置)，穿连衣式胶布防毒衣，戴胶手套。远离火种、热源，工作场所严禁吸烟。使用防爆型的通风系统和设备。防止蒸气泄漏到工作场所空气中。避免与氧化剂、还原剂、碱类接触。搬运时要轻装轻卸，防止包装及容器损坏。配备相应品种和数量的消防器材及泄漏应急处理设备。倒空的容器可能残留有害物。</w:t>
            </w:r>
          </w:p>
        </w:tc>
      </w:tr>
      <w:tr w14:paraId="0D0D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109" w:type="dxa"/>
            <w:gridSpan w:val="2"/>
            <w:tcBorders>
              <w:left w:val="single" w:color="auto" w:sz="4" w:space="0"/>
              <w:bottom w:val="single" w:color="auto" w:sz="4" w:space="0"/>
              <w:right w:val="single" w:color="auto" w:sz="4" w:space="0"/>
            </w:tcBorders>
            <w:vAlign w:val="center"/>
          </w:tcPr>
          <w:p w14:paraId="344893E5">
            <w:pPr>
              <w:spacing w:line="240" w:lineRule="exact"/>
              <w:jc w:val="left"/>
              <w:rPr>
                <w:rFonts w:hint="default" w:eastAsia="宋体"/>
                <w:b w:val="0"/>
                <w:bCs w:val="0"/>
                <w:kern w:val="0"/>
                <w:szCs w:val="21"/>
                <w:lang w:val="en-US" w:eastAsia="zh-CN"/>
              </w:rPr>
            </w:pPr>
            <w:r>
              <w:rPr>
                <w:rFonts w:hint="eastAsia"/>
                <w:b w:val="0"/>
                <w:bCs w:val="0"/>
                <w:kern w:val="0"/>
                <w:szCs w:val="21"/>
                <w:lang w:val="en-US" w:eastAsia="zh-CN"/>
              </w:rPr>
              <w:t>应急处置</w:t>
            </w:r>
          </w:p>
        </w:tc>
        <w:tc>
          <w:tcPr>
            <w:tcW w:w="6951" w:type="dxa"/>
            <w:tcBorders>
              <w:top w:val="single" w:color="auto" w:sz="4" w:space="0"/>
              <w:left w:val="single" w:color="auto" w:sz="4" w:space="0"/>
              <w:bottom w:val="single" w:color="auto" w:sz="4" w:space="0"/>
              <w:right w:val="single" w:color="auto" w:sz="4" w:space="0"/>
            </w:tcBorders>
            <w:vAlign w:val="center"/>
          </w:tcPr>
          <w:p w14:paraId="4AEF0565">
            <w:pPr>
              <w:spacing w:line="240" w:lineRule="exact"/>
              <w:jc w:val="center"/>
              <w:rPr>
                <w:b w:val="0"/>
                <w:bCs w:val="0"/>
                <w:kern w:val="0"/>
                <w:szCs w:val="21"/>
              </w:rPr>
            </w:pPr>
            <w:r>
              <w:rPr>
                <w:rFonts w:hint="eastAsia"/>
                <w:b w:val="0"/>
                <w:bCs w:val="0"/>
                <w:kern w:val="0"/>
                <w:szCs w:val="21"/>
              </w:rPr>
              <w:t>迅速撤离泄漏污染区人员至安全区，并进行隔离，严格限制出入。切断火源。建议应急处理人员戴自给正压式呼吸器，穿防毒服。尽可能切断泄漏源。防止流入下水道、排洪沟等限制性空间。小量泄漏:用砂土、干燥石灰或苏打灰混合。也可以用大量水冲洗，洗水释后放入废水系统。大量泄漏:构筑围堤或挖坑收容。用泵转移至车或专用收集器内，回收或运至废物处理场所处置。</w:t>
            </w:r>
          </w:p>
        </w:tc>
      </w:tr>
    </w:tbl>
    <w:p w14:paraId="051276C5">
      <w:pPr>
        <w:keepNext/>
        <w:keepLines/>
        <w:widowControl/>
        <w:numPr>
          <w:ilvl w:val="2"/>
          <w:numId w:val="9"/>
        </w:numPr>
        <w:spacing w:before="126" w:after="126" w:line="500" w:lineRule="exact"/>
        <w:jc w:val="left"/>
        <w:outlineLvl w:val="2"/>
        <w:rPr>
          <w:b/>
          <w:bCs/>
          <w:kern w:val="0"/>
          <w:sz w:val="24"/>
        </w:rPr>
      </w:pPr>
      <w:bookmarkStart w:id="45" w:name="_Toc25482"/>
      <w:r>
        <w:rPr>
          <w:b/>
          <w:bCs/>
          <w:kern w:val="0"/>
          <w:sz w:val="24"/>
        </w:rPr>
        <w:t>环境敏感目标调查</w:t>
      </w:r>
      <w:bookmarkEnd w:id="44"/>
      <w:bookmarkEnd w:id="45"/>
    </w:p>
    <w:p w14:paraId="1CD163C8">
      <w:pPr>
        <w:widowControl/>
        <w:spacing w:line="500" w:lineRule="exact"/>
        <w:ind w:firstLine="480" w:firstLineChars="200"/>
        <w:jc w:val="left"/>
        <w:rPr>
          <w:kern w:val="0"/>
          <w:sz w:val="24"/>
        </w:rPr>
      </w:pPr>
      <w:r>
        <w:rPr>
          <w:kern w:val="0"/>
          <w:sz w:val="24"/>
        </w:rPr>
        <w:t>据调查，项目周边敏感目标调查情况见表1.</w:t>
      </w:r>
      <w:r>
        <w:rPr>
          <w:rFonts w:hint="eastAsia"/>
          <w:kern w:val="0"/>
          <w:sz w:val="24"/>
        </w:rPr>
        <w:t>3</w:t>
      </w:r>
      <w:r>
        <w:rPr>
          <w:kern w:val="0"/>
          <w:sz w:val="24"/>
        </w:rPr>
        <w:t>-</w:t>
      </w:r>
      <w:r>
        <w:rPr>
          <w:rFonts w:hint="eastAsia"/>
          <w:kern w:val="0"/>
          <w:sz w:val="24"/>
        </w:rPr>
        <w:t>6</w:t>
      </w:r>
      <w:r>
        <w:rPr>
          <w:kern w:val="0"/>
          <w:sz w:val="24"/>
        </w:rPr>
        <w:t>。</w:t>
      </w:r>
    </w:p>
    <w:p w14:paraId="792FD106">
      <w:pPr>
        <w:keepNext/>
        <w:keepLines/>
        <w:widowControl/>
        <w:tabs>
          <w:tab w:val="left" w:pos="795"/>
        </w:tabs>
        <w:spacing w:line="500" w:lineRule="exact"/>
        <w:ind w:left="795"/>
        <w:jc w:val="center"/>
        <w:outlineLvl w:val="3"/>
        <w:rPr>
          <w:b/>
          <w:kern w:val="0"/>
          <w:sz w:val="24"/>
        </w:rPr>
      </w:pPr>
      <w:r>
        <w:rPr>
          <w:b/>
          <w:kern w:val="0"/>
          <w:sz w:val="24"/>
        </w:rPr>
        <w:t>表1.</w:t>
      </w:r>
      <w:r>
        <w:rPr>
          <w:rFonts w:hint="eastAsia"/>
          <w:b/>
          <w:kern w:val="0"/>
          <w:sz w:val="24"/>
        </w:rPr>
        <w:t>3</w:t>
      </w:r>
      <w:r>
        <w:rPr>
          <w:b/>
          <w:kern w:val="0"/>
          <w:sz w:val="24"/>
        </w:rPr>
        <w:t>-</w:t>
      </w:r>
      <w:r>
        <w:rPr>
          <w:rFonts w:hint="eastAsia"/>
          <w:b/>
          <w:kern w:val="0"/>
          <w:sz w:val="24"/>
        </w:rPr>
        <w:t>6</w:t>
      </w:r>
      <w:r>
        <w:rPr>
          <w:b/>
          <w:kern w:val="0"/>
          <w:sz w:val="24"/>
        </w:rPr>
        <w:t xml:space="preserve">  建设项目环境敏感特征表</w:t>
      </w:r>
    </w:p>
    <w:tbl>
      <w:tblPr>
        <w:tblStyle w:val="26"/>
        <w:tblW w:w="504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943"/>
        <w:gridCol w:w="57"/>
        <w:gridCol w:w="1643"/>
        <w:gridCol w:w="1091"/>
        <w:gridCol w:w="71"/>
        <w:gridCol w:w="1125"/>
        <w:gridCol w:w="89"/>
        <w:gridCol w:w="61"/>
        <w:gridCol w:w="1069"/>
        <w:gridCol w:w="545"/>
        <w:gridCol w:w="1444"/>
      </w:tblGrid>
      <w:tr w14:paraId="1E7E1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shd w:val="clear" w:color="auto" w:fill="FFFFFF"/>
            <w:noWrap w:val="0"/>
            <w:vAlign w:val="center"/>
          </w:tcPr>
          <w:p w14:paraId="049396F0">
            <w:pPr>
              <w:pStyle w:val="65"/>
              <w:snapToGrid w:val="0"/>
              <w:jc w:val="center"/>
              <w:rPr>
                <w:rFonts w:ascii="Times New Roman"/>
                <w:sz w:val="21"/>
                <w:szCs w:val="21"/>
                <w:u w:val="none"/>
              </w:rPr>
            </w:pPr>
            <w:r>
              <w:rPr>
                <w:rFonts w:ascii="Times New Roman"/>
                <w:sz w:val="21"/>
                <w:szCs w:val="21"/>
                <w:u w:val="none"/>
              </w:rPr>
              <w:t>类别</w:t>
            </w:r>
          </w:p>
        </w:tc>
        <w:tc>
          <w:tcPr>
            <w:tcW w:w="4558" w:type="pct"/>
            <w:gridSpan w:val="11"/>
            <w:shd w:val="clear" w:color="auto" w:fill="FFFFFF"/>
            <w:noWrap w:val="0"/>
            <w:vAlign w:val="center"/>
          </w:tcPr>
          <w:p w14:paraId="3BA0D687">
            <w:pPr>
              <w:pStyle w:val="65"/>
              <w:snapToGrid w:val="0"/>
              <w:jc w:val="center"/>
              <w:rPr>
                <w:rFonts w:ascii="Times New Roman"/>
                <w:sz w:val="21"/>
                <w:szCs w:val="21"/>
                <w:u w:val="none"/>
              </w:rPr>
            </w:pPr>
            <w:r>
              <w:rPr>
                <w:rFonts w:ascii="Times New Roman"/>
                <w:sz w:val="21"/>
                <w:szCs w:val="21"/>
                <w:u w:val="none"/>
              </w:rPr>
              <w:t>环境敏感特征</w:t>
            </w:r>
          </w:p>
        </w:tc>
      </w:tr>
      <w:tr w14:paraId="5116E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restart"/>
            <w:shd w:val="clear" w:color="auto" w:fill="FFFFFF"/>
            <w:noWrap w:val="0"/>
            <w:vAlign w:val="center"/>
          </w:tcPr>
          <w:p w14:paraId="236C33AD">
            <w:pPr>
              <w:pStyle w:val="65"/>
              <w:snapToGrid w:val="0"/>
              <w:jc w:val="center"/>
              <w:rPr>
                <w:rFonts w:ascii="Times New Roman"/>
                <w:sz w:val="21"/>
                <w:szCs w:val="21"/>
                <w:u w:val="none"/>
              </w:rPr>
            </w:pPr>
            <w:r>
              <w:rPr>
                <w:rFonts w:ascii="Times New Roman"/>
                <w:sz w:val="21"/>
                <w:szCs w:val="21"/>
                <w:u w:val="none"/>
              </w:rPr>
              <w:t>大气</w:t>
            </w:r>
          </w:p>
        </w:tc>
        <w:tc>
          <w:tcPr>
            <w:tcW w:w="4558" w:type="pct"/>
            <w:gridSpan w:val="11"/>
            <w:shd w:val="clear" w:color="auto" w:fill="FFFFFF"/>
            <w:noWrap w:val="0"/>
            <w:vAlign w:val="center"/>
          </w:tcPr>
          <w:p w14:paraId="4E27F359">
            <w:pPr>
              <w:pStyle w:val="65"/>
              <w:snapToGrid w:val="0"/>
              <w:jc w:val="center"/>
              <w:rPr>
                <w:rFonts w:ascii="Times New Roman"/>
                <w:sz w:val="21"/>
                <w:szCs w:val="21"/>
                <w:u w:val="none"/>
              </w:rPr>
            </w:pPr>
            <w:r>
              <w:rPr>
                <w:rFonts w:ascii="Times New Roman"/>
                <w:sz w:val="21"/>
                <w:szCs w:val="21"/>
                <w:u w:val="none"/>
              </w:rPr>
              <w:t>厂址周边5km范围内</w:t>
            </w:r>
          </w:p>
        </w:tc>
      </w:tr>
      <w:tr w14:paraId="37DF2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010C891B">
            <w:pPr>
              <w:pStyle w:val="65"/>
              <w:snapToGrid w:val="0"/>
              <w:jc w:val="center"/>
              <w:rPr>
                <w:rFonts w:ascii="Times New Roman"/>
                <w:sz w:val="21"/>
                <w:szCs w:val="21"/>
                <w:u w:val="none"/>
              </w:rPr>
            </w:pPr>
          </w:p>
        </w:tc>
        <w:tc>
          <w:tcPr>
            <w:tcW w:w="528" w:type="pct"/>
            <w:shd w:val="clear" w:color="auto" w:fill="FFFFFF"/>
            <w:noWrap w:val="0"/>
            <w:vAlign w:val="center"/>
          </w:tcPr>
          <w:p w14:paraId="1ECD499D">
            <w:pPr>
              <w:pStyle w:val="65"/>
              <w:snapToGrid w:val="0"/>
              <w:jc w:val="center"/>
              <w:rPr>
                <w:rFonts w:ascii="Times New Roman"/>
                <w:sz w:val="21"/>
                <w:szCs w:val="21"/>
                <w:u w:val="none"/>
              </w:rPr>
            </w:pPr>
            <w:r>
              <w:rPr>
                <w:rFonts w:ascii="Times New Roman"/>
                <w:sz w:val="21"/>
                <w:szCs w:val="21"/>
                <w:u w:val="none"/>
              </w:rPr>
              <w:t>序号</w:t>
            </w:r>
          </w:p>
        </w:tc>
        <w:tc>
          <w:tcPr>
            <w:tcW w:w="952" w:type="pct"/>
            <w:gridSpan w:val="2"/>
            <w:shd w:val="clear" w:color="auto" w:fill="FFFFFF"/>
            <w:noWrap w:val="0"/>
            <w:vAlign w:val="center"/>
          </w:tcPr>
          <w:p w14:paraId="19DF1877">
            <w:pPr>
              <w:pStyle w:val="65"/>
              <w:snapToGrid w:val="0"/>
              <w:jc w:val="center"/>
              <w:rPr>
                <w:rFonts w:ascii="Times New Roman"/>
                <w:sz w:val="21"/>
                <w:szCs w:val="21"/>
                <w:u w:val="none"/>
              </w:rPr>
            </w:pPr>
            <w:r>
              <w:rPr>
                <w:rFonts w:ascii="Times New Roman"/>
                <w:sz w:val="21"/>
                <w:szCs w:val="21"/>
                <w:u w:val="none"/>
              </w:rPr>
              <w:t>敏感目标名称</w:t>
            </w:r>
          </w:p>
        </w:tc>
        <w:tc>
          <w:tcPr>
            <w:tcW w:w="611" w:type="pct"/>
            <w:shd w:val="clear" w:color="auto" w:fill="FFFFFF"/>
            <w:noWrap w:val="0"/>
            <w:vAlign w:val="center"/>
          </w:tcPr>
          <w:p w14:paraId="0E07C3AB">
            <w:pPr>
              <w:pStyle w:val="65"/>
              <w:snapToGrid w:val="0"/>
              <w:jc w:val="center"/>
              <w:rPr>
                <w:rFonts w:ascii="Times New Roman"/>
                <w:sz w:val="21"/>
                <w:szCs w:val="21"/>
                <w:u w:val="none"/>
              </w:rPr>
            </w:pPr>
            <w:r>
              <w:rPr>
                <w:rFonts w:ascii="Times New Roman"/>
                <w:sz w:val="21"/>
                <w:szCs w:val="21"/>
                <w:u w:val="none"/>
              </w:rPr>
              <w:t>相对方位</w:t>
            </w:r>
          </w:p>
        </w:tc>
        <w:tc>
          <w:tcPr>
            <w:tcW w:w="670" w:type="pct"/>
            <w:gridSpan w:val="2"/>
            <w:shd w:val="clear" w:color="auto" w:fill="FFFFFF"/>
            <w:noWrap w:val="0"/>
            <w:vAlign w:val="center"/>
          </w:tcPr>
          <w:p w14:paraId="1F3C18C4">
            <w:pPr>
              <w:pStyle w:val="65"/>
              <w:snapToGrid w:val="0"/>
              <w:jc w:val="center"/>
              <w:rPr>
                <w:rFonts w:ascii="Times New Roman"/>
                <w:sz w:val="21"/>
                <w:szCs w:val="21"/>
                <w:u w:val="none"/>
              </w:rPr>
            </w:pPr>
            <w:r>
              <w:rPr>
                <w:rFonts w:ascii="Times New Roman"/>
                <w:sz w:val="21"/>
                <w:szCs w:val="21"/>
                <w:u w:val="none"/>
              </w:rPr>
              <w:t>距离/m</w:t>
            </w:r>
          </w:p>
        </w:tc>
        <w:tc>
          <w:tcPr>
            <w:tcW w:w="681" w:type="pct"/>
            <w:gridSpan w:val="3"/>
            <w:shd w:val="clear" w:color="auto" w:fill="FFFFFF"/>
            <w:noWrap w:val="0"/>
            <w:vAlign w:val="center"/>
          </w:tcPr>
          <w:p w14:paraId="51210E94">
            <w:pPr>
              <w:pStyle w:val="65"/>
              <w:snapToGrid w:val="0"/>
              <w:jc w:val="center"/>
              <w:rPr>
                <w:rFonts w:ascii="Times New Roman"/>
                <w:sz w:val="21"/>
                <w:szCs w:val="21"/>
                <w:u w:val="none"/>
              </w:rPr>
            </w:pPr>
            <w:r>
              <w:rPr>
                <w:rFonts w:ascii="Times New Roman"/>
                <w:sz w:val="21"/>
                <w:szCs w:val="21"/>
                <w:u w:val="none"/>
              </w:rPr>
              <w:t>属性</w:t>
            </w:r>
          </w:p>
        </w:tc>
        <w:tc>
          <w:tcPr>
            <w:tcW w:w="1113" w:type="pct"/>
            <w:gridSpan w:val="2"/>
            <w:shd w:val="clear" w:color="auto" w:fill="FFFFFF"/>
            <w:noWrap w:val="0"/>
            <w:vAlign w:val="center"/>
          </w:tcPr>
          <w:p w14:paraId="5A4E1B8D">
            <w:pPr>
              <w:pStyle w:val="65"/>
              <w:snapToGrid w:val="0"/>
              <w:jc w:val="center"/>
              <w:rPr>
                <w:rFonts w:ascii="Times New Roman"/>
                <w:sz w:val="21"/>
                <w:szCs w:val="21"/>
                <w:u w:val="none"/>
              </w:rPr>
            </w:pPr>
            <w:r>
              <w:rPr>
                <w:rFonts w:ascii="Times New Roman"/>
                <w:sz w:val="21"/>
                <w:szCs w:val="21"/>
                <w:u w:val="none"/>
              </w:rPr>
              <w:t>人口数</w:t>
            </w:r>
          </w:p>
        </w:tc>
      </w:tr>
      <w:tr w14:paraId="431D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4F03E43B">
            <w:pPr>
              <w:pStyle w:val="65"/>
              <w:snapToGrid w:val="0"/>
              <w:jc w:val="center"/>
              <w:rPr>
                <w:rFonts w:ascii="Times New Roman"/>
                <w:sz w:val="21"/>
                <w:szCs w:val="21"/>
                <w:u w:val="none"/>
              </w:rPr>
            </w:pPr>
          </w:p>
        </w:tc>
        <w:tc>
          <w:tcPr>
            <w:tcW w:w="528" w:type="pct"/>
            <w:shd w:val="clear" w:color="auto" w:fill="FFFFFF"/>
            <w:noWrap w:val="0"/>
            <w:vAlign w:val="center"/>
          </w:tcPr>
          <w:p w14:paraId="1400E622">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1</w:t>
            </w:r>
          </w:p>
        </w:tc>
        <w:tc>
          <w:tcPr>
            <w:tcW w:w="952" w:type="pct"/>
            <w:gridSpan w:val="2"/>
            <w:shd w:val="clear" w:color="auto" w:fill="FFFFFF"/>
            <w:noWrap w:val="0"/>
            <w:vAlign w:val="center"/>
          </w:tcPr>
          <w:p w14:paraId="5E080AF8">
            <w:pPr>
              <w:pStyle w:val="65"/>
              <w:snapToGrid w:val="0"/>
              <w:jc w:val="center"/>
              <w:rPr>
                <w:rFonts w:hint="default" w:ascii="Times New Roman" w:eastAsia="宋体"/>
                <w:sz w:val="21"/>
                <w:szCs w:val="21"/>
                <w:u w:val="none"/>
                <w:lang w:val="en-US" w:eastAsia="zh-CN"/>
              </w:rPr>
            </w:pPr>
            <w:r>
              <w:rPr>
                <w:rFonts w:hint="eastAsia" w:ascii="Times New Roman"/>
                <w:sz w:val="21"/>
                <w:szCs w:val="21"/>
                <w:u w:val="none"/>
                <w:lang w:val="en-US" w:eastAsia="zh-CN"/>
              </w:rPr>
              <w:t>厚福沙村</w:t>
            </w:r>
          </w:p>
        </w:tc>
        <w:tc>
          <w:tcPr>
            <w:tcW w:w="611" w:type="pct"/>
            <w:shd w:val="clear" w:color="auto" w:fill="FFFFFF"/>
            <w:noWrap w:val="0"/>
            <w:vAlign w:val="center"/>
          </w:tcPr>
          <w:p w14:paraId="1F2C91FF">
            <w:pPr>
              <w:pStyle w:val="65"/>
              <w:snapToGrid w:val="0"/>
              <w:jc w:val="center"/>
              <w:rPr>
                <w:rFonts w:hint="eastAsia" w:ascii="Times New Roman" w:eastAsia="宋体"/>
                <w:sz w:val="21"/>
                <w:szCs w:val="21"/>
                <w:u w:val="none"/>
                <w:lang w:val="en-US" w:eastAsia="zh-CN"/>
              </w:rPr>
            </w:pPr>
            <w:r>
              <w:rPr>
                <w:rFonts w:hint="eastAsia" w:ascii="Times New Roman"/>
                <w:sz w:val="21"/>
                <w:szCs w:val="21"/>
                <w:u w:val="none"/>
                <w:lang w:val="en-US" w:eastAsia="zh-CN"/>
              </w:rPr>
              <w:t>W</w:t>
            </w:r>
          </w:p>
        </w:tc>
        <w:tc>
          <w:tcPr>
            <w:tcW w:w="670" w:type="pct"/>
            <w:gridSpan w:val="2"/>
            <w:shd w:val="clear" w:color="auto" w:fill="FFFFFF"/>
            <w:noWrap w:val="0"/>
            <w:vAlign w:val="center"/>
          </w:tcPr>
          <w:p w14:paraId="77E336CA">
            <w:pPr>
              <w:pStyle w:val="65"/>
              <w:snapToGrid w:val="0"/>
              <w:jc w:val="center"/>
              <w:rPr>
                <w:rFonts w:hint="default" w:ascii="Times New Roman" w:eastAsia="宋体"/>
                <w:sz w:val="21"/>
                <w:szCs w:val="21"/>
                <w:u w:val="none"/>
                <w:lang w:val="en-US" w:eastAsia="zh-CN"/>
              </w:rPr>
            </w:pPr>
            <w:r>
              <w:rPr>
                <w:rFonts w:hint="eastAsia" w:ascii="Times New Roman"/>
                <w:sz w:val="21"/>
                <w:szCs w:val="21"/>
                <w:u w:val="none"/>
                <w:lang w:val="en-US" w:eastAsia="zh-CN"/>
              </w:rPr>
              <w:t>120</w:t>
            </w:r>
          </w:p>
        </w:tc>
        <w:tc>
          <w:tcPr>
            <w:tcW w:w="681" w:type="pct"/>
            <w:gridSpan w:val="3"/>
            <w:shd w:val="clear" w:color="auto" w:fill="FFFFFF"/>
            <w:noWrap w:val="0"/>
            <w:vAlign w:val="center"/>
          </w:tcPr>
          <w:p w14:paraId="44B6F51E">
            <w:pPr>
              <w:pStyle w:val="65"/>
              <w:snapToGrid w:val="0"/>
              <w:jc w:val="center"/>
              <w:rPr>
                <w:rFonts w:hint="eastAsia" w:ascii="Times New Roman" w:eastAsia="宋体"/>
                <w:sz w:val="21"/>
                <w:szCs w:val="21"/>
                <w:u w:val="none"/>
                <w:lang w:val="en-US" w:eastAsia="zh-CN"/>
              </w:rPr>
            </w:pPr>
            <w:r>
              <w:rPr>
                <w:rFonts w:hint="eastAsia" w:ascii="Times New Roman"/>
                <w:sz w:val="21"/>
                <w:szCs w:val="21"/>
                <w:u w:val="none"/>
                <w:lang w:val="en-US" w:eastAsia="zh-CN"/>
              </w:rPr>
              <w:t>居民区</w:t>
            </w:r>
          </w:p>
        </w:tc>
        <w:tc>
          <w:tcPr>
            <w:tcW w:w="1113" w:type="pct"/>
            <w:gridSpan w:val="2"/>
            <w:shd w:val="clear" w:color="auto" w:fill="FFFFFF"/>
            <w:noWrap w:val="0"/>
            <w:vAlign w:val="center"/>
          </w:tcPr>
          <w:p w14:paraId="33BA747A">
            <w:pPr>
              <w:pStyle w:val="65"/>
              <w:snapToGrid w:val="0"/>
              <w:jc w:val="center"/>
              <w:rPr>
                <w:rFonts w:hint="default" w:ascii="Times New Roman" w:eastAsia="宋体"/>
                <w:sz w:val="21"/>
                <w:szCs w:val="21"/>
                <w:u w:val="none"/>
                <w:lang w:val="en-US" w:eastAsia="zh-CN"/>
              </w:rPr>
            </w:pPr>
            <w:r>
              <w:rPr>
                <w:rFonts w:hint="eastAsia" w:ascii="Times New Roman"/>
                <w:sz w:val="21"/>
                <w:szCs w:val="21"/>
                <w:u w:val="none"/>
                <w:lang w:val="en-US" w:eastAsia="zh-CN"/>
              </w:rPr>
              <w:t>130</w:t>
            </w:r>
          </w:p>
        </w:tc>
      </w:tr>
      <w:tr w14:paraId="6EDDE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2F4ACED6">
            <w:pPr>
              <w:pStyle w:val="65"/>
              <w:snapToGrid w:val="0"/>
              <w:jc w:val="center"/>
              <w:rPr>
                <w:rFonts w:ascii="Times New Roman"/>
                <w:sz w:val="21"/>
                <w:szCs w:val="21"/>
                <w:u w:val="none"/>
              </w:rPr>
            </w:pPr>
          </w:p>
        </w:tc>
        <w:tc>
          <w:tcPr>
            <w:tcW w:w="528" w:type="pct"/>
            <w:shd w:val="clear" w:color="auto" w:fill="FFFFFF"/>
            <w:noWrap w:val="0"/>
            <w:vAlign w:val="center"/>
          </w:tcPr>
          <w:p w14:paraId="0DFDFDA3">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2</w:t>
            </w:r>
          </w:p>
        </w:tc>
        <w:tc>
          <w:tcPr>
            <w:tcW w:w="952" w:type="pct"/>
            <w:gridSpan w:val="2"/>
            <w:shd w:val="clear" w:color="auto" w:fill="FFFFFF"/>
            <w:noWrap w:val="0"/>
            <w:vAlign w:val="center"/>
          </w:tcPr>
          <w:p w14:paraId="38D85212">
            <w:pPr>
              <w:pStyle w:val="65"/>
              <w:snapToGrid w:val="0"/>
              <w:jc w:val="center"/>
              <w:rPr>
                <w:rFonts w:ascii="Times New Roman"/>
                <w:sz w:val="21"/>
                <w:szCs w:val="21"/>
                <w:u w:val="none"/>
              </w:rPr>
            </w:pPr>
            <w:r>
              <w:rPr>
                <w:rFonts w:ascii="Times New Roman"/>
                <w:kern w:val="2"/>
                <w:sz w:val="21"/>
                <w:szCs w:val="21"/>
                <w:u w:val="none"/>
              </w:rPr>
              <w:t>果子山村</w:t>
            </w:r>
          </w:p>
        </w:tc>
        <w:tc>
          <w:tcPr>
            <w:tcW w:w="611" w:type="pct"/>
            <w:shd w:val="clear" w:color="auto" w:fill="FFFFFF"/>
            <w:noWrap w:val="0"/>
            <w:vAlign w:val="center"/>
          </w:tcPr>
          <w:p w14:paraId="19E26942">
            <w:pPr>
              <w:pStyle w:val="65"/>
              <w:snapToGrid w:val="0"/>
              <w:jc w:val="center"/>
              <w:rPr>
                <w:rFonts w:ascii="Times New Roman"/>
                <w:kern w:val="2"/>
                <w:sz w:val="21"/>
                <w:szCs w:val="21"/>
                <w:u w:val="none"/>
              </w:rPr>
            </w:pPr>
            <w:r>
              <w:rPr>
                <w:rFonts w:ascii="Times New Roman"/>
                <w:kern w:val="2"/>
                <w:sz w:val="21"/>
                <w:szCs w:val="21"/>
                <w:u w:val="none"/>
              </w:rPr>
              <w:t>W</w:t>
            </w:r>
          </w:p>
        </w:tc>
        <w:tc>
          <w:tcPr>
            <w:tcW w:w="670" w:type="pct"/>
            <w:gridSpan w:val="2"/>
            <w:shd w:val="clear" w:color="auto" w:fill="FFFFFF"/>
            <w:noWrap w:val="0"/>
            <w:vAlign w:val="center"/>
          </w:tcPr>
          <w:p w14:paraId="21861C68">
            <w:pPr>
              <w:pStyle w:val="65"/>
              <w:snapToGrid w:val="0"/>
              <w:jc w:val="center"/>
              <w:rPr>
                <w:rFonts w:ascii="Times New Roman"/>
                <w:kern w:val="2"/>
                <w:sz w:val="21"/>
                <w:szCs w:val="21"/>
                <w:u w:val="none"/>
              </w:rPr>
            </w:pPr>
            <w:r>
              <w:rPr>
                <w:rFonts w:ascii="Times New Roman"/>
                <w:kern w:val="2"/>
                <w:sz w:val="21"/>
                <w:szCs w:val="21"/>
                <w:u w:val="none"/>
              </w:rPr>
              <w:t>1200</w:t>
            </w:r>
          </w:p>
        </w:tc>
        <w:tc>
          <w:tcPr>
            <w:tcW w:w="681" w:type="pct"/>
            <w:gridSpan w:val="3"/>
            <w:shd w:val="clear" w:color="auto" w:fill="FFFFFF"/>
            <w:noWrap w:val="0"/>
            <w:vAlign w:val="center"/>
          </w:tcPr>
          <w:p w14:paraId="7FAC7962">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2469DC6F">
            <w:pPr>
              <w:pStyle w:val="65"/>
              <w:snapToGrid w:val="0"/>
              <w:jc w:val="center"/>
              <w:rPr>
                <w:rFonts w:ascii="Times New Roman"/>
                <w:kern w:val="2"/>
                <w:sz w:val="21"/>
                <w:szCs w:val="21"/>
                <w:u w:val="none"/>
              </w:rPr>
            </w:pPr>
            <w:r>
              <w:rPr>
                <w:rFonts w:ascii="Times New Roman"/>
                <w:kern w:val="2"/>
                <w:sz w:val="21"/>
                <w:szCs w:val="21"/>
                <w:u w:val="none"/>
              </w:rPr>
              <w:t>约1000</w:t>
            </w:r>
          </w:p>
        </w:tc>
      </w:tr>
      <w:tr w14:paraId="1E060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2E00875D">
            <w:pPr>
              <w:pStyle w:val="65"/>
              <w:snapToGrid w:val="0"/>
              <w:jc w:val="center"/>
              <w:rPr>
                <w:rFonts w:ascii="Times New Roman"/>
                <w:sz w:val="21"/>
                <w:szCs w:val="21"/>
                <w:u w:val="none"/>
              </w:rPr>
            </w:pPr>
          </w:p>
        </w:tc>
        <w:tc>
          <w:tcPr>
            <w:tcW w:w="528" w:type="pct"/>
            <w:shd w:val="clear" w:color="auto" w:fill="FFFFFF"/>
            <w:noWrap w:val="0"/>
            <w:vAlign w:val="center"/>
          </w:tcPr>
          <w:p w14:paraId="1E4C4CC6">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3</w:t>
            </w:r>
          </w:p>
        </w:tc>
        <w:tc>
          <w:tcPr>
            <w:tcW w:w="952" w:type="pct"/>
            <w:gridSpan w:val="2"/>
            <w:shd w:val="clear" w:color="auto" w:fill="FFFFFF"/>
            <w:noWrap w:val="0"/>
            <w:vAlign w:val="center"/>
          </w:tcPr>
          <w:p w14:paraId="08827539">
            <w:pPr>
              <w:pStyle w:val="65"/>
              <w:snapToGrid w:val="0"/>
              <w:jc w:val="center"/>
              <w:rPr>
                <w:rFonts w:ascii="Times New Roman"/>
                <w:sz w:val="21"/>
                <w:szCs w:val="21"/>
                <w:u w:val="none"/>
              </w:rPr>
            </w:pPr>
            <w:r>
              <w:rPr>
                <w:rFonts w:ascii="Times New Roman"/>
                <w:kern w:val="2"/>
                <w:sz w:val="21"/>
                <w:szCs w:val="21"/>
                <w:u w:val="none"/>
              </w:rPr>
              <w:t>竹笼</w:t>
            </w:r>
          </w:p>
        </w:tc>
        <w:tc>
          <w:tcPr>
            <w:tcW w:w="611" w:type="pct"/>
            <w:shd w:val="clear" w:color="auto" w:fill="FFFFFF"/>
            <w:noWrap w:val="0"/>
            <w:vAlign w:val="center"/>
          </w:tcPr>
          <w:p w14:paraId="6B993941">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10E268FE">
            <w:pPr>
              <w:pStyle w:val="65"/>
              <w:snapToGrid w:val="0"/>
              <w:jc w:val="center"/>
              <w:rPr>
                <w:rFonts w:ascii="Times New Roman"/>
                <w:kern w:val="2"/>
                <w:sz w:val="21"/>
                <w:szCs w:val="21"/>
                <w:u w:val="none"/>
              </w:rPr>
            </w:pPr>
            <w:r>
              <w:rPr>
                <w:rFonts w:ascii="Times New Roman"/>
                <w:kern w:val="2"/>
                <w:sz w:val="21"/>
                <w:szCs w:val="21"/>
                <w:u w:val="none"/>
              </w:rPr>
              <w:t>1300</w:t>
            </w:r>
          </w:p>
        </w:tc>
        <w:tc>
          <w:tcPr>
            <w:tcW w:w="681" w:type="pct"/>
            <w:gridSpan w:val="3"/>
            <w:shd w:val="clear" w:color="auto" w:fill="FFFFFF"/>
            <w:noWrap w:val="0"/>
            <w:vAlign w:val="center"/>
          </w:tcPr>
          <w:p w14:paraId="31D79B8A">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3C095E5C">
            <w:pPr>
              <w:pStyle w:val="65"/>
              <w:snapToGrid w:val="0"/>
              <w:jc w:val="center"/>
              <w:rPr>
                <w:rFonts w:ascii="Times New Roman"/>
                <w:kern w:val="2"/>
                <w:sz w:val="21"/>
                <w:szCs w:val="21"/>
                <w:u w:val="none"/>
              </w:rPr>
            </w:pPr>
            <w:r>
              <w:rPr>
                <w:rFonts w:ascii="Times New Roman"/>
                <w:kern w:val="2"/>
                <w:sz w:val="21"/>
                <w:szCs w:val="21"/>
                <w:u w:val="none"/>
              </w:rPr>
              <w:t>约300</w:t>
            </w:r>
          </w:p>
        </w:tc>
      </w:tr>
      <w:tr w14:paraId="5BD76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7D579D2">
            <w:pPr>
              <w:pStyle w:val="65"/>
              <w:snapToGrid w:val="0"/>
              <w:jc w:val="center"/>
              <w:rPr>
                <w:rFonts w:ascii="Times New Roman"/>
                <w:sz w:val="21"/>
                <w:szCs w:val="21"/>
                <w:u w:val="none"/>
              </w:rPr>
            </w:pPr>
          </w:p>
        </w:tc>
        <w:tc>
          <w:tcPr>
            <w:tcW w:w="528" w:type="pct"/>
            <w:shd w:val="clear" w:color="auto" w:fill="FFFFFF"/>
            <w:noWrap w:val="0"/>
            <w:vAlign w:val="center"/>
          </w:tcPr>
          <w:p w14:paraId="626173C2">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4</w:t>
            </w:r>
          </w:p>
        </w:tc>
        <w:tc>
          <w:tcPr>
            <w:tcW w:w="952" w:type="pct"/>
            <w:gridSpan w:val="2"/>
            <w:shd w:val="clear" w:color="auto" w:fill="FFFFFF"/>
            <w:noWrap w:val="0"/>
            <w:vAlign w:val="center"/>
          </w:tcPr>
          <w:p w14:paraId="2DCD5B23">
            <w:pPr>
              <w:pStyle w:val="65"/>
              <w:snapToGrid w:val="0"/>
              <w:jc w:val="center"/>
              <w:rPr>
                <w:rFonts w:ascii="Times New Roman"/>
                <w:sz w:val="21"/>
                <w:szCs w:val="21"/>
                <w:u w:val="none"/>
              </w:rPr>
            </w:pPr>
            <w:r>
              <w:rPr>
                <w:rFonts w:ascii="Times New Roman"/>
                <w:kern w:val="2"/>
                <w:sz w:val="21"/>
                <w:szCs w:val="21"/>
                <w:u w:val="none"/>
              </w:rPr>
              <w:t>海景1号</w:t>
            </w:r>
          </w:p>
        </w:tc>
        <w:tc>
          <w:tcPr>
            <w:tcW w:w="611" w:type="pct"/>
            <w:shd w:val="clear" w:color="auto" w:fill="FFFFFF"/>
            <w:noWrap w:val="0"/>
            <w:vAlign w:val="center"/>
          </w:tcPr>
          <w:p w14:paraId="6C2E06E5">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0EB8F788">
            <w:pPr>
              <w:pStyle w:val="65"/>
              <w:snapToGrid w:val="0"/>
              <w:jc w:val="center"/>
              <w:rPr>
                <w:rFonts w:ascii="Times New Roman"/>
                <w:kern w:val="2"/>
                <w:sz w:val="21"/>
                <w:szCs w:val="21"/>
                <w:u w:val="none"/>
              </w:rPr>
            </w:pPr>
            <w:r>
              <w:rPr>
                <w:rFonts w:ascii="Times New Roman"/>
                <w:kern w:val="2"/>
                <w:sz w:val="21"/>
                <w:szCs w:val="21"/>
                <w:u w:val="none"/>
              </w:rPr>
              <w:t>1800</w:t>
            </w:r>
          </w:p>
        </w:tc>
        <w:tc>
          <w:tcPr>
            <w:tcW w:w="681" w:type="pct"/>
            <w:gridSpan w:val="3"/>
            <w:shd w:val="clear" w:color="auto" w:fill="FFFFFF"/>
            <w:noWrap w:val="0"/>
            <w:vAlign w:val="center"/>
          </w:tcPr>
          <w:p w14:paraId="2341A2E1">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409436C5">
            <w:pPr>
              <w:pStyle w:val="65"/>
              <w:snapToGrid w:val="0"/>
              <w:jc w:val="center"/>
              <w:rPr>
                <w:rFonts w:ascii="Times New Roman"/>
                <w:kern w:val="2"/>
                <w:sz w:val="21"/>
                <w:szCs w:val="21"/>
                <w:u w:val="none"/>
              </w:rPr>
            </w:pPr>
            <w:r>
              <w:rPr>
                <w:rFonts w:ascii="Times New Roman"/>
                <w:kern w:val="2"/>
                <w:sz w:val="21"/>
                <w:szCs w:val="21"/>
                <w:u w:val="none"/>
              </w:rPr>
              <w:t>约13000</w:t>
            </w:r>
          </w:p>
        </w:tc>
      </w:tr>
      <w:tr w14:paraId="3E2CE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02937F87">
            <w:pPr>
              <w:pStyle w:val="65"/>
              <w:snapToGrid w:val="0"/>
              <w:jc w:val="center"/>
              <w:rPr>
                <w:rFonts w:ascii="Times New Roman"/>
                <w:sz w:val="21"/>
                <w:szCs w:val="21"/>
                <w:u w:val="none"/>
              </w:rPr>
            </w:pPr>
          </w:p>
        </w:tc>
        <w:tc>
          <w:tcPr>
            <w:tcW w:w="528" w:type="pct"/>
            <w:shd w:val="clear" w:color="auto" w:fill="FFFFFF"/>
            <w:noWrap w:val="0"/>
            <w:vAlign w:val="center"/>
          </w:tcPr>
          <w:p w14:paraId="7B23DEAF">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5</w:t>
            </w:r>
          </w:p>
        </w:tc>
        <w:tc>
          <w:tcPr>
            <w:tcW w:w="952" w:type="pct"/>
            <w:gridSpan w:val="2"/>
            <w:shd w:val="clear" w:color="auto" w:fill="FFFFFF"/>
            <w:noWrap w:val="0"/>
            <w:vAlign w:val="center"/>
          </w:tcPr>
          <w:p w14:paraId="419CA279">
            <w:pPr>
              <w:pStyle w:val="65"/>
              <w:snapToGrid w:val="0"/>
              <w:jc w:val="center"/>
              <w:rPr>
                <w:rFonts w:ascii="Times New Roman"/>
                <w:sz w:val="21"/>
                <w:szCs w:val="21"/>
                <w:u w:val="none"/>
              </w:rPr>
            </w:pPr>
            <w:r>
              <w:rPr>
                <w:rFonts w:ascii="Times New Roman"/>
                <w:kern w:val="2"/>
                <w:sz w:val="21"/>
                <w:szCs w:val="21"/>
                <w:u w:val="none"/>
              </w:rPr>
              <w:t>勒沟村</w:t>
            </w:r>
          </w:p>
        </w:tc>
        <w:tc>
          <w:tcPr>
            <w:tcW w:w="611" w:type="pct"/>
            <w:shd w:val="clear" w:color="auto" w:fill="FFFFFF"/>
            <w:noWrap w:val="0"/>
            <w:vAlign w:val="center"/>
          </w:tcPr>
          <w:p w14:paraId="4D09D17C">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20ACD4DE">
            <w:pPr>
              <w:pStyle w:val="65"/>
              <w:snapToGrid w:val="0"/>
              <w:jc w:val="center"/>
              <w:rPr>
                <w:rFonts w:ascii="Times New Roman"/>
                <w:kern w:val="2"/>
                <w:sz w:val="21"/>
                <w:szCs w:val="21"/>
                <w:u w:val="none"/>
              </w:rPr>
            </w:pPr>
            <w:r>
              <w:rPr>
                <w:rFonts w:ascii="Times New Roman"/>
                <w:kern w:val="2"/>
                <w:sz w:val="21"/>
                <w:szCs w:val="21"/>
                <w:u w:val="none"/>
              </w:rPr>
              <w:t>2200</w:t>
            </w:r>
          </w:p>
        </w:tc>
        <w:tc>
          <w:tcPr>
            <w:tcW w:w="681" w:type="pct"/>
            <w:gridSpan w:val="3"/>
            <w:shd w:val="clear" w:color="auto" w:fill="FFFFFF"/>
            <w:noWrap w:val="0"/>
            <w:vAlign w:val="center"/>
          </w:tcPr>
          <w:p w14:paraId="0B99704D">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5372A087">
            <w:pPr>
              <w:pStyle w:val="65"/>
              <w:snapToGrid w:val="0"/>
              <w:jc w:val="center"/>
              <w:rPr>
                <w:rFonts w:ascii="Times New Roman"/>
                <w:kern w:val="2"/>
                <w:sz w:val="21"/>
                <w:szCs w:val="21"/>
                <w:u w:val="none"/>
              </w:rPr>
            </w:pPr>
            <w:r>
              <w:rPr>
                <w:rFonts w:ascii="Times New Roman"/>
                <w:kern w:val="2"/>
                <w:sz w:val="21"/>
                <w:szCs w:val="21"/>
                <w:u w:val="none"/>
              </w:rPr>
              <w:t>约1500</w:t>
            </w:r>
          </w:p>
        </w:tc>
      </w:tr>
      <w:tr w14:paraId="6CB8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6D287767">
            <w:pPr>
              <w:pStyle w:val="65"/>
              <w:snapToGrid w:val="0"/>
              <w:jc w:val="center"/>
              <w:rPr>
                <w:rFonts w:ascii="Times New Roman"/>
                <w:sz w:val="21"/>
                <w:szCs w:val="21"/>
                <w:u w:val="none"/>
              </w:rPr>
            </w:pPr>
          </w:p>
        </w:tc>
        <w:tc>
          <w:tcPr>
            <w:tcW w:w="528" w:type="pct"/>
            <w:shd w:val="clear" w:color="auto" w:fill="FFFFFF"/>
            <w:noWrap w:val="0"/>
            <w:vAlign w:val="center"/>
          </w:tcPr>
          <w:p w14:paraId="700AB413">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6</w:t>
            </w:r>
          </w:p>
        </w:tc>
        <w:tc>
          <w:tcPr>
            <w:tcW w:w="952" w:type="pct"/>
            <w:gridSpan w:val="2"/>
            <w:shd w:val="clear" w:color="auto" w:fill="FFFFFF"/>
            <w:noWrap w:val="0"/>
            <w:vAlign w:val="center"/>
          </w:tcPr>
          <w:p w14:paraId="73C870A5">
            <w:pPr>
              <w:pStyle w:val="65"/>
              <w:snapToGrid w:val="0"/>
              <w:jc w:val="center"/>
              <w:rPr>
                <w:rFonts w:ascii="Times New Roman"/>
                <w:sz w:val="21"/>
                <w:szCs w:val="21"/>
                <w:u w:val="none"/>
              </w:rPr>
            </w:pPr>
            <w:r>
              <w:rPr>
                <w:rFonts w:ascii="Times New Roman"/>
                <w:kern w:val="2"/>
                <w:sz w:val="21"/>
                <w:szCs w:val="21"/>
                <w:u w:val="none"/>
              </w:rPr>
              <w:t>金港花园小区</w:t>
            </w:r>
          </w:p>
        </w:tc>
        <w:tc>
          <w:tcPr>
            <w:tcW w:w="611" w:type="pct"/>
            <w:shd w:val="clear" w:color="auto" w:fill="FFFFFF"/>
            <w:noWrap w:val="0"/>
            <w:vAlign w:val="center"/>
          </w:tcPr>
          <w:p w14:paraId="38D58AE5">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572B7DB7">
            <w:pPr>
              <w:pStyle w:val="65"/>
              <w:snapToGrid w:val="0"/>
              <w:jc w:val="center"/>
              <w:rPr>
                <w:rFonts w:ascii="Times New Roman"/>
                <w:kern w:val="2"/>
                <w:sz w:val="21"/>
                <w:szCs w:val="21"/>
                <w:u w:val="none"/>
              </w:rPr>
            </w:pPr>
            <w:r>
              <w:rPr>
                <w:rFonts w:ascii="Times New Roman"/>
                <w:kern w:val="2"/>
                <w:sz w:val="21"/>
                <w:szCs w:val="21"/>
                <w:u w:val="none"/>
              </w:rPr>
              <w:t>2100</w:t>
            </w:r>
          </w:p>
        </w:tc>
        <w:tc>
          <w:tcPr>
            <w:tcW w:w="681" w:type="pct"/>
            <w:gridSpan w:val="3"/>
            <w:shd w:val="clear" w:color="auto" w:fill="FFFFFF"/>
            <w:noWrap w:val="0"/>
            <w:vAlign w:val="center"/>
          </w:tcPr>
          <w:p w14:paraId="02E3F4F0">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6FEFC98B">
            <w:pPr>
              <w:pStyle w:val="65"/>
              <w:snapToGrid w:val="0"/>
              <w:jc w:val="center"/>
              <w:rPr>
                <w:rFonts w:ascii="Times New Roman"/>
                <w:kern w:val="2"/>
                <w:sz w:val="21"/>
                <w:szCs w:val="21"/>
                <w:u w:val="none"/>
              </w:rPr>
            </w:pPr>
            <w:r>
              <w:rPr>
                <w:rFonts w:ascii="Times New Roman"/>
                <w:kern w:val="2"/>
                <w:sz w:val="21"/>
                <w:szCs w:val="21"/>
                <w:u w:val="none"/>
              </w:rPr>
              <w:t>约4000</w:t>
            </w:r>
          </w:p>
        </w:tc>
      </w:tr>
      <w:tr w14:paraId="10772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413D48B0">
            <w:pPr>
              <w:pStyle w:val="65"/>
              <w:snapToGrid w:val="0"/>
              <w:jc w:val="center"/>
              <w:rPr>
                <w:rFonts w:ascii="Times New Roman"/>
                <w:sz w:val="21"/>
                <w:szCs w:val="21"/>
                <w:u w:val="none"/>
              </w:rPr>
            </w:pPr>
          </w:p>
        </w:tc>
        <w:tc>
          <w:tcPr>
            <w:tcW w:w="528" w:type="pct"/>
            <w:shd w:val="clear" w:color="auto" w:fill="FFFFFF"/>
            <w:noWrap w:val="0"/>
            <w:vAlign w:val="center"/>
          </w:tcPr>
          <w:p w14:paraId="6C5A5FC6">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7</w:t>
            </w:r>
          </w:p>
        </w:tc>
        <w:tc>
          <w:tcPr>
            <w:tcW w:w="952" w:type="pct"/>
            <w:gridSpan w:val="2"/>
            <w:shd w:val="clear" w:color="auto" w:fill="FFFFFF"/>
            <w:noWrap w:val="0"/>
            <w:vAlign w:val="center"/>
          </w:tcPr>
          <w:p w14:paraId="3A089D9B">
            <w:pPr>
              <w:pStyle w:val="65"/>
              <w:snapToGrid w:val="0"/>
              <w:jc w:val="center"/>
              <w:rPr>
                <w:rFonts w:ascii="Times New Roman"/>
                <w:sz w:val="21"/>
                <w:szCs w:val="21"/>
                <w:u w:val="none"/>
              </w:rPr>
            </w:pPr>
            <w:r>
              <w:rPr>
                <w:rFonts w:ascii="Times New Roman"/>
                <w:kern w:val="2"/>
                <w:sz w:val="21"/>
                <w:szCs w:val="21"/>
                <w:u w:val="none"/>
              </w:rPr>
              <w:t>滨海医院</w:t>
            </w:r>
          </w:p>
        </w:tc>
        <w:tc>
          <w:tcPr>
            <w:tcW w:w="611" w:type="pct"/>
            <w:shd w:val="clear" w:color="auto" w:fill="FFFFFF"/>
            <w:noWrap w:val="0"/>
            <w:vAlign w:val="center"/>
          </w:tcPr>
          <w:p w14:paraId="67CD484D">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7448ADE5">
            <w:pPr>
              <w:pStyle w:val="65"/>
              <w:snapToGrid w:val="0"/>
              <w:jc w:val="center"/>
              <w:rPr>
                <w:rFonts w:ascii="Times New Roman"/>
                <w:kern w:val="2"/>
                <w:sz w:val="21"/>
                <w:szCs w:val="21"/>
                <w:u w:val="none"/>
              </w:rPr>
            </w:pPr>
            <w:r>
              <w:rPr>
                <w:rFonts w:ascii="Times New Roman"/>
                <w:kern w:val="2"/>
                <w:sz w:val="21"/>
                <w:szCs w:val="21"/>
                <w:u w:val="none"/>
              </w:rPr>
              <w:t>1640</w:t>
            </w:r>
          </w:p>
        </w:tc>
        <w:tc>
          <w:tcPr>
            <w:tcW w:w="681" w:type="pct"/>
            <w:gridSpan w:val="3"/>
            <w:shd w:val="clear" w:color="auto" w:fill="FFFFFF"/>
            <w:noWrap w:val="0"/>
            <w:vAlign w:val="center"/>
          </w:tcPr>
          <w:p w14:paraId="4630E79A">
            <w:pPr>
              <w:pStyle w:val="65"/>
              <w:snapToGrid w:val="0"/>
              <w:jc w:val="center"/>
              <w:rPr>
                <w:rFonts w:ascii="Times New Roman"/>
                <w:kern w:val="2"/>
                <w:sz w:val="21"/>
                <w:szCs w:val="21"/>
                <w:u w:val="none"/>
              </w:rPr>
            </w:pPr>
            <w:r>
              <w:rPr>
                <w:rFonts w:ascii="Times New Roman"/>
                <w:kern w:val="2"/>
                <w:sz w:val="21"/>
                <w:szCs w:val="21"/>
                <w:u w:val="none"/>
              </w:rPr>
              <w:t>医院</w:t>
            </w:r>
          </w:p>
        </w:tc>
        <w:tc>
          <w:tcPr>
            <w:tcW w:w="1113" w:type="pct"/>
            <w:gridSpan w:val="2"/>
            <w:shd w:val="clear" w:color="auto" w:fill="FFFFFF"/>
            <w:noWrap w:val="0"/>
            <w:vAlign w:val="center"/>
          </w:tcPr>
          <w:p w14:paraId="0475A460">
            <w:pPr>
              <w:pStyle w:val="65"/>
              <w:snapToGrid w:val="0"/>
              <w:jc w:val="center"/>
              <w:rPr>
                <w:rFonts w:ascii="Times New Roman"/>
                <w:kern w:val="2"/>
                <w:sz w:val="21"/>
                <w:szCs w:val="21"/>
                <w:u w:val="none"/>
              </w:rPr>
            </w:pPr>
            <w:r>
              <w:rPr>
                <w:rFonts w:ascii="Times New Roman"/>
                <w:kern w:val="2"/>
                <w:sz w:val="21"/>
                <w:szCs w:val="21"/>
                <w:u w:val="none"/>
              </w:rPr>
              <w:t>约100</w:t>
            </w:r>
          </w:p>
        </w:tc>
      </w:tr>
      <w:tr w14:paraId="12E2E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1753C2FA">
            <w:pPr>
              <w:pStyle w:val="65"/>
              <w:snapToGrid w:val="0"/>
              <w:jc w:val="center"/>
              <w:rPr>
                <w:rFonts w:ascii="Times New Roman"/>
                <w:sz w:val="21"/>
                <w:szCs w:val="21"/>
                <w:u w:val="none"/>
              </w:rPr>
            </w:pPr>
          </w:p>
        </w:tc>
        <w:tc>
          <w:tcPr>
            <w:tcW w:w="528" w:type="pct"/>
            <w:shd w:val="clear" w:color="auto" w:fill="FFFFFF"/>
            <w:noWrap w:val="0"/>
            <w:vAlign w:val="center"/>
          </w:tcPr>
          <w:p w14:paraId="0D8BF897">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8</w:t>
            </w:r>
          </w:p>
        </w:tc>
        <w:tc>
          <w:tcPr>
            <w:tcW w:w="952" w:type="pct"/>
            <w:gridSpan w:val="2"/>
            <w:shd w:val="clear" w:color="auto" w:fill="FFFFFF"/>
            <w:noWrap w:val="0"/>
            <w:vAlign w:val="center"/>
          </w:tcPr>
          <w:p w14:paraId="4B313410">
            <w:pPr>
              <w:pStyle w:val="65"/>
              <w:snapToGrid w:val="0"/>
              <w:jc w:val="center"/>
              <w:rPr>
                <w:rFonts w:ascii="Times New Roman"/>
                <w:sz w:val="21"/>
                <w:szCs w:val="21"/>
                <w:u w:val="none"/>
              </w:rPr>
            </w:pPr>
            <w:r>
              <w:rPr>
                <w:rFonts w:ascii="Times New Roman"/>
                <w:kern w:val="2"/>
                <w:sz w:val="21"/>
                <w:szCs w:val="21"/>
                <w:u w:val="none"/>
              </w:rPr>
              <w:t>海滨社区</w:t>
            </w:r>
          </w:p>
        </w:tc>
        <w:tc>
          <w:tcPr>
            <w:tcW w:w="611" w:type="pct"/>
            <w:shd w:val="clear" w:color="auto" w:fill="FFFFFF"/>
            <w:noWrap w:val="0"/>
            <w:vAlign w:val="center"/>
          </w:tcPr>
          <w:p w14:paraId="34DDE16C">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47A73B8C">
            <w:pPr>
              <w:pStyle w:val="65"/>
              <w:snapToGrid w:val="0"/>
              <w:jc w:val="center"/>
              <w:rPr>
                <w:rFonts w:ascii="Times New Roman"/>
                <w:kern w:val="2"/>
                <w:sz w:val="21"/>
                <w:szCs w:val="21"/>
                <w:u w:val="none"/>
              </w:rPr>
            </w:pPr>
            <w:r>
              <w:rPr>
                <w:rFonts w:ascii="Times New Roman"/>
                <w:kern w:val="2"/>
                <w:sz w:val="21"/>
                <w:szCs w:val="21"/>
                <w:u w:val="none"/>
              </w:rPr>
              <w:t>2000</w:t>
            </w:r>
          </w:p>
        </w:tc>
        <w:tc>
          <w:tcPr>
            <w:tcW w:w="681" w:type="pct"/>
            <w:gridSpan w:val="3"/>
            <w:shd w:val="clear" w:color="auto" w:fill="FFFFFF"/>
            <w:noWrap w:val="0"/>
            <w:vAlign w:val="center"/>
          </w:tcPr>
          <w:p w14:paraId="04B1ED95">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65A7CEB2">
            <w:pPr>
              <w:pStyle w:val="65"/>
              <w:snapToGrid w:val="0"/>
              <w:jc w:val="center"/>
              <w:rPr>
                <w:rFonts w:ascii="Times New Roman"/>
                <w:kern w:val="2"/>
                <w:sz w:val="21"/>
                <w:szCs w:val="21"/>
                <w:u w:val="none"/>
              </w:rPr>
            </w:pPr>
            <w:r>
              <w:rPr>
                <w:rFonts w:ascii="Times New Roman"/>
                <w:kern w:val="2"/>
                <w:sz w:val="21"/>
                <w:szCs w:val="21"/>
                <w:u w:val="none"/>
              </w:rPr>
              <w:t>约16000</w:t>
            </w:r>
          </w:p>
        </w:tc>
      </w:tr>
      <w:tr w14:paraId="616DB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4E88057D">
            <w:pPr>
              <w:pStyle w:val="65"/>
              <w:snapToGrid w:val="0"/>
              <w:jc w:val="center"/>
              <w:rPr>
                <w:rFonts w:ascii="Times New Roman"/>
                <w:sz w:val="21"/>
                <w:szCs w:val="21"/>
                <w:u w:val="none"/>
              </w:rPr>
            </w:pPr>
          </w:p>
        </w:tc>
        <w:tc>
          <w:tcPr>
            <w:tcW w:w="528" w:type="pct"/>
            <w:shd w:val="clear" w:color="auto" w:fill="FFFFFF"/>
            <w:noWrap w:val="0"/>
            <w:vAlign w:val="center"/>
          </w:tcPr>
          <w:p w14:paraId="2CE4B1FE">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9</w:t>
            </w:r>
          </w:p>
        </w:tc>
        <w:tc>
          <w:tcPr>
            <w:tcW w:w="952" w:type="pct"/>
            <w:gridSpan w:val="2"/>
            <w:shd w:val="clear" w:color="auto" w:fill="FFFFFF"/>
            <w:noWrap w:val="0"/>
            <w:vAlign w:val="center"/>
          </w:tcPr>
          <w:p w14:paraId="065C5BD5">
            <w:pPr>
              <w:pStyle w:val="65"/>
              <w:snapToGrid w:val="0"/>
              <w:jc w:val="center"/>
              <w:rPr>
                <w:rFonts w:ascii="Times New Roman"/>
                <w:sz w:val="21"/>
                <w:szCs w:val="21"/>
                <w:u w:val="none"/>
              </w:rPr>
            </w:pPr>
            <w:r>
              <w:rPr>
                <w:rFonts w:ascii="Times New Roman"/>
                <w:kern w:val="2"/>
                <w:sz w:val="21"/>
                <w:szCs w:val="21"/>
                <w:u w:val="none"/>
              </w:rPr>
              <w:t>开发区一小</w:t>
            </w:r>
          </w:p>
        </w:tc>
        <w:tc>
          <w:tcPr>
            <w:tcW w:w="611" w:type="pct"/>
            <w:shd w:val="clear" w:color="auto" w:fill="FFFFFF"/>
            <w:noWrap w:val="0"/>
            <w:vAlign w:val="center"/>
          </w:tcPr>
          <w:p w14:paraId="032E0AA5">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0595622E">
            <w:pPr>
              <w:pStyle w:val="65"/>
              <w:snapToGrid w:val="0"/>
              <w:jc w:val="center"/>
              <w:rPr>
                <w:rFonts w:ascii="Times New Roman"/>
                <w:kern w:val="2"/>
                <w:sz w:val="21"/>
                <w:szCs w:val="21"/>
                <w:u w:val="none"/>
              </w:rPr>
            </w:pPr>
            <w:r>
              <w:rPr>
                <w:rFonts w:ascii="Times New Roman"/>
                <w:kern w:val="2"/>
                <w:sz w:val="21"/>
                <w:szCs w:val="21"/>
                <w:u w:val="none"/>
              </w:rPr>
              <w:t>2535</w:t>
            </w:r>
          </w:p>
        </w:tc>
        <w:tc>
          <w:tcPr>
            <w:tcW w:w="681" w:type="pct"/>
            <w:gridSpan w:val="3"/>
            <w:shd w:val="clear" w:color="auto" w:fill="FFFFFF"/>
            <w:noWrap w:val="0"/>
            <w:vAlign w:val="center"/>
          </w:tcPr>
          <w:p w14:paraId="73A38485">
            <w:pPr>
              <w:pStyle w:val="65"/>
              <w:snapToGrid w:val="0"/>
              <w:jc w:val="center"/>
              <w:rPr>
                <w:rFonts w:ascii="Times New Roman"/>
                <w:kern w:val="2"/>
                <w:sz w:val="21"/>
                <w:szCs w:val="21"/>
                <w:u w:val="none"/>
              </w:rPr>
            </w:pPr>
            <w:r>
              <w:rPr>
                <w:rFonts w:ascii="Times New Roman"/>
                <w:kern w:val="2"/>
                <w:sz w:val="21"/>
                <w:szCs w:val="21"/>
                <w:u w:val="none"/>
              </w:rPr>
              <w:t>学校</w:t>
            </w:r>
          </w:p>
        </w:tc>
        <w:tc>
          <w:tcPr>
            <w:tcW w:w="1113" w:type="pct"/>
            <w:gridSpan w:val="2"/>
            <w:shd w:val="clear" w:color="auto" w:fill="FFFFFF"/>
            <w:noWrap w:val="0"/>
            <w:vAlign w:val="center"/>
          </w:tcPr>
          <w:p w14:paraId="04D10EAE">
            <w:pPr>
              <w:pStyle w:val="65"/>
              <w:snapToGrid w:val="0"/>
              <w:jc w:val="center"/>
              <w:rPr>
                <w:rFonts w:ascii="Times New Roman"/>
                <w:kern w:val="2"/>
                <w:sz w:val="21"/>
                <w:szCs w:val="21"/>
                <w:u w:val="none"/>
              </w:rPr>
            </w:pPr>
            <w:r>
              <w:rPr>
                <w:rFonts w:ascii="Times New Roman"/>
                <w:kern w:val="2"/>
                <w:sz w:val="21"/>
                <w:szCs w:val="21"/>
                <w:u w:val="none"/>
              </w:rPr>
              <w:t>约1200</w:t>
            </w:r>
          </w:p>
        </w:tc>
      </w:tr>
      <w:tr w14:paraId="2DF08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07CAB2D8">
            <w:pPr>
              <w:pStyle w:val="65"/>
              <w:snapToGrid w:val="0"/>
              <w:jc w:val="center"/>
              <w:rPr>
                <w:rFonts w:ascii="Times New Roman"/>
                <w:sz w:val="21"/>
                <w:szCs w:val="21"/>
                <w:u w:val="none"/>
              </w:rPr>
            </w:pPr>
          </w:p>
        </w:tc>
        <w:tc>
          <w:tcPr>
            <w:tcW w:w="528" w:type="pct"/>
            <w:shd w:val="clear" w:color="auto" w:fill="FFFFFF"/>
            <w:noWrap w:val="0"/>
            <w:vAlign w:val="center"/>
          </w:tcPr>
          <w:p w14:paraId="01F06C0D">
            <w:pPr>
              <w:pStyle w:val="65"/>
              <w:snapToGrid w:val="0"/>
              <w:jc w:val="center"/>
              <w:rPr>
                <w:rFonts w:ascii="Times New Roman" w:hAnsi="Calibri" w:eastAsia="宋体" w:cs="宋体"/>
                <w:color w:val="000000"/>
                <w:sz w:val="21"/>
                <w:szCs w:val="21"/>
                <w:u w:val="none"/>
                <w:lang w:val="en-US" w:eastAsia="zh-CN" w:bidi="ar-SA"/>
              </w:rPr>
            </w:pPr>
            <w:r>
              <w:rPr>
                <w:rFonts w:ascii="Times New Roman"/>
                <w:sz w:val="21"/>
                <w:szCs w:val="21"/>
                <w:u w:val="none"/>
              </w:rPr>
              <w:t>10</w:t>
            </w:r>
          </w:p>
        </w:tc>
        <w:tc>
          <w:tcPr>
            <w:tcW w:w="952" w:type="pct"/>
            <w:gridSpan w:val="2"/>
            <w:shd w:val="clear" w:color="auto" w:fill="FFFFFF"/>
            <w:noWrap w:val="0"/>
            <w:vAlign w:val="center"/>
          </w:tcPr>
          <w:p w14:paraId="754DBD53">
            <w:pPr>
              <w:pStyle w:val="65"/>
              <w:snapToGrid w:val="0"/>
              <w:jc w:val="center"/>
              <w:rPr>
                <w:rFonts w:ascii="Times New Roman"/>
                <w:sz w:val="21"/>
                <w:szCs w:val="21"/>
                <w:u w:val="none"/>
              </w:rPr>
            </w:pPr>
            <w:r>
              <w:rPr>
                <w:rFonts w:ascii="Times New Roman"/>
                <w:kern w:val="2"/>
                <w:sz w:val="21"/>
                <w:szCs w:val="21"/>
                <w:u w:val="none"/>
              </w:rPr>
              <w:t>沙岗头村</w:t>
            </w:r>
          </w:p>
        </w:tc>
        <w:tc>
          <w:tcPr>
            <w:tcW w:w="611" w:type="pct"/>
            <w:shd w:val="clear" w:color="auto" w:fill="FFFFFF"/>
            <w:noWrap w:val="0"/>
            <w:vAlign w:val="center"/>
          </w:tcPr>
          <w:p w14:paraId="045CA6A9">
            <w:pPr>
              <w:pStyle w:val="65"/>
              <w:snapToGrid w:val="0"/>
              <w:jc w:val="center"/>
              <w:rPr>
                <w:rFonts w:ascii="Times New Roman"/>
                <w:kern w:val="2"/>
                <w:sz w:val="21"/>
                <w:szCs w:val="21"/>
                <w:u w:val="none"/>
              </w:rPr>
            </w:pPr>
            <w:r>
              <w:rPr>
                <w:rFonts w:ascii="Times New Roman"/>
                <w:kern w:val="2"/>
                <w:sz w:val="21"/>
                <w:szCs w:val="21"/>
                <w:u w:val="none"/>
              </w:rPr>
              <w:t>NE</w:t>
            </w:r>
          </w:p>
        </w:tc>
        <w:tc>
          <w:tcPr>
            <w:tcW w:w="670" w:type="pct"/>
            <w:gridSpan w:val="2"/>
            <w:shd w:val="clear" w:color="auto" w:fill="FFFFFF"/>
            <w:noWrap w:val="0"/>
            <w:vAlign w:val="center"/>
          </w:tcPr>
          <w:p w14:paraId="3235D784">
            <w:pPr>
              <w:pStyle w:val="65"/>
              <w:snapToGrid w:val="0"/>
              <w:jc w:val="center"/>
              <w:rPr>
                <w:rFonts w:ascii="Times New Roman"/>
                <w:kern w:val="2"/>
                <w:sz w:val="21"/>
                <w:szCs w:val="21"/>
                <w:u w:val="none"/>
              </w:rPr>
            </w:pPr>
            <w:r>
              <w:rPr>
                <w:rFonts w:ascii="Times New Roman"/>
                <w:kern w:val="2"/>
                <w:sz w:val="21"/>
                <w:szCs w:val="21"/>
                <w:u w:val="none"/>
              </w:rPr>
              <w:t>2445</w:t>
            </w:r>
          </w:p>
        </w:tc>
        <w:tc>
          <w:tcPr>
            <w:tcW w:w="681" w:type="pct"/>
            <w:gridSpan w:val="3"/>
            <w:shd w:val="clear" w:color="auto" w:fill="FFFFFF"/>
            <w:noWrap w:val="0"/>
            <w:vAlign w:val="center"/>
          </w:tcPr>
          <w:p w14:paraId="0BB177F2">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3F8657F0">
            <w:pPr>
              <w:pStyle w:val="65"/>
              <w:snapToGrid w:val="0"/>
              <w:jc w:val="center"/>
              <w:rPr>
                <w:rFonts w:ascii="Times New Roman"/>
                <w:kern w:val="2"/>
                <w:sz w:val="21"/>
                <w:szCs w:val="21"/>
                <w:u w:val="none"/>
              </w:rPr>
            </w:pPr>
            <w:r>
              <w:rPr>
                <w:rFonts w:ascii="Times New Roman"/>
                <w:kern w:val="2"/>
                <w:sz w:val="21"/>
                <w:szCs w:val="21"/>
                <w:u w:val="none"/>
              </w:rPr>
              <w:t>约350</w:t>
            </w:r>
          </w:p>
        </w:tc>
      </w:tr>
      <w:tr w14:paraId="3C6F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BB82100">
            <w:pPr>
              <w:pStyle w:val="65"/>
              <w:snapToGrid w:val="0"/>
              <w:jc w:val="center"/>
              <w:rPr>
                <w:rFonts w:ascii="Times New Roman"/>
                <w:sz w:val="21"/>
                <w:szCs w:val="21"/>
                <w:u w:val="none"/>
              </w:rPr>
            </w:pPr>
          </w:p>
        </w:tc>
        <w:tc>
          <w:tcPr>
            <w:tcW w:w="528" w:type="pct"/>
            <w:shd w:val="clear" w:color="auto" w:fill="FFFFFF"/>
            <w:noWrap w:val="0"/>
            <w:vAlign w:val="center"/>
          </w:tcPr>
          <w:p w14:paraId="3412BAFB">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11</w:t>
            </w:r>
          </w:p>
        </w:tc>
        <w:tc>
          <w:tcPr>
            <w:tcW w:w="952" w:type="pct"/>
            <w:gridSpan w:val="2"/>
            <w:shd w:val="clear" w:color="auto" w:fill="FFFFFF"/>
            <w:noWrap w:val="0"/>
            <w:vAlign w:val="center"/>
          </w:tcPr>
          <w:p w14:paraId="7CCDC3CF">
            <w:pPr>
              <w:pStyle w:val="65"/>
              <w:snapToGrid w:val="0"/>
              <w:jc w:val="center"/>
              <w:rPr>
                <w:rFonts w:ascii="Times New Roman"/>
                <w:sz w:val="21"/>
                <w:szCs w:val="21"/>
                <w:u w:val="none"/>
              </w:rPr>
            </w:pPr>
            <w:r>
              <w:rPr>
                <w:rFonts w:ascii="Times New Roman"/>
                <w:kern w:val="2"/>
                <w:sz w:val="21"/>
                <w:szCs w:val="21"/>
                <w:u w:val="none"/>
              </w:rPr>
              <w:t>茅尾海红树林自然保护区</w:t>
            </w:r>
            <w:r>
              <w:rPr>
                <w:rFonts w:hint="eastAsia" w:ascii="Times New Roman"/>
                <w:kern w:val="2"/>
                <w:sz w:val="21"/>
                <w:szCs w:val="21"/>
                <w:u w:val="none"/>
              </w:rPr>
              <w:t>（</w:t>
            </w:r>
            <w:r>
              <w:rPr>
                <w:rFonts w:ascii="Times New Roman"/>
                <w:kern w:val="2"/>
                <w:sz w:val="21"/>
                <w:szCs w:val="21"/>
                <w:u w:val="none"/>
              </w:rPr>
              <w:t>七十二泾片</w:t>
            </w:r>
            <w:r>
              <w:rPr>
                <w:rFonts w:hint="eastAsia" w:ascii="Times New Roman"/>
                <w:kern w:val="2"/>
                <w:sz w:val="21"/>
                <w:szCs w:val="21"/>
                <w:u w:val="none"/>
              </w:rPr>
              <w:t>）</w:t>
            </w:r>
          </w:p>
        </w:tc>
        <w:tc>
          <w:tcPr>
            <w:tcW w:w="611" w:type="pct"/>
            <w:shd w:val="clear" w:color="auto" w:fill="FFFFFF"/>
            <w:noWrap w:val="0"/>
            <w:vAlign w:val="center"/>
          </w:tcPr>
          <w:p w14:paraId="2983B79F">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3332E19C">
            <w:pPr>
              <w:pStyle w:val="65"/>
              <w:snapToGrid w:val="0"/>
              <w:jc w:val="center"/>
              <w:rPr>
                <w:rFonts w:ascii="Times New Roman"/>
                <w:kern w:val="2"/>
                <w:sz w:val="21"/>
                <w:szCs w:val="21"/>
                <w:u w:val="none"/>
              </w:rPr>
            </w:pPr>
            <w:r>
              <w:rPr>
                <w:rFonts w:ascii="Times New Roman"/>
                <w:kern w:val="2"/>
                <w:sz w:val="21"/>
                <w:szCs w:val="21"/>
                <w:u w:val="none"/>
              </w:rPr>
              <w:t>2200</w:t>
            </w:r>
          </w:p>
        </w:tc>
        <w:tc>
          <w:tcPr>
            <w:tcW w:w="681" w:type="pct"/>
            <w:gridSpan w:val="3"/>
            <w:shd w:val="clear" w:color="auto" w:fill="FFFFFF"/>
            <w:noWrap w:val="0"/>
            <w:vAlign w:val="center"/>
          </w:tcPr>
          <w:p w14:paraId="7D7D64F3">
            <w:pPr>
              <w:pStyle w:val="65"/>
              <w:snapToGrid w:val="0"/>
              <w:jc w:val="center"/>
              <w:rPr>
                <w:rFonts w:ascii="Times New Roman"/>
                <w:kern w:val="2"/>
                <w:sz w:val="21"/>
                <w:szCs w:val="21"/>
                <w:u w:val="none"/>
              </w:rPr>
            </w:pPr>
            <w:r>
              <w:rPr>
                <w:rFonts w:ascii="Times New Roman"/>
                <w:kern w:val="2"/>
                <w:sz w:val="21"/>
                <w:szCs w:val="21"/>
                <w:u w:val="none"/>
              </w:rPr>
              <w:t>自然保护区</w:t>
            </w:r>
          </w:p>
        </w:tc>
        <w:tc>
          <w:tcPr>
            <w:tcW w:w="1113" w:type="pct"/>
            <w:gridSpan w:val="2"/>
            <w:shd w:val="clear" w:color="auto" w:fill="FFFFFF"/>
            <w:noWrap w:val="0"/>
            <w:vAlign w:val="center"/>
          </w:tcPr>
          <w:p w14:paraId="68CDEEE4">
            <w:pPr>
              <w:pStyle w:val="65"/>
              <w:snapToGrid w:val="0"/>
              <w:jc w:val="center"/>
              <w:rPr>
                <w:rFonts w:ascii="Times New Roman"/>
                <w:kern w:val="2"/>
                <w:sz w:val="21"/>
                <w:szCs w:val="21"/>
                <w:u w:val="none"/>
              </w:rPr>
            </w:pPr>
            <w:r>
              <w:rPr>
                <w:rFonts w:ascii="Times New Roman"/>
                <w:kern w:val="2"/>
                <w:sz w:val="21"/>
                <w:szCs w:val="21"/>
                <w:u w:val="none"/>
              </w:rPr>
              <w:t>/</w:t>
            </w:r>
          </w:p>
        </w:tc>
      </w:tr>
      <w:tr w14:paraId="15011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50C4CD58">
            <w:pPr>
              <w:pStyle w:val="65"/>
              <w:snapToGrid w:val="0"/>
              <w:jc w:val="center"/>
              <w:rPr>
                <w:rFonts w:ascii="Times New Roman"/>
                <w:sz w:val="21"/>
                <w:szCs w:val="21"/>
                <w:u w:val="none"/>
              </w:rPr>
            </w:pPr>
          </w:p>
        </w:tc>
        <w:tc>
          <w:tcPr>
            <w:tcW w:w="528" w:type="pct"/>
            <w:shd w:val="clear" w:color="auto" w:fill="FFFFFF"/>
            <w:noWrap w:val="0"/>
            <w:vAlign w:val="center"/>
          </w:tcPr>
          <w:p w14:paraId="02E76AB0">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12</w:t>
            </w:r>
          </w:p>
        </w:tc>
        <w:tc>
          <w:tcPr>
            <w:tcW w:w="952" w:type="pct"/>
            <w:gridSpan w:val="2"/>
            <w:shd w:val="clear" w:color="auto" w:fill="FFFFFF"/>
            <w:noWrap w:val="0"/>
            <w:vAlign w:val="center"/>
          </w:tcPr>
          <w:p w14:paraId="101C6CBF">
            <w:pPr>
              <w:pStyle w:val="65"/>
              <w:snapToGrid w:val="0"/>
              <w:jc w:val="center"/>
              <w:rPr>
                <w:rFonts w:ascii="Times New Roman"/>
                <w:sz w:val="21"/>
                <w:szCs w:val="21"/>
                <w:u w:val="none"/>
              </w:rPr>
            </w:pPr>
            <w:r>
              <w:rPr>
                <w:rFonts w:ascii="Times New Roman"/>
                <w:sz w:val="21"/>
                <w:szCs w:val="21"/>
                <w:u w:val="none"/>
              </w:rPr>
              <w:t>旧村</w:t>
            </w:r>
          </w:p>
        </w:tc>
        <w:tc>
          <w:tcPr>
            <w:tcW w:w="611" w:type="pct"/>
            <w:shd w:val="clear" w:color="auto" w:fill="FFFFFF"/>
            <w:noWrap w:val="0"/>
            <w:vAlign w:val="center"/>
          </w:tcPr>
          <w:p w14:paraId="6F4A43AF">
            <w:pPr>
              <w:pStyle w:val="65"/>
              <w:snapToGrid w:val="0"/>
              <w:jc w:val="center"/>
              <w:rPr>
                <w:rFonts w:ascii="Times New Roman"/>
                <w:kern w:val="2"/>
                <w:sz w:val="21"/>
                <w:szCs w:val="21"/>
                <w:u w:val="none"/>
              </w:rPr>
            </w:pPr>
            <w:r>
              <w:rPr>
                <w:rFonts w:ascii="Times New Roman"/>
                <w:kern w:val="2"/>
                <w:sz w:val="21"/>
                <w:szCs w:val="21"/>
                <w:u w:val="none"/>
              </w:rPr>
              <w:t>N</w:t>
            </w:r>
          </w:p>
        </w:tc>
        <w:tc>
          <w:tcPr>
            <w:tcW w:w="670" w:type="pct"/>
            <w:gridSpan w:val="2"/>
            <w:shd w:val="clear" w:color="auto" w:fill="FFFFFF"/>
            <w:noWrap w:val="0"/>
            <w:vAlign w:val="center"/>
          </w:tcPr>
          <w:p w14:paraId="48D6FCE7">
            <w:pPr>
              <w:pStyle w:val="65"/>
              <w:snapToGrid w:val="0"/>
              <w:jc w:val="center"/>
              <w:rPr>
                <w:rFonts w:ascii="Times New Roman"/>
                <w:kern w:val="2"/>
                <w:sz w:val="21"/>
                <w:szCs w:val="21"/>
                <w:u w:val="none"/>
              </w:rPr>
            </w:pPr>
            <w:r>
              <w:rPr>
                <w:rFonts w:hint="eastAsia" w:ascii="Times New Roman"/>
                <w:kern w:val="2"/>
                <w:sz w:val="21"/>
                <w:szCs w:val="21"/>
                <w:u w:val="none"/>
              </w:rPr>
              <w:t>2714</w:t>
            </w:r>
          </w:p>
        </w:tc>
        <w:tc>
          <w:tcPr>
            <w:tcW w:w="681" w:type="pct"/>
            <w:gridSpan w:val="3"/>
            <w:shd w:val="clear" w:color="auto" w:fill="FFFFFF"/>
            <w:noWrap w:val="0"/>
            <w:vAlign w:val="center"/>
          </w:tcPr>
          <w:p w14:paraId="21BEABE1">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4E2C0A88">
            <w:pPr>
              <w:pStyle w:val="65"/>
              <w:snapToGrid w:val="0"/>
              <w:jc w:val="center"/>
              <w:rPr>
                <w:rFonts w:ascii="Times New Roman"/>
                <w:kern w:val="2"/>
                <w:sz w:val="21"/>
                <w:szCs w:val="21"/>
                <w:u w:val="none"/>
              </w:rPr>
            </w:pPr>
            <w:r>
              <w:rPr>
                <w:rFonts w:ascii="Times New Roman"/>
                <w:kern w:val="2"/>
                <w:sz w:val="21"/>
                <w:szCs w:val="21"/>
                <w:u w:val="none"/>
              </w:rPr>
              <w:t>约450</w:t>
            </w:r>
          </w:p>
        </w:tc>
      </w:tr>
      <w:tr w14:paraId="2585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441" w:type="pct"/>
            <w:vMerge w:val="continue"/>
            <w:shd w:val="clear" w:color="auto" w:fill="FFFFFF"/>
            <w:noWrap w:val="0"/>
            <w:vAlign w:val="center"/>
          </w:tcPr>
          <w:p w14:paraId="7D4F7687">
            <w:pPr>
              <w:pStyle w:val="65"/>
              <w:snapToGrid w:val="0"/>
              <w:jc w:val="center"/>
              <w:rPr>
                <w:rFonts w:ascii="Times New Roman"/>
                <w:sz w:val="21"/>
                <w:szCs w:val="21"/>
                <w:u w:val="none"/>
              </w:rPr>
            </w:pPr>
          </w:p>
        </w:tc>
        <w:tc>
          <w:tcPr>
            <w:tcW w:w="528" w:type="pct"/>
            <w:shd w:val="clear" w:color="auto" w:fill="FFFFFF"/>
            <w:noWrap w:val="0"/>
            <w:vAlign w:val="center"/>
          </w:tcPr>
          <w:p w14:paraId="099A0FEF">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13</w:t>
            </w:r>
          </w:p>
        </w:tc>
        <w:tc>
          <w:tcPr>
            <w:tcW w:w="952" w:type="pct"/>
            <w:gridSpan w:val="2"/>
            <w:shd w:val="clear" w:color="auto" w:fill="FFFFFF"/>
            <w:noWrap w:val="0"/>
            <w:vAlign w:val="center"/>
          </w:tcPr>
          <w:p w14:paraId="154AF86B">
            <w:pPr>
              <w:pStyle w:val="65"/>
              <w:snapToGrid w:val="0"/>
              <w:jc w:val="center"/>
              <w:rPr>
                <w:rFonts w:ascii="Times New Roman"/>
                <w:sz w:val="21"/>
                <w:szCs w:val="21"/>
                <w:u w:val="none"/>
              </w:rPr>
            </w:pPr>
            <w:r>
              <w:rPr>
                <w:rFonts w:ascii="Times New Roman"/>
                <w:sz w:val="21"/>
                <w:szCs w:val="21"/>
                <w:u w:val="none"/>
              </w:rPr>
              <w:t>南港村</w:t>
            </w:r>
          </w:p>
        </w:tc>
        <w:tc>
          <w:tcPr>
            <w:tcW w:w="611" w:type="pct"/>
            <w:shd w:val="clear" w:color="auto" w:fill="FFFFFF"/>
            <w:noWrap w:val="0"/>
            <w:vAlign w:val="center"/>
          </w:tcPr>
          <w:p w14:paraId="54B1EAA3">
            <w:pPr>
              <w:pStyle w:val="65"/>
              <w:snapToGrid w:val="0"/>
              <w:jc w:val="center"/>
              <w:rPr>
                <w:rFonts w:ascii="Times New Roman"/>
                <w:kern w:val="2"/>
                <w:sz w:val="21"/>
                <w:szCs w:val="21"/>
                <w:u w:val="none"/>
              </w:rPr>
            </w:pPr>
            <w:r>
              <w:rPr>
                <w:rFonts w:ascii="Times New Roman"/>
                <w:kern w:val="2"/>
                <w:sz w:val="21"/>
                <w:szCs w:val="21"/>
                <w:u w:val="none"/>
              </w:rPr>
              <w:t>N</w:t>
            </w:r>
          </w:p>
        </w:tc>
        <w:tc>
          <w:tcPr>
            <w:tcW w:w="670" w:type="pct"/>
            <w:gridSpan w:val="2"/>
            <w:shd w:val="clear" w:color="auto" w:fill="FFFFFF"/>
            <w:noWrap w:val="0"/>
            <w:vAlign w:val="center"/>
          </w:tcPr>
          <w:p w14:paraId="23BCF887">
            <w:pPr>
              <w:pStyle w:val="65"/>
              <w:snapToGrid w:val="0"/>
              <w:jc w:val="center"/>
              <w:rPr>
                <w:rFonts w:ascii="Times New Roman"/>
                <w:kern w:val="2"/>
                <w:sz w:val="21"/>
                <w:szCs w:val="21"/>
                <w:u w:val="none"/>
              </w:rPr>
            </w:pPr>
            <w:r>
              <w:rPr>
                <w:rFonts w:hint="eastAsia" w:ascii="Times New Roman"/>
                <w:kern w:val="2"/>
                <w:sz w:val="21"/>
                <w:szCs w:val="21"/>
                <w:u w:val="none"/>
              </w:rPr>
              <w:t>879</w:t>
            </w:r>
          </w:p>
        </w:tc>
        <w:tc>
          <w:tcPr>
            <w:tcW w:w="681" w:type="pct"/>
            <w:gridSpan w:val="3"/>
            <w:shd w:val="clear" w:color="auto" w:fill="FFFFFF"/>
            <w:noWrap w:val="0"/>
            <w:vAlign w:val="center"/>
          </w:tcPr>
          <w:p w14:paraId="46038B7F">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3EA83D42">
            <w:pPr>
              <w:pStyle w:val="65"/>
              <w:snapToGrid w:val="0"/>
              <w:jc w:val="center"/>
              <w:rPr>
                <w:rFonts w:ascii="Times New Roman"/>
                <w:kern w:val="2"/>
                <w:sz w:val="21"/>
                <w:szCs w:val="21"/>
                <w:u w:val="none"/>
              </w:rPr>
            </w:pPr>
            <w:r>
              <w:rPr>
                <w:rFonts w:ascii="Times New Roman"/>
                <w:kern w:val="2"/>
                <w:sz w:val="21"/>
                <w:szCs w:val="21"/>
                <w:u w:val="none"/>
              </w:rPr>
              <w:t>约550</w:t>
            </w:r>
          </w:p>
        </w:tc>
      </w:tr>
      <w:tr w14:paraId="6D3CC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77FF4B02">
            <w:pPr>
              <w:pStyle w:val="65"/>
              <w:snapToGrid w:val="0"/>
              <w:jc w:val="center"/>
              <w:rPr>
                <w:rFonts w:ascii="Times New Roman"/>
                <w:sz w:val="21"/>
                <w:szCs w:val="21"/>
                <w:u w:val="none"/>
              </w:rPr>
            </w:pPr>
          </w:p>
        </w:tc>
        <w:tc>
          <w:tcPr>
            <w:tcW w:w="528" w:type="pct"/>
            <w:shd w:val="clear" w:color="auto" w:fill="FFFFFF"/>
            <w:noWrap w:val="0"/>
            <w:vAlign w:val="center"/>
          </w:tcPr>
          <w:p w14:paraId="2105C99F">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14</w:t>
            </w:r>
          </w:p>
        </w:tc>
        <w:tc>
          <w:tcPr>
            <w:tcW w:w="952" w:type="pct"/>
            <w:gridSpan w:val="2"/>
            <w:shd w:val="clear" w:color="auto" w:fill="FFFFFF"/>
            <w:noWrap w:val="0"/>
            <w:vAlign w:val="center"/>
          </w:tcPr>
          <w:p w14:paraId="11F6BB02">
            <w:pPr>
              <w:pStyle w:val="65"/>
              <w:snapToGrid w:val="0"/>
              <w:jc w:val="center"/>
              <w:rPr>
                <w:rFonts w:ascii="Times New Roman"/>
                <w:sz w:val="21"/>
                <w:szCs w:val="21"/>
                <w:u w:val="none"/>
              </w:rPr>
            </w:pPr>
            <w:r>
              <w:rPr>
                <w:rFonts w:ascii="Times New Roman"/>
                <w:sz w:val="21"/>
                <w:szCs w:val="21"/>
                <w:u w:val="none"/>
              </w:rPr>
              <w:t>钦州市第一人民医院钦州港分院</w:t>
            </w:r>
          </w:p>
        </w:tc>
        <w:tc>
          <w:tcPr>
            <w:tcW w:w="611" w:type="pct"/>
            <w:shd w:val="clear" w:color="auto" w:fill="FFFFFF"/>
            <w:noWrap w:val="0"/>
            <w:vAlign w:val="center"/>
          </w:tcPr>
          <w:p w14:paraId="48AE684E">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487C6E82">
            <w:pPr>
              <w:pStyle w:val="65"/>
              <w:snapToGrid w:val="0"/>
              <w:jc w:val="center"/>
              <w:rPr>
                <w:rFonts w:ascii="Times New Roman"/>
                <w:kern w:val="2"/>
                <w:sz w:val="21"/>
                <w:szCs w:val="21"/>
                <w:u w:val="none"/>
              </w:rPr>
            </w:pPr>
            <w:r>
              <w:rPr>
                <w:rFonts w:hint="eastAsia" w:ascii="Times New Roman"/>
                <w:kern w:val="2"/>
                <w:sz w:val="21"/>
                <w:szCs w:val="21"/>
                <w:u w:val="none"/>
              </w:rPr>
              <w:t>3100</w:t>
            </w:r>
          </w:p>
        </w:tc>
        <w:tc>
          <w:tcPr>
            <w:tcW w:w="681" w:type="pct"/>
            <w:gridSpan w:val="3"/>
            <w:shd w:val="clear" w:color="auto" w:fill="FFFFFF"/>
            <w:noWrap w:val="0"/>
            <w:vAlign w:val="center"/>
          </w:tcPr>
          <w:p w14:paraId="45CE398E">
            <w:pPr>
              <w:pStyle w:val="65"/>
              <w:snapToGrid w:val="0"/>
              <w:jc w:val="center"/>
              <w:rPr>
                <w:rFonts w:ascii="Times New Roman"/>
                <w:kern w:val="2"/>
                <w:sz w:val="21"/>
                <w:szCs w:val="21"/>
                <w:u w:val="none"/>
              </w:rPr>
            </w:pPr>
            <w:r>
              <w:rPr>
                <w:rFonts w:ascii="Times New Roman"/>
                <w:kern w:val="2"/>
                <w:sz w:val="21"/>
                <w:szCs w:val="21"/>
                <w:u w:val="none"/>
              </w:rPr>
              <w:t>医院</w:t>
            </w:r>
          </w:p>
        </w:tc>
        <w:tc>
          <w:tcPr>
            <w:tcW w:w="1113" w:type="pct"/>
            <w:gridSpan w:val="2"/>
            <w:shd w:val="clear" w:color="auto" w:fill="FFFFFF"/>
            <w:noWrap w:val="0"/>
            <w:vAlign w:val="center"/>
          </w:tcPr>
          <w:p w14:paraId="08D52ADA">
            <w:pPr>
              <w:pStyle w:val="65"/>
              <w:snapToGrid w:val="0"/>
              <w:jc w:val="center"/>
              <w:rPr>
                <w:rFonts w:ascii="Times New Roman"/>
                <w:kern w:val="2"/>
                <w:sz w:val="21"/>
                <w:szCs w:val="21"/>
                <w:u w:val="none"/>
              </w:rPr>
            </w:pPr>
            <w:r>
              <w:rPr>
                <w:rFonts w:ascii="Times New Roman"/>
                <w:kern w:val="2"/>
                <w:sz w:val="21"/>
                <w:szCs w:val="21"/>
                <w:u w:val="none"/>
              </w:rPr>
              <w:t>约100</w:t>
            </w:r>
          </w:p>
        </w:tc>
      </w:tr>
      <w:tr w14:paraId="01DA4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69E80E0B">
            <w:pPr>
              <w:pStyle w:val="65"/>
              <w:snapToGrid w:val="0"/>
              <w:jc w:val="center"/>
              <w:rPr>
                <w:rFonts w:ascii="Times New Roman"/>
                <w:sz w:val="21"/>
                <w:szCs w:val="21"/>
                <w:u w:val="none"/>
              </w:rPr>
            </w:pPr>
          </w:p>
        </w:tc>
        <w:tc>
          <w:tcPr>
            <w:tcW w:w="528" w:type="pct"/>
            <w:shd w:val="clear" w:color="auto" w:fill="FFFFFF"/>
            <w:noWrap w:val="0"/>
            <w:vAlign w:val="center"/>
          </w:tcPr>
          <w:p w14:paraId="62503716">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15</w:t>
            </w:r>
          </w:p>
        </w:tc>
        <w:tc>
          <w:tcPr>
            <w:tcW w:w="952" w:type="pct"/>
            <w:gridSpan w:val="2"/>
            <w:shd w:val="clear" w:color="auto" w:fill="FFFFFF"/>
            <w:noWrap w:val="0"/>
            <w:vAlign w:val="center"/>
          </w:tcPr>
          <w:p w14:paraId="252F1287">
            <w:pPr>
              <w:pStyle w:val="65"/>
              <w:snapToGrid w:val="0"/>
              <w:jc w:val="center"/>
              <w:rPr>
                <w:rFonts w:ascii="Times New Roman"/>
                <w:sz w:val="21"/>
                <w:szCs w:val="21"/>
                <w:u w:val="none"/>
              </w:rPr>
            </w:pPr>
            <w:r>
              <w:rPr>
                <w:rFonts w:ascii="Times New Roman"/>
                <w:sz w:val="21"/>
                <w:szCs w:val="21"/>
                <w:u w:val="none"/>
              </w:rPr>
              <w:t>亚路江社区</w:t>
            </w:r>
          </w:p>
        </w:tc>
        <w:tc>
          <w:tcPr>
            <w:tcW w:w="611" w:type="pct"/>
            <w:shd w:val="clear" w:color="auto" w:fill="FFFFFF"/>
            <w:noWrap w:val="0"/>
            <w:vAlign w:val="center"/>
          </w:tcPr>
          <w:p w14:paraId="0D1A3FB7">
            <w:pPr>
              <w:pStyle w:val="65"/>
              <w:snapToGrid w:val="0"/>
              <w:jc w:val="center"/>
              <w:rPr>
                <w:rFonts w:ascii="Times New Roman"/>
                <w:kern w:val="2"/>
                <w:sz w:val="21"/>
                <w:szCs w:val="21"/>
                <w:u w:val="none"/>
              </w:rPr>
            </w:pPr>
            <w:r>
              <w:rPr>
                <w:rFonts w:ascii="Times New Roman"/>
                <w:kern w:val="2"/>
                <w:sz w:val="21"/>
                <w:szCs w:val="21"/>
                <w:u w:val="none"/>
              </w:rPr>
              <w:t>NW</w:t>
            </w:r>
          </w:p>
        </w:tc>
        <w:tc>
          <w:tcPr>
            <w:tcW w:w="670" w:type="pct"/>
            <w:gridSpan w:val="2"/>
            <w:shd w:val="clear" w:color="auto" w:fill="FFFFFF"/>
            <w:noWrap w:val="0"/>
            <w:vAlign w:val="center"/>
          </w:tcPr>
          <w:p w14:paraId="3BD106F2">
            <w:pPr>
              <w:pStyle w:val="65"/>
              <w:snapToGrid w:val="0"/>
              <w:jc w:val="center"/>
              <w:rPr>
                <w:rFonts w:ascii="Times New Roman"/>
                <w:kern w:val="2"/>
                <w:sz w:val="21"/>
                <w:szCs w:val="21"/>
                <w:u w:val="none"/>
              </w:rPr>
            </w:pPr>
            <w:r>
              <w:rPr>
                <w:rFonts w:hint="eastAsia" w:ascii="Times New Roman"/>
                <w:kern w:val="2"/>
                <w:sz w:val="21"/>
                <w:szCs w:val="21"/>
                <w:u w:val="none"/>
              </w:rPr>
              <w:t>4255</w:t>
            </w:r>
          </w:p>
        </w:tc>
        <w:tc>
          <w:tcPr>
            <w:tcW w:w="681" w:type="pct"/>
            <w:gridSpan w:val="3"/>
            <w:shd w:val="clear" w:color="auto" w:fill="FFFFFF"/>
            <w:noWrap w:val="0"/>
            <w:vAlign w:val="top"/>
          </w:tcPr>
          <w:p w14:paraId="27CF00BA">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53B4B351">
            <w:pPr>
              <w:pStyle w:val="65"/>
              <w:snapToGrid w:val="0"/>
              <w:jc w:val="center"/>
              <w:rPr>
                <w:rFonts w:ascii="Times New Roman"/>
                <w:kern w:val="2"/>
                <w:sz w:val="21"/>
                <w:szCs w:val="21"/>
                <w:u w:val="none"/>
              </w:rPr>
            </w:pPr>
            <w:r>
              <w:rPr>
                <w:rFonts w:ascii="Times New Roman"/>
                <w:kern w:val="2"/>
                <w:sz w:val="21"/>
                <w:szCs w:val="21"/>
                <w:u w:val="none"/>
              </w:rPr>
              <w:t>约300</w:t>
            </w:r>
          </w:p>
        </w:tc>
      </w:tr>
      <w:tr w14:paraId="631B7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23CF808A">
            <w:pPr>
              <w:pStyle w:val="65"/>
              <w:snapToGrid w:val="0"/>
              <w:jc w:val="center"/>
              <w:rPr>
                <w:rFonts w:ascii="Times New Roman"/>
                <w:sz w:val="21"/>
                <w:szCs w:val="21"/>
                <w:u w:val="none"/>
              </w:rPr>
            </w:pPr>
          </w:p>
        </w:tc>
        <w:tc>
          <w:tcPr>
            <w:tcW w:w="528" w:type="pct"/>
            <w:shd w:val="clear" w:color="auto" w:fill="FFFFFF"/>
            <w:noWrap w:val="0"/>
            <w:vAlign w:val="center"/>
          </w:tcPr>
          <w:p w14:paraId="00894E9E">
            <w:pPr>
              <w:pStyle w:val="65"/>
              <w:snapToGrid w:val="0"/>
              <w:jc w:val="center"/>
              <w:rPr>
                <w:rFonts w:ascii="Times New Roman" w:hAnsi="Calibri" w:eastAsia="宋体" w:cs="宋体"/>
                <w:color w:val="000000"/>
                <w:sz w:val="21"/>
                <w:szCs w:val="21"/>
                <w:u w:val="none"/>
                <w:lang w:val="en-US" w:eastAsia="zh-CN" w:bidi="ar-SA"/>
              </w:rPr>
            </w:pPr>
            <w:r>
              <w:rPr>
                <w:rFonts w:hint="eastAsia" w:ascii="Times New Roman"/>
                <w:sz w:val="21"/>
                <w:szCs w:val="21"/>
                <w:u w:val="none"/>
              </w:rPr>
              <w:t>16</w:t>
            </w:r>
          </w:p>
        </w:tc>
        <w:tc>
          <w:tcPr>
            <w:tcW w:w="952" w:type="pct"/>
            <w:gridSpan w:val="2"/>
            <w:shd w:val="clear" w:color="auto" w:fill="FFFFFF"/>
            <w:noWrap w:val="0"/>
            <w:vAlign w:val="center"/>
          </w:tcPr>
          <w:p w14:paraId="74F6E950">
            <w:pPr>
              <w:pStyle w:val="65"/>
              <w:snapToGrid w:val="0"/>
              <w:jc w:val="center"/>
              <w:rPr>
                <w:rFonts w:ascii="Times New Roman"/>
                <w:sz w:val="21"/>
                <w:szCs w:val="21"/>
                <w:u w:val="none"/>
              </w:rPr>
            </w:pPr>
            <w:r>
              <w:rPr>
                <w:rFonts w:ascii="Times New Roman"/>
                <w:sz w:val="21"/>
                <w:szCs w:val="21"/>
                <w:u w:val="none"/>
              </w:rPr>
              <w:t>金鼓村</w:t>
            </w:r>
          </w:p>
        </w:tc>
        <w:tc>
          <w:tcPr>
            <w:tcW w:w="611" w:type="pct"/>
            <w:shd w:val="clear" w:color="auto" w:fill="FFFFFF"/>
            <w:noWrap w:val="0"/>
            <w:vAlign w:val="center"/>
          </w:tcPr>
          <w:p w14:paraId="4AEA16DD">
            <w:pPr>
              <w:pStyle w:val="65"/>
              <w:snapToGrid w:val="0"/>
              <w:jc w:val="center"/>
              <w:rPr>
                <w:rFonts w:ascii="Times New Roman"/>
                <w:kern w:val="2"/>
                <w:sz w:val="21"/>
                <w:szCs w:val="21"/>
                <w:u w:val="none"/>
              </w:rPr>
            </w:pPr>
            <w:r>
              <w:rPr>
                <w:rFonts w:ascii="Times New Roman"/>
                <w:sz w:val="21"/>
                <w:szCs w:val="21"/>
                <w:u w:val="none"/>
              </w:rPr>
              <w:t>NE</w:t>
            </w:r>
          </w:p>
        </w:tc>
        <w:tc>
          <w:tcPr>
            <w:tcW w:w="670" w:type="pct"/>
            <w:gridSpan w:val="2"/>
            <w:shd w:val="clear" w:color="auto" w:fill="FFFFFF"/>
            <w:noWrap w:val="0"/>
            <w:vAlign w:val="center"/>
          </w:tcPr>
          <w:p w14:paraId="74E454BF">
            <w:pPr>
              <w:pStyle w:val="65"/>
              <w:snapToGrid w:val="0"/>
              <w:jc w:val="center"/>
              <w:rPr>
                <w:rFonts w:ascii="Times New Roman"/>
                <w:kern w:val="2"/>
                <w:sz w:val="21"/>
                <w:szCs w:val="21"/>
                <w:u w:val="none"/>
              </w:rPr>
            </w:pPr>
            <w:r>
              <w:rPr>
                <w:rFonts w:hint="eastAsia" w:ascii="Times New Roman"/>
                <w:kern w:val="2"/>
                <w:sz w:val="21"/>
                <w:szCs w:val="21"/>
                <w:u w:val="none"/>
              </w:rPr>
              <w:t>3766</w:t>
            </w:r>
          </w:p>
        </w:tc>
        <w:tc>
          <w:tcPr>
            <w:tcW w:w="681" w:type="pct"/>
            <w:gridSpan w:val="3"/>
            <w:shd w:val="clear" w:color="auto" w:fill="FFFFFF"/>
            <w:noWrap w:val="0"/>
            <w:vAlign w:val="top"/>
          </w:tcPr>
          <w:p w14:paraId="79D54A53">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652F25DC">
            <w:pPr>
              <w:pStyle w:val="65"/>
              <w:snapToGrid w:val="0"/>
              <w:jc w:val="center"/>
              <w:rPr>
                <w:rFonts w:ascii="Times New Roman"/>
                <w:kern w:val="2"/>
                <w:sz w:val="21"/>
                <w:szCs w:val="21"/>
                <w:u w:val="none"/>
              </w:rPr>
            </w:pPr>
            <w:r>
              <w:rPr>
                <w:rFonts w:ascii="Times New Roman"/>
                <w:kern w:val="2"/>
                <w:sz w:val="21"/>
                <w:szCs w:val="21"/>
                <w:u w:val="none"/>
              </w:rPr>
              <w:t>约850</w:t>
            </w:r>
          </w:p>
        </w:tc>
      </w:tr>
      <w:tr w14:paraId="612A2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2E2663E">
            <w:pPr>
              <w:pStyle w:val="65"/>
              <w:snapToGrid w:val="0"/>
              <w:jc w:val="center"/>
              <w:rPr>
                <w:rFonts w:ascii="Times New Roman"/>
                <w:sz w:val="21"/>
                <w:szCs w:val="21"/>
                <w:u w:val="none"/>
              </w:rPr>
            </w:pPr>
          </w:p>
        </w:tc>
        <w:tc>
          <w:tcPr>
            <w:tcW w:w="528" w:type="pct"/>
            <w:shd w:val="clear" w:color="auto" w:fill="FFFFFF"/>
            <w:noWrap w:val="0"/>
            <w:vAlign w:val="center"/>
          </w:tcPr>
          <w:p w14:paraId="59E3B4D7">
            <w:pPr>
              <w:pStyle w:val="65"/>
              <w:snapToGrid w:val="0"/>
              <w:jc w:val="center"/>
              <w:rPr>
                <w:rFonts w:hint="default" w:ascii="Times New Roman" w:eastAsia="宋体"/>
                <w:sz w:val="21"/>
                <w:szCs w:val="21"/>
                <w:u w:val="none"/>
                <w:lang w:val="en-US" w:eastAsia="zh-CN"/>
              </w:rPr>
            </w:pPr>
            <w:r>
              <w:rPr>
                <w:rFonts w:hint="eastAsia" w:ascii="Times New Roman"/>
                <w:sz w:val="21"/>
                <w:szCs w:val="21"/>
                <w:u w:val="none"/>
                <w:lang w:val="en-US" w:eastAsia="zh-CN"/>
              </w:rPr>
              <w:t>17</w:t>
            </w:r>
          </w:p>
        </w:tc>
        <w:tc>
          <w:tcPr>
            <w:tcW w:w="952" w:type="pct"/>
            <w:gridSpan w:val="2"/>
            <w:shd w:val="clear" w:color="auto" w:fill="FFFFFF"/>
            <w:noWrap w:val="0"/>
            <w:vAlign w:val="center"/>
          </w:tcPr>
          <w:p w14:paraId="2509E0F7">
            <w:pPr>
              <w:pStyle w:val="65"/>
              <w:snapToGrid w:val="0"/>
              <w:jc w:val="center"/>
              <w:rPr>
                <w:rFonts w:ascii="Times New Roman"/>
                <w:sz w:val="21"/>
                <w:szCs w:val="21"/>
                <w:u w:val="none"/>
              </w:rPr>
            </w:pPr>
            <w:r>
              <w:rPr>
                <w:rFonts w:ascii="Times New Roman"/>
                <w:sz w:val="21"/>
                <w:szCs w:val="21"/>
                <w:u w:val="none"/>
              </w:rPr>
              <w:t>淡水湾村</w:t>
            </w:r>
          </w:p>
        </w:tc>
        <w:tc>
          <w:tcPr>
            <w:tcW w:w="611" w:type="pct"/>
            <w:shd w:val="clear" w:color="auto" w:fill="FFFFFF"/>
            <w:noWrap w:val="0"/>
            <w:vAlign w:val="center"/>
          </w:tcPr>
          <w:p w14:paraId="0513C5A3">
            <w:pPr>
              <w:pStyle w:val="65"/>
              <w:snapToGrid w:val="0"/>
              <w:jc w:val="center"/>
              <w:rPr>
                <w:rFonts w:ascii="Times New Roman"/>
                <w:kern w:val="2"/>
                <w:sz w:val="21"/>
                <w:szCs w:val="21"/>
                <w:u w:val="none"/>
              </w:rPr>
            </w:pPr>
            <w:r>
              <w:rPr>
                <w:rFonts w:ascii="Times New Roman"/>
                <w:sz w:val="21"/>
                <w:szCs w:val="21"/>
                <w:u w:val="none"/>
              </w:rPr>
              <w:t>NE</w:t>
            </w:r>
          </w:p>
        </w:tc>
        <w:tc>
          <w:tcPr>
            <w:tcW w:w="670" w:type="pct"/>
            <w:gridSpan w:val="2"/>
            <w:shd w:val="clear" w:color="auto" w:fill="FFFFFF"/>
            <w:noWrap w:val="0"/>
            <w:vAlign w:val="center"/>
          </w:tcPr>
          <w:p w14:paraId="32DF75F8">
            <w:pPr>
              <w:pStyle w:val="65"/>
              <w:snapToGrid w:val="0"/>
              <w:jc w:val="center"/>
              <w:rPr>
                <w:rFonts w:ascii="Times New Roman"/>
                <w:kern w:val="2"/>
                <w:sz w:val="21"/>
                <w:szCs w:val="21"/>
                <w:u w:val="none"/>
              </w:rPr>
            </w:pPr>
            <w:r>
              <w:rPr>
                <w:rFonts w:hint="eastAsia" w:ascii="Times New Roman"/>
                <w:kern w:val="2"/>
                <w:sz w:val="21"/>
                <w:szCs w:val="21"/>
                <w:u w:val="none"/>
              </w:rPr>
              <w:t>3500</w:t>
            </w:r>
          </w:p>
        </w:tc>
        <w:tc>
          <w:tcPr>
            <w:tcW w:w="681" w:type="pct"/>
            <w:gridSpan w:val="3"/>
            <w:shd w:val="clear" w:color="auto" w:fill="FFFFFF"/>
            <w:noWrap w:val="0"/>
            <w:vAlign w:val="center"/>
          </w:tcPr>
          <w:p w14:paraId="77E6F1B4">
            <w:pPr>
              <w:pStyle w:val="65"/>
              <w:snapToGrid w:val="0"/>
              <w:jc w:val="center"/>
              <w:rPr>
                <w:rFonts w:ascii="Times New Roman"/>
                <w:kern w:val="2"/>
                <w:sz w:val="21"/>
                <w:szCs w:val="21"/>
                <w:u w:val="none"/>
              </w:rPr>
            </w:pPr>
            <w:r>
              <w:rPr>
                <w:rFonts w:ascii="Times New Roman"/>
                <w:kern w:val="2"/>
                <w:sz w:val="21"/>
                <w:szCs w:val="21"/>
                <w:u w:val="none"/>
              </w:rPr>
              <w:t>居住区</w:t>
            </w:r>
          </w:p>
        </w:tc>
        <w:tc>
          <w:tcPr>
            <w:tcW w:w="1113" w:type="pct"/>
            <w:gridSpan w:val="2"/>
            <w:shd w:val="clear" w:color="auto" w:fill="FFFFFF"/>
            <w:noWrap w:val="0"/>
            <w:vAlign w:val="center"/>
          </w:tcPr>
          <w:p w14:paraId="02F390E9">
            <w:pPr>
              <w:pStyle w:val="65"/>
              <w:snapToGrid w:val="0"/>
              <w:jc w:val="center"/>
              <w:rPr>
                <w:rFonts w:ascii="Times New Roman"/>
                <w:kern w:val="2"/>
                <w:sz w:val="21"/>
                <w:szCs w:val="21"/>
                <w:u w:val="none"/>
              </w:rPr>
            </w:pPr>
            <w:r>
              <w:rPr>
                <w:rFonts w:ascii="Times New Roman"/>
                <w:kern w:val="2"/>
                <w:sz w:val="21"/>
                <w:szCs w:val="21"/>
                <w:u w:val="none"/>
              </w:rPr>
              <w:t>约1300</w:t>
            </w:r>
          </w:p>
        </w:tc>
      </w:tr>
      <w:tr w14:paraId="0A4E5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7F32A27">
            <w:pPr>
              <w:pStyle w:val="65"/>
              <w:snapToGrid w:val="0"/>
              <w:jc w:val="center"/>
              <w:rPr>
                <w:rFonts w:ascii="Times New Roman"/>
                <w:sz w:val="21"/>
                <w:szCs w:val="21"/>
                <w:u w:val="none"/>
              </w:rPr>
            </w:pPr>
          </w:p>
        </w:tc>
        <w:tc>
          <w:tcPr>
            <w:tcW w:w="3444" w:type="pct"/>
            <w:gridSpan w:val="9"/>
            <w:shd w:val="clear" w:color="auto" w:fill="FFFFFF"/>
            <w:noWrap w:val="0"/>
            <w:vAlign w:val="center"/>
          </w:tcPr>
          <w:p w14:paraId="2A1C0767">
            <w:pPr>
              <w:pStyle w:val="65"/>
              <w:snapToGrid w:val="0"/>
              <w:jc w:val="center"/>
              <w:rPr>
                <w:rFonts w:ascii="Times New Roman"/>
                <w:sz w:val="21"/>
                <w:szCs w:val="21"/>
                <w:u w:val="none"/>
              </w:rPr>
            </w:pPr>
            <w:r>
              <w:rPr>
                <w:rFonts w:ascii="Times New Roman"/>
                <w:sz w:val="21"/>
                <w:szCs w:val="21"/>
                <w:u w:val="none"/>
              </w:rPr>
              <w:t>厂址周边500m范围内人口数小计</w:t>
            </w:r>
          </w:p>
        </w:tc>
        <w:tc>
          <w:tcPr>
            <w:tcW w:w="1113" w:type="pct"/>
            <w:gridSpan w:val="2"/>
            <w:shd w:val="clear" w:color="auto" w:fill="FFFFFF"/>
            <w:noWrap w:val="0"/>
            <w:vAlign w:val="center"/>
          </w:tcPr>
          <w:p w14:paraId="7114A1E2">
            <w:pPr>
              <w:pStyle w:val="65"/>
              <w:snapToGrid w:val="0"/>
              <w:jc w:val="center"/>
              <w:rPr>
                <w:rFonts w:hint="default" w:ascii="Times New Roman" w:eastAsia="宋体"/>
                <w:sz w:val="21"/>
                <w:szCs w:val="21"/>
                <w:u w:val="none"/>
                <w:lang w:val="en-US" w:eastAsia="zh-CN"/>
              </w:rPr>
            </w:pPr>
            <w:r>
              <w:rPr>
                <w:rFonts w:hint="eastAsia" w:ascii="Times New Roman"/>
                <w:sz w:val="21"/>
                <w:szCs w:val="21"/>
                <w:u w:val="none"/>
                <w:lang w:val="en-US" w:eastAsia="zh-CN"/>
              </w:rPr>
              <w:t>130</w:t>
            </w:r>
          </w:p>
        </w:tc>
      </w:tr>
      <w:tr w14:paraId="7D285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46963B44">
            <w:pPr>
              <w:pStyle w:val="65"/>
              <w:snapToGrid w:val="0"/>
              <w:jc w:val="center"/>
              <w:rPr>
                <w:rFonts w:ascii="Times New Roman"/>
                <w:sz w:val="21"/>
                <w:szCs w:val="21"/>
                <w:u w:val="none"/>
              </w:rPr>
            </w:pPr>
          </w:p>
        </w:tc>
        <w:tc>
          <w:tcPr>
            <w:tcW w:w="3444" w:type="pct"/>
            <w:gridSpan w:val="9"/>
            <w:shd w:val="clear" w:color="auto" w:fill="FFFFFF"/>
            <w:noWrap w:val="0"/>
            <w:vAlign w:val="center"/>
          </w:tcPr>
          <w:p w14:paraId="047B8CAC">
            <w:pPr>
              <w:pStyle w:val="65"/>
              <w:snapToGrid w:val="0"/>
              <w:jc w:val="center"/>
              <w:rPr>
                <w:rFonts w:ascii="Times New Roman"/>
                <w:sz w:val="21"/>
                <w:szCs w:val="21"/>
                <w:u w:val="none"/>
              </w:rPr>
            </w:pPr>
            <w:r>
              <w:rPr>
                <w:rFonts w:ascii="Times New Roman"/>
                <w:sz w:val="21"/>
                <w:szCs w:val="21"/>
                <w:u w:val="none"/>
              </w:rPr>
              <w:t>厂址周边5km范围内人口数小计</w:t>
            </w:r>
          </w:p>
        </w:tc>
        <w:tc>
          <w:tcPr>
            <w:tcW w:w="1113" w:type="pct"/>
            <w:gridSpan w:val="2"/>
            <w:shd w:val="clear" w:color="auto" w:fill="FFFFFF"/>
            <w:noWrap w:val="0"/>
            <w:vAlign w:val="center"/>
          </w:tcPr>
          <w:p w14:paraId="3797F36F">
            <w:pPr>
              <w:pStyle w:val="65"/>
              <w:snapToGrid w:val="0"/>
              <w:jc w:val="center"/>
              <w:rPr>
                <w:rFonts w:hint="eastAsia" w:ascii="Times New Roman"/>
                <w:sz w:val="21"/>
                <w:szCs w:val="21"/>
                <w:u w:val="none"/>
              </w:rPr>
            </w:pPr>
            <w:r>
              <w:rPr>
                <w:rFonts w:hint="eastAsia" w:ascii="Times New Roman"/>
                <w:sz w:val="21"/>
                <w:szCs w:val="21"/>
                <w:u w:val="none"/>
              </w:rPr>
              <w:t>41000</w:t>
            </w:r>
          </w:p>
        </w:tc>
      </w:tr>
      <w:tr w14:paraId="49B46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7CD2139E">
            <w:pPr>
              <w:pStyle w:val="65"/>
              <w:snapToGrid w:val="0"/>
              <w:jc w:val="center"/>
              <w:rPr>
                <w:rFonts w:ascii="Times New Roman"/>
                <w:sz w:val="21"/>
                <w:szCs w:val="21"/>
                <w:u w:val="none"/>
              </w:rPr>
            </w:pPr>
          </w:p>
        </w:tc>
        <w:tc>
          <w:tcPr>
            <w:tcW w:w="3444" w:type="pct"/>
            <w:gridSpan w:val="9"/>
            <w:shd w:val="clear" w:color="auto" w:fill="FFFFFF"/>
            <w:noWrap w:val="0"/>
            <w:vAlign w:val="center"/>
          </w:tcPr>
          <w:p w14:paraId="70C306DD">
            <w:pPr>
              <w:pStyle w:val="65"/>
              <w:snapToGrid w:val="0"/>
              <w:jc w:val="center"/>
              <w:rPr>
                <w:rFonts w:ascii="Times New Roman"/>
                <w:sz w:val="21"/>
                <w:szCs w:val="21"/>
                <w:u w:val="none"/>
              </w:rPr>
            </w:pPr>
            <w:r>
              <w:rPr>
                <w:rFonts w:ascii="Times New Roman"/>
                <w:sz w:val="21"/>
                <w:szCs w:val="21"/>
                <w:u w:val="none"/>
              </w:rPr>
              <w:t>大气环境敏感程度E值</w:t>
            </w:r>
          </w:p>
        </w:tc>
        <w:tc>
          <w:tcPr>
            <w:tcW w:w="1113" w:type="pct"/>
            <w:gridSpan w:val="2"/>
            <w:shd w:val="clear" w:color="auto" w:fill="FFFFFF"/>
            <w:noWrap w:val="0"/>
            <w:vAlign w:val="center"/>
          </w:tcPr>
          <w:p w14:paraId="16998A30">
            <w:pPr>
              <w:pStyle w:val="65"/>
              <w:snapToGrid w:val="0"/>
              <w:jc w:val="center"/>
              <w:rPr>
                <w:rFonts w:ascii="Times New Roman"/>
                <w:sz w:val="21"/>
                <w:szCs w:val="21"/>
                <w:u w:val="none"/>
              </w:rPr>
            </w:pPr>
            <w:r>
              <w:rPr>
                <w:rFonts w:ascii="Times New Roman"/>
                <w:sz w:val="21"/>
                <w:szCs w:val="21"/>
                <w:u w:val="none"/>
              </w:rPr>
              <w:t>E2</w:t>
            </w:r>
          </w:p>
        </w:tc>
      </w:tr>
      <w:tr w14:paraId="7D54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restart"/>
            <w:shd w:val="clear" w:color="auto" w:fill="FFFFFF"/>
            <w:noWrap w:val="0"/>
            <w:vAlign w:val="center"/>
          </w:tcPr>
          <w:p w14:paraId="448FE7B2">
            <w:pPr>
              <w:pStyle w:val="65"/>
              <w:snapToGrid w:val="0"/>
              <w:jc w:val="center"/>
              <w:rPr>
                <w:rFonts w:ascii="Times New Roman"/>
                <w:sz w:val="21"/>
                <w:szCs w:val="21"/>
                <w:u w:val="none"/>
              </w:rPr>
            </w:pPr>
            <w:r>
              <w:rPr>
                <w:rFonts w:ascii="Times New Roman"/>
                <w:sz w:val="21"/>
                <w:szCs w:val="21"/>
                <w:u w:val="none"/>
              </w:rPr>
              <w:t>地下水</w:t>
            </w:r>
          </w:p>
        </w:tc>
        <w:tc>
          <w:tcPr>
            <w:tcW w:w="528" w:type="pct"/>
            <w:shd w:val="clear" w:color="auto" w:fill="FFFFFF"/>
            <w:noWrap w:val="0"/>
            <w:vAlign w:val="center"/>
          </w:tcPr>
          <w:p w14:paraId="1095697D">
            <w:pPr>
              <w:pStyle w:val="65"/>
              <w:snapToGrid w:val="0"/>
              <w:jc w:val="center"/>
              <w:rPr>
                <w:rFonts w:ascii="Times New Roman"/>
                <w:sz w:val="21"/>
                <w:szCs w:val="21"/>
                <w:u w:val="none"/>
              </w:rPr>
            </w:pPr>
            <w:r>
              <w:rPr>
                <w:rFonts w:ascii="Times New Roman"/>
                <w:sz w:val="21"/>
                <w:szCs w:val="21"/>
                <w:u w:val="none"/>
              </w:rPr>
              <w:t>序号</w:t>
            </w:r>
          </w:p>
        </w:tc>
        <w:tc>
          <w:tcPr>
            <w:tcW w:w="952" w:type="pct"/>
            <w:gridSpan w:val="2"/>
            <w:shd w:val="clear" w:color="auto" w:fill="FFFFFF"/>
            <w:noWrap w:val="0"/>
            <w:vAlign w:val="center"/>
          </w:tcPr>
          <w:p w14:paraId="5368E6D3">
            <w:pPr>
              <w:pStyle w:val="65"/>
              <w:snapToGrid w:val="0"/>
              <w:jc w:val="center"/>
              <w:rPr>
                <w:rFonts w:ascii="Times New Roman"/>
                <w:sz w:val="21"/>
                <w:szCs w:val="21"/>
                <w:u w:val="none"/>
              </w:rPr>
            </w:pPr>
            <w:r>
              <w:rPr>
                <w:rFonts w:ascii="Times New Roman"/>
                <w:sz w:val="21"/>
                <w:szCs w:val="21"/>
                <w:u w:val="none"/>
              </w:rPr>
              <w:t>环境敏感区名称</w:t>
            </w:r>
          </w:p>
        </w:tc>
        <w:tc>
          <w:tcPr>
            <w:tcW w:w="651" w:type="pct"/>
            <w:gridSpan w:val="2"/>
            <w:shd w:val="clear" w:color="auto" w:fill="FFFFFF"/>
            <w:noWrap w:val="0"/>
            <w:vAlign w:val="center"/>
          </w:tcPr>
          <w:p w14:paraId="214DACF4">
            <w:pPr>
              <w:pStyle w:val="65"/>
              <w:snapToGrid w:val="0"/>
              <w:jc w:val="center"/>
              <w:rPr>
                <w:rFonts w:ascii="Times New Roman"/>
                <w:sz w:val="21"/>
                <w:szCs w:val="21"/>
                <w:u w:val="none"/>
              </w:rPr>
            </w:pPr>
            <w:r>
              <w:rPr>
                <w:rFonts w:ascii="Times New Roman"/>
                <w:sz w:val="21"/>
                <w:szCs w:val="21"/>
                <w:u w:val="none"/>
              </w:rPr>
              <w:t>环境敏感特征</w:t>
            </w:r>
          </w:p>
        </w:tc>
        <w:tc>
          <w:tcPr>
            <w:tcW w:w="714" w:type="pct"/>
            <w:gridSpan w:val="3"/>
            <w:shd w:val="clear" w:color="auto" w:fill="FFFFFF"/>
            <w:noWrap w:val="0"/>
            <w:vAlign w:val="center"/>
          </w:tcPr>
          <w:p w14:paraId="41B95CB7">
            <w:pPr>
              <w:pStyle w:val="65"/>
              <w:snapToGrid w:val="0"/>
              <w:jc w:val="center"/>
              <w:rPr>
                <w:rFonts w:ascii="Times New Roman"/>
                <w:sz w:val="21"/>
                <w:szCs w:val="21"/>
                <w:u w:val="none"/>
              </w:rPr>
            </w:pPr>
            <w:r>
              <w:rPr>
                <w:rFonts w:ascii="Times New Roman"/>
                <w:sz w:val="21"/>
                <w:szCs w:val="21"/>
                <w:u w:val="none"/>
              </w:rPr>
              <w:t>水质目标</w:t>
            </w:r>
          </w:p>
        </w:tc>
        <w:tc>
          <w:tcPr>
            <w:tcW w:w="902" w:type="pct"/>
            <w:gridSpan w:val="2"/>
            <w:shd w:val="clear" w:color="auto" w:fill="FFFFFF"/>
            <w:noWrap w:val="0"/>
            <w:vAlign w:val="center"/>
          </w:tcPr>
          <w:p w14:paraId="4FAFC859">
            <w:pPr>
              <w:pStyle w:val="65"/>
              <w:snapToGrid w:val="0"/>
              <w:jc w:val="center"/>
              <w:rPr>
                <w:rFonts w:ascii="Times New Roman"/>
                <w:sz w:val="21"/>
                <w:szCs w:val="21"/>
                <w:u w:val="none"/>
              </w:rPr>
            </w:pPr>
            <w:r>
              <w:rPr>
                <w:rFonts w:ascii="Times New Roman"/>
                <w:sz w:val="21"/>
                <w:szCs w:val="21"/>
                <w:u w:val="none"/>
              </w:rPr>
              <w:t>包气带防污性能</w:t>
            </w:r>
          </w:p>
        </w:tc>
        <w:tc>
          <w:tcPr>
            <w:tcW w:w="809" w:type="pct"/>
            <w:shd w:val="clear" w:color="auto" w:fill="FFFFFF"/>
            <w:noWrap w:val="0"/>
            <w:vAlign w:val="center"/>
          </w:tcPr>
          <w:p w14:paraId="674C09F1">
            <w:pPr>
              <w:pStyle w:val="65"/>
              <w:snapToGrid w:val="0"/>
              <w:jc w:val="center"/>
              <w:rPr>
                <w:rFonts w:ascii="Times New Roman"/>
                <w:sz w:val="21"/>
                <w:szCs w:val="21"/>
                <w:u w:val="none"/>
              </w:rPr>
            </w:pPr>
            <w:r>
              <w:rPr>
                <w:rFonts w:ascii="Times New Roman"/>
                <w:sz w:val="21"/>
                <w:szCs w:val="21"/>
                <w:u w:val="none"/>
              </w:rPr>
              <w:t>与下游厂界距离/m</w:t>
            </w:r>
          </w:p>
        </w:tc>
      </w:tr>
      <w:tr w14:paraId="049AF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59C534EF">
            <w:pPr>
              <w:pStyle w:val="65"/>
              <w:snapToGrid w:val="0"/>
              <w:jc w:val="center"/>
              <w:rPr>
                <w:rFonts w:ascii="Times New Roman"/>
                <w:sz w:val="21"/>
                <w:szCs w:val="21"/>
                <w:u w:val="none"/>
              </w:rPr>
            </w:pPr>
          </w:p>
        </w:tc>
        <w:tc>
          <w:tcPr>
            <w:tcW w:w="528" w:type="pct"/>
            <w:shd w:val="clear" w:color="auto" w:fill="FFFFFF"/>
            <w:noWrap w:val="0"/>
            <w:vAlign w:val="center"/>
          </w:tcPr>
          <w:p w14:paraId="19C531DB">
            <w:pPr>
              <w:pStyle w:val="65"/>
              <w:snapToGrid w:val="0"/>
              <w:jc w:val="center"/>
              <w:rPr>
                <w:rFonts w:ascii="Times New Roman"/>
                <w:sz w:val="21"/>
                <w:szCs w:val="21"/>
                <w:u w:val="none"/>
              </w:rPr>
            </w:pPr>
            <w:r>
              <w:rPr>
                <w:rFonts w:ascii="Times New Roman"/>
                <w:sz w:val="21"/>
                <w:szCs w:val="21"/>
                <w:u w:val="none"/>
              </w:rPr>
              <w:t>1</w:t>
            </w:r>
          </w:p>
        </w:tc>
        <w:tc>
          <w:tcPr>
            <w:tcW w:w="952" w:type="pct"/>
            <w:gridSpan w:val="2"/>
            <w:shd w:val="clear" w:color="auto" w:fill="FFFFFF"/>
            <w:noWrap w:val="0"/>
            <w:vAlign w:val="center"/>
          </w:tcPr>
          <w:p w14:paraId="30BF2669">
            <w:pPr>
              <w:pStyle w:val="65"/>
              <w:snapToGrid w:val="0"/>
              <w:jc w:val="center"/>
              <w:rPr>
                <w:rFonts w:ascii="Times New Roman"/>
                <w:sz w:val="21"/>
                <w:szCs w:val="21"/>
                <w:u w:val="none"/>
              </w:rPr>
            </w:pPr>
            <w:r>
              <w:rPr>
                <w:rFonts w:ascii="Times New Roman"/>
                <w:sz w:val="21"/>
                <w:szCs w:val="21"/>
                <w:u w:val="none"/>
              </w:rPr>
              <w:t>下游含水层</w:t>
            </w:r>
          </w:p>
        </w:tc>
        <w:tc>
          <w:tcPr>
            <w:tcW w:w="651" w:type="pct"/>
            <w:gridSpan w:val="2"/>
            <w:shd w:val="clear" w:color="auto" w:fill="FFFFFF"/>
            <w:noWrap w:val="0"/>
            <w:vAlign w:val="center"/>
          </w:tcPr>
          <w:p w14:paraId="362DD300">
            <w:pPr>
              <w:pStyle w:val="65"/>
              <w:snapToGrid w:val="0"/>
              <w:jc w:val="center"/>
              <w:rPr>
                <w:rFonts w:ascii="Times New Roman"/>
                <w:sz w:val="21"/>
                <w:szCs w:val="21"/>
                <w:u w:val="none"/>
              </w:rPr>
            </w:pPr>
            <w:r>
              <w:rPr>
                <w:rFonts w:ascii="Times New Roman"/>
                <w:sz w:val="21"/>
                <w:szCs w:val="21"/>
                <w:u w:val="none"/>
              </w:rPr>
              <w:t>G3</w:t>
            </w:r>
          </w:p>
        </w:tc>
        <w:tc>
          <w:tcPr>
            <w:tcW w:w="714" w:type="pct"/>
            <w:gridSpan w:val="3"/>
            <w:shd w:val="clear" w:color="auto" w:fill="FFFFFF"/>
            <w:noWrap w:val="0"/>
            <w:vAlign w:val="center"/>
          </w:tcPr>
          <w:p w14:paraId="039DCFBC">
            <w:pPr>
              <w:pStyle w:val="65"/>
              <w:snapToGrid w:val="0"/>
              <w:jc w:val="center"/>
              <w:rPr>
                <w:rFonts w:ascii="Times New Roman"/>
                <w:sz w:val="21"/>
                <w:szCs w:val="21"/>
                <w:u w:val="none"/>
              </w:rPr>
            </w:pPr>
            <w:r>
              <w:rPr>
                <w:rFonts w:ascii="Times New Roman"/>
                <w:sz w:val="21"/>
                <w:szCs w:val="21"/>
                <w:u w:val="none"/>
              </w:rPr>
              <w:t>III</w:t>
            </w:r>
          </w:p>
        </w:tc>
        <w:tc>
          <w:tcPr>
            <w:tcW w:w="902" w:type="pct"/>
            <w:gridSpan w:val="2"/>
            <w:shd w:val="clear" w:color="auto" w:fill="FFFFFF"/>
            <w:noWrap w:val="0"/>
            <w:vAlign w:val="center"/>
          </w:tcPr>
          <w:p w14:paraId="6BA75D6B">
            <w:pPr>
              <w:pStyle w:val="65"/>
              <w:snapToGrid w:val="0"/>
              <w:jc w:val="center"/>
              <w:rPr>
                <w:rFonts w:ascii="Times New Roman"/>
                <w:sz w:val="21"/>
                <w:szCs w:val="21"/>
                <w:u w:val="none"/>
              </w:rPr>
            </w:pPr>
            <w:r>
              <w:rPr>
                <w:rFonts w:ascii="Times New Roman"/>
                <w:sz w:val="21"/>
                <w:szCs w:val="21"/>
                <w:u w:val="none"/>
              </w:rPr>
              <w:t>D2</w:t>
            </w:r>
          </w:p>
        </w:tc>
        <w:tc>
          <w:tcPr>
            <w:tcW w:w="809" w:type="pct"/>
            <w:shd w:val="clear" w:color="auto" w:fill="FFFFFF"/>
            <w:noWrap w:val="0"/>
            <w:vAlign w:val="center"/>
          </w:tcPr>
          <w:p w14:paraId="0F1D57CD">
            <w:pPr>
              <w:pStyle w:val="65"/>
              <w:snapToGrid w:val="0"/>
              <w:jc w:val="center"/>
              <w:rPr>
                <w:rFonts w:ascii="Times New Roman"/>
                <w:sz w:val="21"/>
                <w:szCs w:val="21"/>
                <w:u w:val="none"/>
              </w:rPr>
            </w:pPr>
            <w:r>
              <w:rPr>
                <w:rFonts w:ascii="Times New Roman"/>
                <w:sz w:val="21"/>
                <w:szCs w:val="21"/>
                <w:u w:val="none"/>
              </w:rPr>
              <w:t>/</w:t>
            </w:r>
          </w:p>
        </w:tc>
      </w:tr>
      <w:tr w14:paraId="6EA72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AAC0ED5">
            <w:pPr>
              <w:pStyle w:val="65"/>
              <w:snapToGrid w:val="0"/>
              <w:jc w:val="center"/>
              <w:rPr>
                <w:rFonts w:ascii="Times New Roman"/>
                <w:sz w:val="21"/>
                <w:szCs w:val="21"/>
                <w:u w:val="none"/>
              </w:rPr>
            </w:pPr>
          </w:p>
        </w:tc>
        <w:tc>
          <w:tcPr>
            <w:tcW w:w="3748" w:type="pct"/>
            <w:gridSpan w:val="10"/>
            <w:shd w:val="clear" w:color="auto" w:fill="FFFFFF"/>
            <w:noWrap w:val="0"/>
            <w:vAlign w:val="center"/>
          </w:tcPr>
          <w:p w14:paraId="1335B08F">
            <w:pPr>
              <w:pStyle w:val="65"/>
              <w:snapToGrid w:val="0"/>
              <w:jc w:val="center"/>
              <w:rPr>
                <w:rFonts w:ascii="Times New Roman"/>
                <w:sz w:val="21"/>
                <w:szCs w:val="21"/>
                <w:u w:val="none"/>
              </w:rPr>
            </w:pPr>
            <w:r>
              <w:rPr>
                <w:rFonts w:ascii="Times New Roman"/>
                <w:sz w:val="21"/>
                <w:szCs w:val="21"/>
                <w:u w:val="none"/>
              </w:rPr>
              <w:t>地下水环境敏感程度E值</w:t>
            </w:r>
          </w:p>
        </w:tc>
        <w:tc>
          <w:tcPr>
            <w:tcW w:w="809" w:type="pct"/>
            <w:shd w:val="clear" w:color="auto" w:fill="FFFFFF"/>
            <w:noWrap w:val="0"/>
            <w:vAlign w:val="center"/>
          </w:tcPr>
          <w:p w14:paraId="3CF4CE3C">
            <w:pPr>
              <w:pStyle w:val="65"/>
              <w:snapToGrid w:val="0"/>
              <w:jc w:val="center"/>
              <w:rPr>
                <w:rFonts w:hint="eastAsia" w:ascii="Times New Roman"/>
                <w:sz w:val="21"/>
                <w:szCs w:val="21"/>
                <w:u w:val="none"/>
              </w:rPr>
            </w:pPr>
            <w:r>
              <w:rPr>
                <w:rFonts w:ascii="Times New Roman"/>
                <w:sz w:val="21"/>
                <w:szCs w:val="21"/>
                <w:u w:val="none"/>
              </w:rPr>
              <w:t>E</w:t>
            </w:r>
            <w:r>
              <w:rPr>
                <w:rFonts w:hint="eastAsia" w:ascii="Times New Roman"/>
                <w:sz w:val="21"/>
                <w:szCs w:val="21"/>
                <w:u w:val="none"/>
              </w:rPr>
              <w:t>3</w:t>
            </w:r>
          </w:p>
        </w:tc>
      </w:tr>
      <w:tr w14:paraId="45089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restart"/>
            <w:shd w:val="clear" w:color="auto" w:fill="FFFFFF"/>
            <w:noWrap w:val="0"/>
            <w:vAlign w:val="center"/>
          </w:tcPr>
          <w:p w14:paraId="66407602">
            <w:pPr>
              <w:pStyle w:val="65"/>
              <w:snapToGrid w:val="0"/>
              <w:jc w:val="center"/>
              <w:rPr>
                <w:rFonts w:ascii="Times New Roman"/>
                <w:sz w:val="21"/>
                <w:szCs w:val="21"/>
                <w:u w:val="none"/>
              </w:rPr>
            </w:pPr>
            <w:r>
              <w:rPr>
                <w:rFonts w:ascii="Times New Roman"/>
                <w:sz w:val="21"/>
                <w:szCs w:val="21"/>
                <w:u w:val="none"/>
              </w:rPr>
              <w:t>地表水</w:t>
            </w:r>
          </w:p>
        </w:tc>
        <w:tc>
          <w:tcPr>
            <w:tcW w:w="4558" w:type="pct"/>
            <w:gridSpan w:val="11"/>
            <w:shd w:val="clear" w:color="auto" w:fill="FFFFFF"/>
            <w:noWrap w:val="0"/>
            <w:vAlign w:val="center"/>
          </w:tcPr>
          <w:p w14:paraId="5CA7A0E5">
            <w:pPr>
              <w:pStyle w:val="65"/>
              <w:snapToGrid w:val="0"/>
              <w:jc w:val="center"/>
              <w:rPr>
                <w:rFonts w:ascii="Times New Roman"/>
                <w:sz w:val="21"/>
                <w:szCs w:val="21"/>
                <w:u w:val="none"/>
              </w:rPr>
            </w:pPr>
          </w:p>
        </w:tc>
      </w:tr>
      <w:tr w14:paraId="3B1F9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2DF24E5E">
            <w:pPr>
              <w:pStyle w:val="65"/>
              <w:snapToGrid w:val="0"/>
              <w:jc w:val="center"/>
              <w:rPr>
                <w:rFonts w:ascii="Times New Roman"/>
                <w:sz w:val="21"/>
                <w:szCs w:val="21"/>
                <w:u w:val="none"/>
              </w:rPr>
            </w:pPr>
          </w:p>
        </w:tc>
        <w:tc>
          <w:tcPr>
            <w:tcW w:w="560" w:type="pct"/>
            <w:gridSpan w:val="2"/>
            <w:shd w:val="clear" w:color="auto" w:fill="FFFFFF"/>
            <w:noWrap w:val="0"/>
            <w:vAlign w:val="center"/>
          </w:tcPr>
          <w:p w14:paraId="096B03AA">
            <w:pPr>
              <w:pStyle w:val="65"/>
              <w:snapToGrid w:val="0"/>
              <w:jc w:val="center"/>
              <w:rPr>
                <w:rFonts w:ascii="Times New Roman"/>
                <w:sz w:val="21"/>
                <w:szCs w:val="21"/>
                <w:u w:val="none"/>
              </w:rPr>
            </w:pPr>
            <w:r>
              <w:rPr>
                <w:rFonts w:ascii="Times New Roman"/>
                <w:sz w:val="21"/>
                <w:szCs w:val="21"/>
                <w:u w:val="none"/>
              </w:rPr>
              <w:t>序号</w:t>
            </w:r>
          </w:p>
        </w:tc>
        <w:tc>
          <w:tcPr>
            <w:tcW w:w="2251" w:type="pct"/>
            <w:gridSpan w:val="5"/>
            <w:shd w:val="clear" w:color="auto" w:fill="FFFFFF"/>
            <w:noWrap w:val="0"/>
            <w:vAlign w:val="center"/>
          </w:tcPr>
          <w:p w14:paraId="01D88FAE">
            <w:pPr>
              <w:pStyle w:val="65"/>
              <w:snapToGrid w:val="0"/>
              <w:jc w:val="center"/>
              <w:rPr>
                <w:rFonts w:ascii="Times New Roman"/>
                <w:sz w:val="21"/>
                <w:szCs w:val="21"/>
                <w:u w:val="none"/>
              </w:rPr>
            </w:pPr>
            <w:r>
              <w:rPr>
                <w:rFonts w:ascii="Times New Roman"/>
                <w:sz w:val="21"/>
                <w:szCs w:val="21"/>
                <w:u w:val="none"/>
              </w:rPr>
              <w:t>受纳水体名称</w:t>
            </w:r>
          </w:p>
        </w:tc>
        <w:tc>
          <w:tcPr>
            <w:tcW w:w="1746" w:type="pct"/>
            <w:gridSpan w:val="4"/>
            <w:shd w:val="clear" w:color="auto" w:fill="FFFFFF"/>
            <w:noWrap w:val="0"/>
            <w:vAlign w:val="center"/>
          </w:tcPr>
          <w:p w14:paraId="6FFE834A">
            <w:pPr>
              <w:pStyle w:val="65"/>
              <w:snapToGrid w:val="0"/>
              <w:jc w:val="center"/>
              <w:rPr>
                <w:rFonts w:ascii="Times New Roman"/>
                <w:sz w:val="21"/>
                <w:szCs w:val="21"/>
                <w:u w:val="none"/>
              </w:rPr>
            </w:pPr>
            <w:r>
              <w:rPr>
                <w:rFonts w:ascii="Times New Roman"/>
                <w:sz w:val="21"/>
                <w:szCs w:val="21"/>
                <w:u w:val="none"/>
              </w:rPr>
              <w:t>排放点水域环境功能</w:t>
            </w:r>
          </w:p>
        </w:tc>
      </w:tr>
      <w:tr w14:paraId="705F6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122663B">
            <w:pPr>
              <w:pStyle w:val="65"/>
              <w:snapToGrid w:val="0"/>
              <w:jc w:val="center"/>
              <w:rPr>
                <w:rFonts w:ascii="Times New Roman"/>
                <w:sz w:val="21"/>
                <w:szCs w:val="21"/>
                <w:u w:val="none"/>
              </w:rPr>
            </w:pPr>
          </w:p>
        </w:tc>
        <w:tc>
          <w:tcPr>
            <w:tcW w:w="560" w:type="pct"/>
            <w:gridSpan w:val="2"/>
            <w:shd w:val="clear" w:color="auto" w:fill="FFFFFF"/>
            <w:noWrap w:val="0"/>
            <w:vAlign w:val="center"/>
          </w:tcPr>
          <w:p w14:paraId="1953A0BD">
            <w:pPr>
              <w:pStyle w:val="65"/>
              <w:snapToGrid w:val="0"/>
              <w:jc w:val="center"/>
              <w:rPr>
                <w:rFonts w:ascii="Times New Roman"/>
                <w:sz w:val="21"/>
                <w:szCs w:val="21"/>
                <w:u w:val="none"/>
              </w:rPr>
            </w:pPr>
            <w:r>
              <w:rPr>
                <w:rFonts w:ascii="Times New Roman"/>
                <w:sz w:val="21"/>
                <w:szCs w:val="21"/>
                <w:u w:val="none"/>
              </w:rPr>
              <w:t>1</w:t>
            </w:r>
          </w:p>
        </w:tc>
        <w:tc>
          <w:tcPr>
            <w:tcW w:w="2251" w:type="pct"/>
            <w:gridSpan w:val="5"/>
            <w:shd w:val="clear" w:color="auto" w:fill="FFFFFF"/>
            <w:noWrap w:val="0"/>
            <w:vAlign w:val="center"/>
          </w:tcPr>
          <w:p w14:paraId="2BE62979">
            <w:pPr>
              <w:pStyle w:val="65"/>
              <w:snapToGrid w:val="0"/>
              <w:jc w:val="center"/>
              <w:rPr>
                <w:rFonts w:ascii="Times New Roman"/>
                <w:sz w:val="21"/>
                <w:szCs w:val="21"/>
                <w:u w:val="none"/>
              </w:rPr>
            </w:pPr>
            <w:r>
              <w:rPr>
                <w:rFonts w:ascii="Times New Roman"/>
                <w:kern w:val="2"/>
                <w:sz w:val="21"/>
                <w:szCs w:val="21"/>
                <w:u w:val="none"/>
              </w:rPr>
              <w:t>钦州港金鼓江排污混合区GX056DⅣ</w:t>
            </w:r>
          </w:p>
        </w:tc>
        <w:tc>
          <w:tcPr>
            <w:tcW w:w="1746" w:type="pct"/>
            <w:gridSpan w:val="4"/>
            <w:shd w:val="clear" w:color="auto" w:fill="FFFFFF"/>
            <w:noWrap w:val="0"/>
            <w:vAlign w:val="center"/>
          </w:tcPr>
          <w:p w14:paraId="4EE7D42E">
            <w:pPr>
              <w:pStyle w:val="65"/>
              <w:snapToGrid w:val="0"/>
              <w:jc w:val="center"/>
              <w:rPr>
                <w:rFonts w:ascii="Times New Roman"/>
                <w:sz w:val="21"/>
                <w:szCs w:val="21"/>
                <w:u w:val="none"/>
              </w:rPr>
            </w:pPr>
            <w:r>
              <w:rPr>
                <w:rFonts w:ascii="Times New Roman"/>
                <w:sz w:val="21"/>
                <w:szCs w:val="21"/>
                <w:u w:val="none"/>
              </w:rPr>
              <w:t>港口工业用海</w:t>
            </w:r>
          </w:p>
        </w:tc>
      </w:tr>
      <w:tr w14:paraId="53832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1" w:type="pct"/>
            <w:vMerge w:val="continue"/>
            <w:shd w:val="clear" w:color="auto" w:fill="FFFFFF"/>
            <w:noWrap w:val="0"/>
            <w:vAlign w:val="center"/>
          </w:tcPr>
          <w:p w14:paraId="3CCEB411">
            <w:pPr>
              <w:pStyle w:val="65"/>
              <w:snapToGrid w:val="0"/>
              <w:jc w:val="center"/>
              <w:rPr>
                <w:rFonts w:ascii="Times New Roman"/>
                <w:sz w:val="21"/>
                <w:szCs w:val="21"/>
                <w:u w:val="none"/>
              </w:rPr>
            </w:pPr>
          </w:p>
        </w:tc>
        <w:tc>
          <w:tcPr>
            <w:tcW w:w="3748" w:type="pct"/>
            <w:gridSpan w:val="10"/>
            <w:shd w:val="clear" w:color="auto" w:fill="FFFFFF"/>
            <w:noWrap w:val="0"/>
            <w:vAlign w:val="center"/>
          </w:tcPr>
          <w:p w14:paraId="7CB3B200">
            <w:pPr>
              <w:pStyle w:val="65"/>
              <w:snapToGrid w:val="0"/>
              <w:jc w:val="center"/>
              <w:rPr>
                <w:rFonts w:ascii="Times New Roman"/>
                <w:sz w:val="21"/>
                <w:szCs w:val="21"/>
                <w:u w:val="none"/>
              </w:rPr>
            </w:pPr>
            <w:r>
              <w:rPr>
                <w:rFonts w:ascii="Times New Roman"/>
                <w:sz w:val="21"/>
                <w:szCs w:val="21"/>
                <w:u w:val="none"/>
              </w:rPr>
              <w:t>地表水环境敏感程度E值</w:t>
            </w:r>
          </w:p>
        </w:tc>
        <w:tc>
          <w:tcPr>
            <w:tcW w:w="809" w:type="pct"/>
            <w:shd w:val="clear" w:color="auto" w:fill="FFFFFF"/>
            <w:noWrap w:val="0"/>
            <w:vAlign w:val="center"/>
          </w:tcPr>
          <w:p w14:paraId="088FDF7F">
            <w:pPr>
              <w:pStyle w:val="65"/>
              <w:snapToGrid w:val="0"/>
              <w:jc w:val="center"/>
              <w:rPr>
                <w:rFonts w:ascii="Times New Roman"/>
                <w:sz w:val="21"/>
                <w:szCs w:val="21"/>
                <w:u w:val="none"/>
              </w:rPr>
            </w:pPr>
            <w:r>
              <w:rPr>
                <w:rFonts w:ascii="Times New Roman"/>
                <w:sz w:val="21"/>
                <w:szCs w:val="21"/>
                <w:u w:val="none"/>
              </w:rPr>
              <w:t>E2</w:t>
            </w:r>
          </w:p>
        </w:tc>
      </w:tr>
    </w:tbl>
    <w:p w14:paraId="1213481C">
      <w:pPr>
        <w:keepNext/>
        <w:keepLines/>
        <w:widowControl/>
        <w:numPr>
          <w:ilvl w:val="0"/>
          <w:numId w:val="10"/>
        </w:numPr>
        <w:spacing w:before="210" w:after="210" w:line="500" w:lineRule="exact"/>
        <w:jc w:val="left"/>
        <w:outlineLvl w:val="1"/>
        <w:rPr>
          <w:b/>
          <w:kern w:val="0"/>
          <w:sz w:val="28"/>
          <w:szCs w:val="20"/>
        </w:rPr>
      </w:pPr>
      <w:bookmarkStart w:id="46" w:name="_Toc9463"/>
      <w:bookmarkStart w:id="47" w:name="_Toc7491"/>
      <w:r>
        <w:rPr>
          <w:b/>
          <w:kern w:val="0"/>
          <w:sz w:val="28"/>
          <w:szCs w:val="20"/>
        </w:rPr>
        <w:t>环境风险潜势初判</w:t>
      </w:r>
      <w:bookmarkEnd w:id="46"/>
      <w:bookmarkEnd w:id="47"/>
    </w:p>
    <w:p w14:paraId="0CE9F62F">
      <w:pPr>
        <w:widowControl/>
        <w:spacing w:line="500" w:lineRule="exact"/>
        <w:ind w:firstLine="480"/>
        <w:jc w:val="left"/>
        <w:rPr>
          <w:kern w:val="0"/>
          <w:sz w:val="24"/>
        </w:rPr>
      </w:pPr>
      <w:r>
        <w:rPr>
          <w:kern w:val="0"/>
          <w:sz w:val="24"/>
        </w:rPr>
        <w:t>根据《建设项目环境风险评价技术导则》（HJ169-2018）（以下简称“风险导则”），建设项目环境风险潜势划分为</w:t>
      </w:r>
      <w:r>
        <w:rPr>
          <w:rFonts w:hint="eastAsia" w:ascii="宋体" w:hAnsi="宋体" w:cs="宋体"/>
          <w:kern w:val="0"/>
          <w:sz w:val="24"/>
        </w:rPr>
        <w:t>Ⅰ</w:t>
      </w:r>
      <w:r>
        <w:rPr>
          <w:kern w:val="0"/>
          <w:sz w:val="24"/>
        </w:rPr>
        <w:t>、</w:t>
      </w:r>
      <w:r>
        <w:rPr>
          <w:rFonts w:hint="eastAsia" w:ascii="宋体" w:hAnsi="宋体" w:cs="宋体"/>
          <w:kern w:val="0"/>
          <w:sz w:val="24"/>
        </w:rPr>
        <w:t>Ⅱ</w:t>
      </w:r>
      <w:r>
        <w:rPr>
          <w:kern w:val="0"/>
          <w:sz w:val="24"/>
        </w:rPr>
        <w:t>、</w:t>
      </w:r>
      <w:r>
        <w:rPr>
          <w:rFonts w:hint="eastAsia" w:ascii="宋体" w:hAnsi="宋体" w:cs="宋体"/>
          <w:kern w:val="0"/>
          <w:sz w:val="24"/>
        </w:rPr>
        <w:t>Ⅲ</w:t>
      </w:r>
      <w:r>
        <w:rPr>
          <w:kern w:val="0"/>
          <w:sz w:val="24"/>
        </w:rPr>
        <w:t>、</w:t>
      </w:r>
      <w:r>
        <w:rPr>
          <w:rFonts w:hint="eastAsia" w:ascii="宋体" w:hAnsi="宋体" w:cs="宋体"/>
          <w:kern w:val="0"/>
          <w:sz w:val="24"/>
        </w:rPr>
        <w:t>Ⅳ</w:t>
      </w:r>
      <w:r>
        <w:rPr>
          <w:kern w:val="0"/>
          <w:sz w:val="24"/>
        </w:rPr>
        <w:t>/</w:t>
      </w:r>
      <w:r>
        <w:rPr>
          <w:rFonts w:hint="eastAsia" w:ascii="宋体" w:hAnsi="宋体" w:cs="宋体"/>
          <w:kern w:val="0"/>
          <w:sz w:val="24"/>
        </w:rPr>
        <w:t>Ⅳ</w:t>
      </w:r>
      <w:r>
        <w:rPr>
          <w:kern w:val="0"/>
          <w:sz w:val="24"/>
        </w:rPr>
        <w:t>+级，划分依据见表2.1-1。</w:t>
      </w:r>
    </w:p>
    <w:p w14:paraId="2C63578E">
      <w:pPr>
        <w:keepNext/>
        <w:keepLines/>
        <w:widowControl/>
        <w:tabs>
          <w:tab w:val="left" w:pos="795"/>
        </w:tabs>
        <w:spacing w:line="500" w:lineRule="exact"/>
        <w:ind w:left="794"/>
        <w:jc w:val="center"/>
        <w:outlineLvl w:val="3"/>
        <w:rPr>
          <w:b/>
          <w:kern w:val="0"/>
          <w:sz w:val="24"/>
        </w:rPr>
      </w:pPr>
      <w:r>
        <w:rPr>
          <w:b/>
          <w:kern w:val="0"/>
          <w:sz w:val="24"/>
        </w:rPr>
        <w:t>表2.1-1  建设项目环境风险潜势划分</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7060E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176488EA">
            <w:pPr>
              <w:widowControl/>
              <w:adjustRightInd w:val="0"/>
              <w:snapToGrid w:val="0"/>
              <w:jc w:val="center"/>
              <w:rPr>
                <w:kern w:val="0"/>
                <w:szCs w:val="21"/>
              </w:rPr>
            </w:pPr>
            <w:r>
              <w:rPr>
                <w:kern w:val="0"/>
                <w:szCs w:val="21"/>
              </w:rPr>
              <w:t>环境敏感程度（E）</w:t>
            </w:r>
          </w:p>
        </w:tc>
        <w:tc>
          <w:tcPr>
            <w:tcW w:w="6765" w:type="dxa"/>
            <w:gridSpan w:val="4"/>
            <w:vAlign w:val="center"/>
          </w:tcPr>
          <w:p w14:paraId="4536D4E1">
            <w:pPr>
              <w:widowControl/>
              <w:adjustRightInd w:val="0"/>
              <w:snapToGrid w:val="0"/>
              <w:jc w:val="center"/>
              <w:rPr>
                <w:kern w:val="0"/>
                <w:szCs w:val="21"/>
              </w:rPr>
            </w:pPr>
            <w:r>
              <w:rPr>
                <w:kern w:val="0"/>
                <w:szCs w:val="21"/>
              </w:rPr>
              <w:t>危险物质及工艺系统危险性（P）</w:t>
            </w:r>
          </w:p>
        </w:tc>
      </w:tr>
      <w:tr w14:paraId="3A3E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4F043C61">
            <w:pPr>
              <w:widowControl/>
              <w:jc w:val="left"/>
              <w:rPr>
                <w:kern w:val="0"/>
                <w:szCs w:val="21"/>
              </w:rPr>
            </w:pPr>
          </w:p>
        </w:tc>
        <w:tc>
          <w:tcPr>
            <w:tcW w:w="1691" w:type="dxa"/>
            <w:vAlign w:val="center"/>
          </w:tcPr>
          <w:p w14:paraId="68A69303">
            <w:pPr>
              <w:widowControl/>
              <w:adjustRightInd w:val="0"/>
              <w:snapToGrid w:val="0"/>
              <w:jc w:val="center"/>
              <w:rPr>
                <w:kern w:val="0"/>
                <w:szCs w:val="21"/>
              </w:rPr>
            </w:pPr>
            <w:r>
              <w:rPr>
                <w:kern w:val="0"/>
                <w:szCs w:val="21"/>
              </w:rPr>
              <w:t>极高危害（P1）</w:t>
            </w:r>
          </w:p>
        </w:tc>
        <w:tc>
          <w:tcPr>
            <w:tcW w:w="1691" w:type="dxa"/>
            <w:vAlign w:val="center"/>
          </w:tcPr>
          <w:p w14:paraId="1C31D44B">
            <w:pPr>
              <w:widowControl/>
              <w:adjustRightInd w:val="0"/>
              <w:snapToGrid w:val="0"/>
              <w:jc w:val="center"/>
              <w:rPr>
                <w:kern w:val="0"/>
                <w:szCs w:val="21"/>
              </w:rPr>
            </w:pPr>
            <w:r>
              <w:rPr>
                <w:kern w:val="0"/>
                <w:szCs w:val="21"/>
              </w:rPr>
              <w:t>高度危害（P2）</w:t>
            </w:r>
          </w:p>
        </w:tc>
        <w:tc>
          <w:tcPr>
            <w:tcW w:w="1691" w:type="dxa"/>
            <w:vAlign w:val="center"/>
          </w:tcPr>
          <w:p w14:paraId="502CDFC3">
            <w:pPr>
              <w:widowControl/>
              <w:adjustRightInd w:val="0"/>
              <w:snapToGrid w:val="0"/>
              <w:jc w:val="center"/>
              <w:rPr>
                <w:kern w:val="0"/>
                <w:szCs w:val="21"/>
              </w:rPr>
            </w:pPr>
            <w:r>
              <w:rPr>
                <w:kern w:val="0"/>
                <w:szCs w:val="21"/>
              </w:rPr>
              <w:t>中度危害（P3）</w:t>
            </w:r>
          </w:p>
        </w:tc>
        <w:tc>
          <w:tcPr>
            <w:tcW w:w="1692" w:type="dxa"/>
            <w:vAlign w:val="center"/>
          </w:tcPr>
          <w:p w14:paraId="19B18A58">
            <w:pPr>
              <w:widowControl/>
              <w:adjustRightInd w:val="0"/>
              <w:snapToGrid w:val="0"/>
              <w:jc w:val="center"/>
              <w:rPr>
                <w:kern w:val="0"/>
                <w:szCs w:val="21"/>
              </w:rPr>
            </w:pPr>
            <w:r>
              <w:rPr>
                <w:kern w:val="0"/>
                <w:szCs w:val="21"/>
              </w:rPr>
              <w:t>轻度危害（P4）</w:t>
            </w:r>
          </w:p>
        </w:tc>
      </w:tr>
      <w:tr w14:paraId="71E4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1AFB9208">
            <w:pPr>
              <w:widowControl/>
              <w:adjustRightInd w:val="0"/>
              <w:snapToGrid w:val="0"/>
              <w:jc w:val="center"/>
              <w:rPr>
                <w:kern w:val="0"/>
                <w:szCs w:val="21"/>
              </w:rPr>
            </w:pPr>
            <w:r>
              <w:rPr>
                <w:kern w:val="0"/>
                <w:szCs w:val="21"/>
              </w:rPr>
              <w:t>环境高度敏感区（E1）</w:t>
            </w:r>
          </w:p>
        </w:tc>
        <w:tc>
          <w:tcPr>
            <w:tcW w:w="1691" w:type="dxa"/>
            <w:vAlign w:val="center"/>
          </w:tcPr>
          <w:p w14:paraId="1ED34ABB">
            <w:pPr>
              <w:widowControl/>
              <w:adjustRightInd w:val="0"/>
              <w:snapToGrid w:val="0"/>
              <w:jc w:val="center"/>
              <w:rPr>
                <w:kern w:val="0"/>
                <w:szCs w:val="21"/>
              </w:rPr>
            </w:pPr>
            <w:r>
              <w:rPr>
                <w:rFonts w:hint="eastAsia" w:ascii="宋体" w:hAnsi="宋体" w:cs="宋体"/>
                <w:kern w:val="0"/>
                <w:szCs w:val="21"/>
              </w:rPr>
              <w:t>Ⅳ</w:t>
            </w:r>
            <w:r>
              <w:rPr>
                <w:kern w:val="0"/>
                <w:szCs w:val="21"/>
                <w:vertAlign w:val="superscript"/>
              </w:rPr>
              <w:t>+</w:t>
            </w:r>
          </w:p>
        </w:tc>
        <w:tc>
          <w:tcPr>
            <w:tcW w:w="1691" w:type="dxa"/>
            <w:vAlign w:val="center"/>
          </w:tcPr>
          <w:p w14:paraId="39D417E8">
            <w:pPr>
              <w:widowControl/>
              <w:adjustRightInd w:val="0"/>
              <w:snapToGrid w:val="0"/>
              <w:jc w:val="center"/>
              <w:rPr>
                <w:kern w:val="0"/>
                <w:szCs w:val="21"/>
              </w:rPr>
            </w:pPr>
            <w:r>
              <w:rPr>
                <w:rFonts w:hint="eastAsia" w:ascii="宋体" w:hAnsi="宋体" w:cs="宋体"/>
                <w:kern w:val="0"/>
                <w:szCs w:val="21"/>
              </w:rPr>
              <w:t>Ⅳ</w:t>
            </w:r>
          </w:p>
        </w:tc>
        <w:tc>
          <w:tcPr>
            <w:tcW w:w="1691" w:type="dxa"/>
            <w:vAlign w:val="center"/>
          </w:tcPr>
          <w:p w14:paraId="354DB925">
            <w:pPr>
              <w:widowControl/>
              <w:adjustRightInd w:val="0"/>
              <w:snapToGrid w:val="0"/>
              <w:jc w:val="center"/>
              <w:rPr>
                <w:kern w:val="0"/>
                <w:szCs w:val="21"/>
              </w:rPr>
            </w:pPr>
            <w:r>
              <w:rPr>
                <w:rFonts w:hint="eastAsia" w:ascii="宋体" w:hAnsi="宋体" w:cs="宋体"/>
                <w:kern w:val="0"/>
                <w:szCs w:val="21"/>
              </w:rPr>
              <w:t>Ⅲ</w:t>
            </w:r>
          </w:p>
        </w:tc>
        <w:tc>
          <w:tcPr>
            <w:tcW w:w="1692" w:type="dxa"/>
            <w:vAlign w:val="center"/>
          </w:tcPr>
          <w:p w14:paraId="5261AE68">
            <w:pPr>
              <w:widowControl/>
              <w:adjustRightInd w:val="0"/>
              <w:snapToGrid w:val="0"/>
              <w:jc w:val="center"/>
              <w:rPr>
                <w:kern w:val="0"/>
                <w:szCs w:val="21"/>
              </w:rPr>
            </w:pPr>
            <w:r>
              <w:rPr>
                <w:rFonts w:hint="eastAsia" w:ascii="宋体" w:hAnsi="宋体" w:cs="宋体"/>
                <w:kern w:val="0"/>
                <w:szCs w:val="21"/>
              </w:rPr>
              <w:t>Ⅲ</w:t>
            </w:r>
          </w:p>
        </w:tc>
      </w:tr>
      <w:tr w14:paraId="1431B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33848C03">
            <w:pPr>
              <w:widowControl/>
              <w:adjustRightInd w:val="0"/>
              <w:snapToGrid w:val="0"/>
              <w:jc w:val="center"/>
              <w:rPr>
                <w:kern w:val="0"/>
                <w:szCs w:val="21"/>
              </w:rPr>
            </w:pPr>
            <w:r>
              <w:rPr>
                <w:kern w:val="0"/>
                <w:szCs w:val="21"/>
              </w:rPr>
              <w:t>环境中度敏感区（E2）</w:t>
            </w:r>
          </w:p>
        </w:tc>
        <w:tc>
          <w:tcPr>
            <w:tcW w:w="1691" w:type="dxa"/>
            <w:vAlign w:val="center"/>
          </w:tcPr>
          <w:p w14:paraId="25ABA409">
            <w:pPr>
              <w:widowControl/>
              <w:adjustRightInd w:val="0"/>
              <w:snapToGrid w:val="0"/>
              <w:jc w:val="center"/>
              <w:rPr>
                <w:kern w:val="0"/>
                <w:szCs w:val="21"/>
              </w:rPr>
            </w:pPr>
            <w:r>
              <w:rPr>
                <w:rFonts w:hint="eastAsia" w:ascii="宋体" w:hAnsi="宋体" w:cs="宋体"/>
                <w:kern w:val="0"/>
                <w:szCs w:val="21"/>
              </w:rPr>
              <w:t>Ⅳ</w:t>
            </w:r>
          </w:p>
        </w:tc>
        <w:tc>
          <w:tcPr>
            <w:tcW w:w="1691" w:type="dxa"/>
            <w:vAlign w:val="center"/>
          </w:tcPr>
          <w:p w14:paraId="6B32F471">
            <w:pPr>
              <w:widowControl/>
              <w:adjustRightInd w:val="0"/>
              <w:snapToGrid w:val="0"/>
              <w:jc w:val="center"/>
              <w:rPr>
                <w:kern w:val="0"/>
                <w:szCs w:val="21"/>
              </w:rPr>
            </w:pPr>
            <w:r>
              <w:rPr>
                <w:rFonts w:hint="eastAsia" w:ascii="宋体" w:hAnsi="宋体" w:cs="宋体"/>
                <w:kern w:val="0"/>
                <w:szCs w:val="21"/>
              </w:rPr>
              <w:t>Ⅲ</w:t>
            </w:r>
          </w:p>
        </w:tc>
        <w:tc>
          <w:tcPr>
            <w:tcW w:w="1691" w:type="dxa"/>
            <w:vAlign w:val="center"/>
          </w:tcPr>
          <w:p w14:paraId="25AB2A74">
            <w:pPr>
              <w:widowControl/>
              <w:adjustRightInd w:val="0"/>
              <w:snapToGrid w:val="0"/>
              <w:jc w:val="center"/>
              <w:rPr>
                <w:kern w:val="0"/>
                <w:szCs w:val="21"/>
              </w:rPr>
            </w:pPr>
            <w:r>
              <w:rPr>
                <w:rFonts w:hint="eastAsia" w:ascii="宋体" w:hAnsi="宋体" w:cs="宋体"/>
                <w:kern w:val="0"/>
                <w:szCs w:val="21"/>
              </w:rPr>
              <w:t>Ⅲ</w:t>
            </w:r>
          </w:p>
        </w:tc>
        <w:tc>
          <w:tcPr>
            <w:tcW w:w="1692" w:type="dxa"/>
            <w:vAlign w:val="center"/>
          </w:tcPr>
          <w:p w14:paraId="2597868B">
            <w:pPr>
              <w:widowControl/>
              <w:adjustRightInd w:val="0"/>
              <w:snapToGrid w:val="0"/>
              <w:jc w:val="center"/>
              <w:rPr>
                <w:kern w:val="0"/>
                <w:szCs w:val="21"/>
              </w:rPr>
            </w:pPr>
            <w:r>
              <w:rPr>
                <w:rFonts w:hint="eastAsia" w:ascii="宋体" w:hAnsi="宋体" w:cs="宋体"/>
                <w:kern w:val="0"/>
                <w:szCs w:val="21"/>
              </w:rPr>
              <w:t>Ⅱ</w:t>
            </w:r>
          </w:p>
        </w:tc>
      </w:tr>
      <w:tr w14:paraId="44DA8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6FF7A42A">
            <w:pPr>
              <w:widowControl/>
              <w:adjustRightInd w:val="0"/>
              <w:snapToGrid w:val="0"/>
              <w:jc w:val="center"/>
              <w:rPr>
                <w:kern w:val="0"/>
                <w:szCs w:val="21"/>
              </w:rPr>
            </w:pPr>
            <w:r>
              <w:rPr>
                <w:kern w:val="0"/>
                <w:szCs w:val="21"/>
              </w:rPr>
              <w:t>环境低度敏感区（E3）</w:t>
            </w:r>
          </w:p>
        </w:tc>
        <w:tc>
          <w:tcPr>
            <w:tcW w:w="1691" w:type="dxa"/>
            <w:vAlign w:val="center"/>
          </w:tcPr>
          <w:p w14:paraId="78C0CBAD">
            <w:pPr>
              <w:widowControl/>
              <w:adjustRightInd w:val="0"/>
              <w:snapToGrid w:val="0"/>
              <w:jc w:val="center"/>
              <w:rPr>
                <w:kern w:val="0"/>
                <w:szCs w:val="21"/>
              </w:rPr>
            </w:pPr>
            <w:r>
              <w:rPr>
                <w:rFonts w:hint="eastAsia" w:ascii="宋体" w:hAnsi="宋体" w:cs="宋体"/>
                <w:kern w:val="0"/>
                <w:szCs w:val="21"/>
              </w:rPr>
              <w:t>Ⅲ</w:t>
            </w:r>
          </w:p>
        </w:tc>
        <w:tc>
          <w:tcPr>
            <w:tcW w:w="1691" w:type="dxa"/>
            <w:vAlign w:val="center"/>
          </w:tcPr>
          <w:p w14:paraId="7FE2B9C3">
            <w:pPr>
              <w:widowControl/>
              <w:adjustRightInd w:val="0"/>
              <w:snapToGrid w:val="0"/>
              <w:jc w:val="center"/>
              <w:rPr>
                <w:kern w:val="0"/>
                <w:szCs w:val="21"/>
              </w:rPr>
            </w:pPr>
            <w:r>
              <w:rPr>
                <w:rFonts w:hint="eastAsia" w:ascii="宋体" w:hAnsi="宋体" w:cs="宋体"/>
                <w:kern w:val="0"/>
                <w:szCs w:val="21"/>
              </w:rPr>
              <w:t>Ⅲ</w:t>
            </w:r>
          </w:p>
        </w:tc>
        <w:tc>
          <w:tcPr>
            <w:tcW w:w="1691" w:type="dxa"/>
            <w:vAlign w:val="center"/>
          </w:tcPr>
          <w:p w14:paraId="6107C5DA">
            <w:pPr>
              <w:widowControl/>
              <w:adjustRightInd w:val="0"/>
              <w:snapToGrid w:val="0"/>
              <w:jc w:val="center"/>
              <w:rPr>
                <w:kern w:val="0"/>
                <w:szCs w:val="21"/>
              </w:rPr>
            </w:pPr>
            <w:r>
              <w:rPr>
                <w:rFonts w:hint="eastAsia" w:ascii="宋体" w:hAnsi="宋体" w:cs="宋体"/>
                <w:kern w:val="0"/>
                <w:szCs w:val="21"/>
              </w:rPr>
              <w:t>Ⅱ</w:t>
            </w:r>
          </w:p>
        </w:tc>
        <w:tc>
          <w:tcPr>
            <w:tcW w:w="1692" w:type="dxa"/>
            <w:vAlign w:val="center"/>
          </w:tcPr>
          <w:p w14:paraId="5B91C86B">
            <w:pPr>
              <w:widowControl/>
              <w:adjustRightInd w:val="0"/>
              <w:snapToGrid w:val="0"/>
              <w:jc w:val="center"/>
              <w:rPr>
                <w:kern w:val="0"/>
                <w:szCs w:val="21"/>
              </w:rPr>
            </w:pPr>
            <w:r>
              <w:rPr>
                <w:rFonts w:hint="eastAsia" w:ascii="宋体" w:hAnsi="宋体" w:cs="宋体"/>
                <w:kern w:val="0"/>
                <w:szCs w:val="21"/>
              </w:rPr>
              <w:t>Ⅰ</w:t>
            </w:r>
          </w:p>
        </w:tc>
      </w:tr>
      <w:tr w14:paraId="09FA5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93" w:type="dxa"/>
            <w:gridSpan w:val="5"/>
            <w:vAlign w:val="center"/>
          </w:tcPr>
          <w:p w14:paraId="3285B61D">
            <w:pPr>
              <w:widowControl/>
              <w:adjustRightInd w:val="0"/>
              <w:snapToGrid w:val="0"/>
              <w:jc w:val="left"/>
              <w:rPr>
                <w:kern w:val="0"/>
                <w:szCs w:val="21"/>
              </w:rPr>
            </w:pPr>
            <w:r>
              <w:rPr>
                <w:kern w:val="0"/>
                <w:szCs w:val="21"/>
              </w:rPr>
              <w:t>注：</w:t>
            </w:r>
            <w:r>
              <w:rPr>
                <w:rFonts w:hint="eastAsia" w:ascii="宋体" w:hAnsi="宋体" w:cs="宋体"/>
                <w:kern w:val="0"/>
                <w:szCs w:val="21"/>
              </w:rPr>
              <w:t>Ⅳ</w:t>
            </w:r>
            <w:r>
              <w:rPr>
                <w:kern w:val="0"/>
                <w:szCs w:val="21"/>
                <w:vertAlign w:val="superscript"/>
              </w:rPr>
              <w:t>+</w:t>
            </w:r>
            <w:r>
              <w:rPr>
                <w:kern w:val="0"/>
                <w:szCs w:val="21"/>
              </w:rPr>
              <w:t>为极高环境风险。</w:t>
            </w:r>
          </w:p>
        </w:tc>
      </w:tr>
    </w:tbl>
    <w:p w14:paraId="3DC9F41E">
      <w:pPr>
        <w:keepNext/>
        <w:keepLines/>
        <w:widowControl/>
        <w:numPr>
          <w:ilvl w:val="0"/>
          <w:numId w:val="11"/>
        </w:numPr>
        <w:spacing w:before="126" w:after="126" w:line="500" w:lineRule="exact"/>
        <w:jc w:val="left"/>
        <w:outlineLvl w:val="2"/>
        <w:rPr>
          <w:b/>
          <w:bCs/>
          <w:kern w:val="0"/>
          <w:sz w:val="24"/>
        </w:rPr>
      </w:pPr>
      <w:bookmarkStart w:id="48" w:name="_Toc6373"/>
      <w:bookmarkStart w:id="49" w:name="_Toc144992664"/>
      <w:r>
        <w:rPr>
          <w:b/>
          <w:bCs/>
          <w:kern w:val="0"/>
          <w:sz w:val="24"/>
        </w:rPr>
        <w:t>危险性P的确定</w:t>
      </w:r>
      <w:bookmarkEnd w:id="48"/>
      <w:bookmarkEnd w:id="49"/>
    </w:p>
    <w:p w14:paraId="173F5F51">
      <w:pPr>
        <w:widowControl/>
        <w:spacing w:line="500" w:lineRule="exact"/>
        <w:ind w:firstLine="480"/>
        <w:jc w:val="left"/>
        <w:rPr>
          <w:kern w:val="0"/>
          <w:sz w:val="24"/>
        </w:rPr>
      </w:pPr>
      <w:r>
        <w:rPr>
          <w:kern w:val="0"/>
          <w:sz w:val="24"/>
        </w:rPr>
        <w:t>根据定量分析危险物质数量与临界量的比值（Q）和所属行业及生产工艺特点（M），进行判定危险物质及工艺系统危险性（P）。</w:t>
      </w:r>
    </w:p>
    <w:p w14:paraId="2350D2B9">
      <w:pPr>
        <w:widowControl/>
        <w:spacing w:line="500" w:lineRule="exact"/>
        <w:ind w:firstLine="480"/>
        <w:jc w:val="left"/>
        <w:rPr>
          <w:kern w:val="0"/>
          <w:sz w:val="24"/>
        </w:rPr>
      </w:pPr>
      <w:r>
        <w:rPr>
          <w:kern w:val="0"/>
          <w:sz w:val="24"/>
        </w:rPr>
        <w:t>1．Q值的确定</w:t>
      </w:r>
    </w:p>
    <w:p w14:paraId="12EC3BED">
      <w:pPr>
        <w:widowControl/>
        <w:spacing w:line="500" w:lineRule="exact"/>
        <w:ind w:firstLine="480"/>
        <w:jc w:val="left"/>
        <w:rPr>
          <w:kern w:val="0"/>
          <w:sz w:val="24"/>
        </w:rPr>
      </w:pPr>
      <w:r>
        <w:rPr>
          <w:kern w:val="0"/>
          <w:sz w:val="24"/>
        </w:rPr>
        <w:t>Q值是项目所涉及的每种危险物质在厂界内的最大存在量与其在风险导则附录B中对应临界量的比值。当存在多种危险物质时，按公式计算物质总量与其临界量比值（Q）：</w:t>
      </w:r>
    </w:p>
    <w:p w14:paraId="62AE1AB6">
      <w:pPr>
        <w:tabs>
          <w:tab w:val="center" w:pos="4674"/>
        </w:tabs>
        <w:ind w:left="-57" w:leftChars="-73" w:hanging="96" w:hangingChars="46"/>
        <w:jc w:val="center"/>
        <w:rPr>
          <w:spacing w:val="10"/>
          <w:sz w:val="24"/>
        </w:rPr>
      </w:pPr>
      <w:r>
        <w:drawing>
          <wp:inline distT="0" distB="0" distL="0" distR="0">
            <wp:extent cx="1409700" cy="4476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1409700" cy="447675"/>
                    </a:xfrm>
                    <a:prstGeom prst="rect">
                      <a:avLst/>
                    </a:prstGeom>
                  </pic:spPr>
                </pic:pic>
              </a:graphicData>
            </a:graphic>
          </wp:inline>
        </w:drawing>
      </w:r>
    </w:p>
    <w:p w14:paraId="355F1B71">
      <w:pPr>
        <w:widowControl/>
        <w:spacing w:line="500" w:lineRule="exact"/>
        <w:ind w:firstLine="480"/>
        <w:jc w:val="left"/>
        <w:rPr>
          <w:kern w:val="0"/>
          <w:sz w:val="24"/>
        </w:rPr>
      </w:pPr>
      <w:r>
        <w:rPr>
          <w:kern w:val="0"/>
          <w:sz w:val="24"/>
        </w:rPr>
        <w:t>式中：q1、q2……，qn——每种危险物质实际存在量，t；</w:t>
      </w:r>
    </w:p>
    <w:p w14:paraId="3E27B1E2">
      <w:pPr>
        <w:widowControl/>
        <w:spacing w:line="500" w:lineRule="exact"/>
        <w:ind w:firstLine="480"/>
        <w:jc w:val="left"/>
        <w:rPr>
          <w:kern w:val="0"/>
          <w:sz w:val="24"/>
        </w:rPr>
      </w:pPr>
      <w:r>
        <w:rPr>
          <w:kern w:val="0"/>
          <w:sz w:val="24"/>
        </w:rPr>
        <w:t>Q1、Q2……，Qn——与各危险物质的临界量，t。</w:t>
      </w:r>
    </w:p>
    <w:p w14:paraId="5E34DA1A">
      <w:pPr>
        <w:widowControl/>
        <w:spacing w:line="500" w:lineRule="exact"/>
        <w:ind w:firstLine="480"/>
        <w:jc w:val="left"/>
        <w:rPr>
          <w:kern w:val="0"/>
          <w:sz w:val="24"/>
        </w:rPr>
      </w:pPr>
      <w:r>
        <w:rPr>
          <w:kern w:val="0"/>
          <w:sz w:val="24"/>
        </w:rPr>
        <w:t>当Q＜1时，该项目环境风险潜势为</w:t>
      </w:r>
      <w:r>
        <w:rPr>
          <w:rFonts w:hint="eastAsia"/>
          <w:kern w:val="0"/>
          <w:sz w:val="24"/>
        </w:rPr>
        <w:t>Ⅰ</w:t>
      </w:r>
      <w:r>
        <w:rPr>
          <w:kern w:val="0"/>
          <w:sz w:val="24"/>
        </w:rPr>
        <w:t>；</w:t>
      </w:r>
    </w:p>
    <w:p w14:paraId="550FCCBF">
      <w:pPr>
        <w:widowControl/>
        <w:spacing w:line="500" w:lineRule="exact"/>
        <w:ind w:firstLine="480"/>
        <w:jc w:val="left"/>
        <w:rPr>
          <w:kern w:val="0"/>
          <w:sz w:val="24"/>
        </w:rPr>
      </w:pPr>
      <w:r>
        <w:rPr>
          <w:kern w:val="0"/>
          <w:sz w:val="24"/>
        </w:rPr>
        <w:t>当Q≥1时，将Q值分为：（1）1≤Q＜10；（2）10≤Q＜100；（3）Q≥100。</w:t>
      </w:r>
    </w:p>
    <w:p w14:paraId="134679A2">
      <w:pPr>
        <w:widowControl/>
        <w:spacing w:line="500" w:lineRule="exact"/>
        <w:ind w:firstLine="480"/>
        <w:jc w:val="left"/>
        <w:rPr>
          <w:rFonts w:hint="default"/>
          <w:kern w:val="0"/>
          <w:sz w:val="24"/>
          <w:lang w:val="en-US"/>
        </w:rPr>
      </w:pPr>
      <w:r>
        <w:rPr>
          <w:kern w:val="0"/>
          <w:sz w:val="24"/>
        </w:rPr>
        <w:t>根据风险导则附录B，拟建项目涉及的危险物质均具有临界量</w:t>
      </w:r>
      <w:r>
        <w:rPr>
          <w:rFonts w:hint="eastAsia"/>
          <w:kern w:val="0"/>
          <w:sz w:val="24"/>
        </w:rPr>
        <w:t>的</w:t>
      </w:r>
      <w:r>
        <w:rPr>
          <w:kern w:val="0"/>
          <w:sz w:val="24"/>
        </w:rPr>
        <w:t>危险物质Q值确定见表</w:t>
      </w:r>
      <w:r>
        <w:rPr>
          <w:rFonts w:hint="eastAsia"/>
          <w:kern w:val="0"/>
          <w:sz w:val="24"/>
        </w:rPr>
        <w:t>1.3-1，</w:t>
      </w:r>
      <w:r>
        <w:rPr>
          <w:kern w:val="0"/>
          <w:sz w:val="24"/>
        </w:rPr>
        <w:t>项目Q值为</w:t>
      </w:r>
      <w:r>
        <w:rPr>
          <w:rFonts w:hint="eastAsia"/>
          <w:kern w:val="0"/>
          <w:sz w:val="24"/>
          <w:lang w:val="en-US" w:eastAsia="zh-CN"/>
        </w:rPr>
        <w:t>164.8058，属于Q≥100。</w:t>
      </w:r>
    </w:p>
    <w:p w14:paraId="65D9D305">
      <w:pPr>
        <w:widowControl/>
        <w:spacing w:line="500" w:lineRule="exact"/>
        <w:ind w:firstLine="480"/>
        <w:jc w:val="left"/>
        <w:rPr>
          <w:kern w:val="0"/>
          <w:sz w:val="24"/>
        </w:rPr>
      </w:pPr>
      <w:r>
        <w:rPr>
          <w:kern w:val="0"/>
          <w:sz w:val="24"/>
        </w:rPr>
        <w:t>2．M值的确定</w:t>
      </w:r>
    </w:p>
    <w:p w14:paraId="3662B2BA">
      <w:pPr>
        <w:widowControl/>
        <w:spacing w:line="500" w:lineRule="exact"/>
        <w:ind w:firstLine="480"/>
        <w:jc w:val="left"/>
        <w:rPr>
          <w:kern w:val="0"/>
          <w:sz w:val="24"/>
        </w:rPr>
      </w:pPr>
      <w:r>
        <w:rPr>
          <w:kern w:val="0"/>
          <w:sz w:val="24"/>
        </w:rPr>
        <w:t>根据风险导则附录C表C.1判定M值，详见表2.1-</w:t>
      </w:r>
      <w:r>
        <w:rPr>
          <w:rFonts w:hint="eastAsia"/>
          <w:kern w:val="0"/>
          <w:sz w:val="24"/>
          <w:lang w:val="en-US" w:eastAsia="zh-CN"/>
        </w:rPr>
        <w:t>2</w:t>
      </w:r>
      <w:r>
        <w:rPr>
          <w:kern w:val="0"/>
          <w:sz w:val="24"/>
        </w:rPr>
        <w:t>。</w:t>
      </w:r>
    </w:p>
    <w:p w14:paraId="5F1B8B36">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2</w:t>
      </w:r>
      <w:r>
        <w:rPr>
          <w:b/>
          <w:kern w:val="0"/>
          <w:sz w:val="24"/>
        </w:rPr>
        <w:t xml:space="preserve">  行业及生产工艺（M）</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4230"/>
        <w:gridCol w:w="1117"/>
        <w:gridCol w:w="1110"/>
        <w:gridCol w:w="1111"/>
      </w:tblGrid>
      <w:tr w14:paraId="6607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21" w:type="pct"/>
            <w:vAlign w:val="center"/>
          </w:tcPr>
          <w:p w14:paraId="134EC071">
            <w:pPr>
              <w:widowControl/>
              <w:adjustRightInd w:val="0"/>
              <w:snapToGrid w:val="0"/>
              <w:jc w:val="center"/>
              <w:rPr>
                <w:kern w:val="0"/>
                <w:szCs w:val="21"/>
              </w:rPr>
            </w:pPr>
            <w:r>
              <w:rPr>
                <w:kern w:val="0"/>
                <w:szCs w:val="21"/>
              </w:rPr>
              <w:t>行业</w:t>
            </w:r>
          </w:p>
        </w:tc>
        <w:tc>
          <w:tcPr>
            <w:tcW w:w="2336" w:type="pct"/>
            <w:vAlign w:val="center"/>
          </w:tcPr>
          <w:p w14:paraId="00164169">
            <w:pPr>
              <w:widowControl/>
              <w:adjustRightInd w:val="0"/>
              <w:snapToGrid w:val="0"/>
              <w:jc w:val="center"/>
              <w:rPr>
                <w:kern w:val="0"/>
                <w:szCs w:val="21"/>
              </w:rPr>
            </w:pPr>
            <w:r>
              <w:rPr>
                <w:kern w:val="0"/>
                <w:szCs w:val="21"/>
              </w:rPr>
              <w:t>评估依据</w:t>
            </w:r>
          </w:p>
        </w:tc>
        <w:tc>
          <w:tcPr>
            <w:tcW w:w="617" w:type="pct"/>
            <w:vAlign w:val="center"/>
          </w:tcPr>
          <w:p w14:paraId="6E3691F5">
            <w:pPr>
              <w:widowControl/>
              <w:adjustRightInd w:val="0"/>
              <w:snapToGrid w:val="0"/>
              <w:jc w:val="center"/>
              <w:rPr>
                <w:kern w:val="0"/>
                <w:szCs w:val="21"/>
              </w:rPr>
            </w:pPr>
            <w:r>
              <w:rPr>
                <w:kern w:val="0"/>
                <w:szCs w:val="21"/>
              </w:rPr>
              <w:t>分值</w:t>
            </w:r>
          </w:p>
        </w:tc>
        <w:tc>
          <w:tcPr>
            <w:tcW w:w="612" w:type="pct"/>
            <w:vAlign w:val="center"/>
          </w:tcPr>
          <w:p w14:paraId="7E5C58DF">
            <w:pPr>
              <w:widowControl/>
              <w:adjustRightInd w:val="0"/>
              <w:snapToGrid w:val="0"/>
              <w:jc w:val="center"/>
              <w:rPr>
                <w:rFonts w:hint="default" w:eastAsia="宋体"/>
                <w:kern w:val="0"/>
                <w:szCs w:val="21"/>
                <w:lang w:val="en-US" w:eastAsia="zh-CN"/>
              </w:rPr>
            </w:pPr>
            <w:r>
              <w:rPr>
                <w:rFonts w:hint="eastAsia"/>
                <w:kern w:val="0"/>
                <w:szCs w:val="21"/>
                <w:lang w:val="en-US" w:eastAsia="zh-CN"/>
              </w:rPr>
              <w:t>项目情况</w:t>
            </w:r>
          </w:p>
        </w:tc>
        <w:tc>
          <w:tcPr>
            <w:tcW w:w="612" w:type="pct"/>
            <w:vAlign w:val="center"/>
          </w:tcPr>
          <w:p w14:paraId="138D0AF3">
            <w:pPr>
              <w:widowControl/>
              <w:adjustRightInd w:val="0"/>
              <w:snapToGrid w:val="0"/>
              <w:jc w:val="center"/>
              <w:rPr>
                <w:rFonts w:hint="eastAsia" w:eastAsia="宋体"/>
                <w:kern w:val="0"/>
                <w:szCs w:val="21"/>
                <w:lang w:val="en-US" w:eastAsia="zh-CN"/>
              </w:rPr>
            </w:pPr>
            <w:r>
              <w:rPr>
                <w:rFonts w:hint="eastAsia"/>
                <w:kern w:val="0"/>
                <w:szCs w:val="21"/>
                <w:lang w:val="en-US" w:eastAsia="zh-CN"/>
              </w:rPr>
              <w:t>评分</w:t>
            </w:r>
          </w:p>
        </w:tc>
      </w:tr>
      <w:tr w14:paraId="6A64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restart"/>
            <w:vAlign w:val="center"/>
          </w:tcPr>
          <w:p w14:paraId="534CB2BE">
            <w:pPr>
              <w:widowControl/>
              <w:adjustRightInd w:val="0"/>
              <w:snapToGrid w:val="0"/>
              <w:jc w:val="left"/>
              <w:rPr>
                <w:kern w:val="0"/>
                <w:szCs w:val="21"/>
              </w:rPr>
            </w:pPr>
            <w:r>
              <w:rPr>
                <w:kern w:val="0"/>
                <w:szCs w:val="21"/>
              </w:rPr>
              <w:t>石化、化工、医药、轻工、化纤、有色冶炼等</w:t>
            </w:r>
          </w:p>
        </w:tc>
        <w:tc>
          <w:tcPr>
            <w:tcW w:w="2336" w:type="pct"/>
            <w:vAlign w:val="center"/>
          </w:tcPr>
          <w:p w14:paraId="05C8B486">
            <w:pPr>
              <w:widowControl/>
              <w:adjustRightInd w:val="0"/>
              <w:snapToGrid w:val="0"/>
              <w:jc w:val="left"/>
              <w:rPr>
                <w:kern w:val="0"/>
                <w:szCs w:val="21"/>
              </w:rPr>
            </w:pPr>
            <w:r>
              <w:rPr>
                <w:kern w:val="0"/>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17" w:type="pct"/>
            <w:vAlign w:val="center"/>
          </w:tcPr>
          <w:p w14:paraId="33210167">
            <w:pPr>
              <w:widowControl/>
              <w:adjustRightInd w:val="0"/>
              <w:snapToGrid w:val="0"/>
              <w:jc w:val="center"/>
              <w:rPr>
                <w:kern w:val="0"/>
                <w:szCs w:val="21"/>
              </w:rPr>
            </w:pPr>
            <w:r>
              <w:rPr>
                <w:kern w:val="0"/>
                <w:szCs w:val="21"/>
              </w:rPr>
              <w:t>10/套</w:t>
            </w:r>
          </w:p>
        </w:tc>
        <w:tc>
          <w:tcPr>
            <w:tcW w:w="612" w:type="pct"/>
            <w:vAlign w:val="center"/>
          </w:tcPr>
          <w:p w14:paraId="4BDF79D6">
            <w:pPr>
              <w:widowControl/>
              <w:adjustRightInd w:val="0"/>
              <w:snapToGrid w:val="0"/>
              <w:jc w:val="center"/>
              <w:rPr>
                <w:rFonts w:hint="default" w:eastAsia="宋体"/>
                <w:kern w:val="0"/>
                <w:szCs w:val="21"/>
                <w:lang w:val="en-US" w:eastAsia="zh-CN"/>
              </w:rPr>
            </w:pPr>
            <w:r>
              <w:rPr>
                <w:rFonts w:hint="eastAsia"/>
                <w:kern w:val="0"/>
                <w:szCs w:val="21"/>
                <w:lang w:val="en-US" w:eastAsia="zh-CN"/>
              </w:rPr>
              <w:t>不涉及</w:t>
            </w:r>
          </w:p>
        </w:tc>
        <w:tc>
          <w:tcPr>
            <w:tcW w:w="612" w:type="pct"/>
            <w:vAlign w:val="center"/>
          </w:tcPr>
          <w:p w14:paraId="5FE5BAAD">
            <w:pPr>
              <w:widowControl/>
              <w:adjustRightInd w:val="0"/>
              <w:snapToGrid w:val="0"/>
              <w:jc w:val="center"/>
              <w:rPr>
                <w:rFonts w:hint="eastAsia" w:eastAsia="宋体"/>
                <w:kern w:val="0"/>
                <w:szCs w:val="21"/>
                <w:lang w:val="en-US" w:eastAsia="zh-CN"/>
              </w:rPr>
            </w:pPr>
            <w:r>
              <w:rPr>
                <w:rFonts w:hint="eastAsia"/>
                <w:kern w:val="0"/>
                <w:szCs w:val="21"/>
                <w:lang w:val="en-US" w:eastAsia="zh-CN"/>
              </w:rPr>
              <w:t>0</w:t>
            </w:r>
          </w:p>
        </w:tc>
      </w:tr>
      <w:tr w14:paraId="7F05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23452EC4">
            <w:pPr>
              <w:widowControl/>
              <w:jc w:val="left"/>
              <w:rPr>
                <w:kern w:val="0"/>
                <w:szCs w:val="21"/>
              </w:rPr>
            </w:pPr>
          </w:p>
        </w:tc>
        <w:tc>
          <w:tcPr>
            <w:tcW w:w="2336" w:type="pct"/>
            <w:vAlign w:val="center"/>
          </w:tcPr>
          <w:p w14:paraId="70721337">
            <w:pPr>
              <w:widowControl/>
              <w:adjustRightInd w:val="0"/>
              <w:snapToGrid w:val="0"/>
              <w:jc w:val="left"/>
              <w:rPr>
                <w:kern w:val="0"/>
                <w:szCs w:val="21"/>
              </w:rPr>
            </w:pPr>
            <w:r>
              <w:rPr>
                <w:kern w:val="0"/>
                <w:szCs w:val="21"/>
              </w:rPr>
              <w:t>无机酸制酸工艺、焦化工艺</w:t>
            </w:r>
          </w:p>
        </w:tc>
        <w:tc>
          <w:tcPr>
            <w:tcW w:w="617" w:type="pct"/>
            <w:vAlign w:val="center"/>
          </w:tcPr>
          <w:p w14:paraId="2CA2FCAE">
            <w:pPr>
              <w:widowControl/>
              <w:adjustRightInd w:val="0"/>
              <w:snapToGrid w:val="0"/>
              <w:jc w:val="center"/>
              <w:rPr>
                <w:kern w:val="0"/>
                <w:szCs w:val="21"/>
              </w:rPr>
            </w:pPr>
            <w:r>
              <w:rPr>
                <w:kern w:val="0"/>
                <w:szCs w:val="21"/>
              </w:rPr>
              <w:t>5/套</w:t>
            </w:r>
          </w:p>
        </w:tc>
        <w:tc>
          <w:tcPr>
            <w:tcW w:w="612" w:type="pct"/>
            <w:vAlign w:val="center"/>
          </w:tcPr>
          <w:p w14:paraId="496F1D80">
            <w:pPr>
              <w:widowControl/>
              <w:adjustRightInd w:val="0"/>
              <w:snapToGrid w:val="0"/>
              <w:jc w:val="center"/>
              <w:rPr>
                <w:rFonts w:hint="eastAsia" w:eastAsia="宋体"/>
                <w:kern w:val="0"/>
                <w:szCs w:val="21"/>
                <w:lang w:val="en-US" w:eastAsia="zh-CN"/>
              </w:rPr>
            </w:pPr>
            <w:r>
              <w:rPr>
                <w:rFonts w:hint="eastAsia"/>
                <w:kern w:val="0"/>
                <w:szCs w:val="21"/>
                <w:lang w:val="en-US" w:eastAsia="zh-CN"/>
              </w:rPr>
              <w:t>不涉及</w:t>
            </w:r>
          </w:p>
        </w:tc>
        <w:tc>
          <w:tcPr>
            <w:tcW w:w="612" w:type="pct"/>
            <w:vAlign w:val="center"/>
          </w:tcPr>
          <w:p w14:paraId="522CE737">
            <w:pPr>
              <w:widowControl/>
              <w:adjustRightInd w:val="0"/>
              <w:snapToGrid w:val="0"/>
              <w:jc w:val="center"/>
              <w:rPr>
                <w:rFonts w:hint="eastAsia" w:eastAsia="宋体"/>
                <w:kern w:val="0"/>
                <w:szCs w:val="21"/>
                <w:lang w:val="en-US" w:eastAsia="zh-CN"/>
              </w:rPr>
            </w:pPr>
            <w:r>
              <w:rPr>
                <w:rFonts w:hint="eastAsia"/>
                <w:kern w:val="0"/>
                <w:szCs w:val="21"/>
                <w:lang w:val="en-US" w:eastAsia="zh-CN"/>
              </w:rPr>
              <w:t>0</w:t>
            </w:r>
          </w:p>
        </w:tc>
      </w:tr>
      <w:tr w14:paraId="6879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Merge w:val="continue"/>
            <w:vAlign w:val="center"/>
          </w:tcPr>
          <w:p w14:paraId="0B05D785">
            <w:pPr>
              <w:widowControl/>
              <w:jc w:val="left"/>
              <w:rPr>
                <w:kern w:val="0"/>
                <w:szCs w:val="21"/>
              </w:rPr>
            </w:pPr>
          </w:p>
        </w:tc>
        <w:tc>
          <w:tcPr>
            <w:tcW w:w="2336" w:type="pct"/>
            <w:vAlign w:val="center"/>
          </w:tcPr>
          <w:p w14:paraId="71ACBB20">
            <w:pPr>
              <w:widowControl/>
              <w:adjustRightInd w:val="0"/>
              <w:snapToGrid w:val="0"/>
              <w:jc w:val="left"/>
              <w:rPr>
                <w:kern w:val="0"/>
                <w:szCs w:val="21"/>
              </w:rPr>
            </w:pPr>
            <w:r>
              <w:rPr>
                <w:kern w:val="0"/>
                <w:szCs w:val="21"/>
              </w:rPr>
              <w:t>其他高温或高压，且涉及危险物质的工艺过程</w:t>
            </w:r>
            <w:r>
              <w:rPr>
                <w:kern w:val="0"/>
                <w:szCs w:val="21"/>
                <w:vertAlign w:val="superscript"/>
              </w:rPr>
              <w:t>a</w:t>
            </w:r>
            <w:r>
              <w:rPr>
                <w:kern w:val="0"/>
                <w:szCs w:val="21"/>
              </w:rPr>
              <w:t>、危险物质贮存储罐</w:t>
            </w:r>
          </w:p>
        </w:tc>
        <w:tc>
          <w:tcPr>
            <w:tcW w:w="617" w:type="pct"/>
            <w:vAlign w:val="center"/>
          </w:tcPr>
          <w:p w14:paraId="3E4FB69D">
            <w:pPr>
              <w:widowControl/>
              <w:adjustRightInd w:val="0"/>
              <w:snapToGrid w:val="0"/>
              <w:jc w:val="center"/>
              <w:rPr>
                <w:kern w:val="0"/>
                <w:szCs w:val="21"/>
              </w:rPr>
            </w:pPr>
            <w:r>
              <w:rPr>
                <w:kern w:val="0"/>
                <w:szCs w:val="21"/>
              </w:rPr>
              <w:t>5/套（罐区）</w:t>
            </w:r>
          </w:p>
        </w:tc>
        <w:tc>
          <w:tcPr>
            <w:tcW w:w="612" w:type="pct"/>
            <w:vAlign w:val="center"/>
          </w:tcPr>
          <w:p w14:paraId="09988D9A">
            <w:pPr>
              <w:widowControl/>
              <w:adjustRightInd w:val="0"/>
              <w:snapToGrid w:val="0"/>
              <w:jc w:val="center"/>
              <w:rPr>
                <w:rFonts w:hint="default" w:eastAsia="宋体"/>
                <w:kern w:val="0"/>
                <w:szCs w:val="21"/>
                <w:lang w:val="en-US" w:eastAsia="zh-CN"/>
              </w:rPr>
            </w:pPr>
            <w:r>
              <w:rPr>
                <w:rFonts w:hint="eastAsia"/>
                <w:kern w:val="0"/>
                <w:szCs w:val="21"/>
                <w:lang w:val="en-US" w:eastAsia="zh-CN"/>
              </w:rPr>
              <w:t>新增一个丙酸罐、废液罐</w:t>
            </w:r>
          </w:p>
        </w:tc>
        <w:tc>
          <w:tcPr>
            <w:tcW w:w="612" w:type="pct"/>
            <w:vAlign w:val="center"/>
          </w:tcPr>
          <w:p w14:paraId="49DFEE11">
            <w:pPr>
              <w:widowControl/>
              <w:adjustRightInd w:val="0"/>
              <w:snapToGrid w:val="0"/>
              <w:jc w:val="center"/>
              <w:rPr>
                <w:rFonts w:hint="default" w:eastAsia="宋体"/>
                <w:kern w:val="0"/>
                <w:szCs w:val="21"/>
                <w:lang w:val="en-US" w:eastAsia="zh-CN"/>
              </w:rPr>
            </w:pPr>
            <w:r>
              <w:rPr>
                <w:rFonts w:hint="eastAsia"/>
                <w:kern w:val="0"/>
                <w:szCs w:val="21"/>
                <w:lang w:val="en-US" w:eastAsia="zh-CN"/>
              </w:rPr>
              <w:t>10</w:t>
            </w:r>
          </w:p>
        </w:tc>
      </w:tr>
      <w:tr w14:paraId="786B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14:paraId="57030A88">
            <w:pPr>
              <w:widowControl/>
              <w:adjustRightInd w:val="0"/>
              <w:snapToGrid w:val="0"/>
              <w:jc w:val="left"/>
              <w:rPr>
                <w:kern w:val="0"/>
                <w:szCs w:val="21"/>
              </w:rPr>
            </w:pPr>
            <w:r>
              <w:rPr>
                <w:kern w:val="0"/>
                <w:szCs w:val="21"/>
              </w:rPr>
              <w:t>管道、港口/码头等</w:t>
            </w:r>
          </w:p>
        </w:tc>
        <w:tc>
          <w:tcPr>
            <w:tcW w:w="2336" w:type="pct"/>
            <w:vAlign w:val="center"/>
          </w:tcPr>
          <w:p w14:paraId="71C6E36F">
            <w:pPr>
              <w:widowControl/>
              <w:adjustRightInd w:val="0"/>
              <w:snapToGrid w:val="0"/>
              <w:jc w:val="left"/>
              <w:rPr>
                <w:kern w:val="0"/>
                <w:szCs w:val="21"/>
              </w:rPr>
            </w:pPr>
            <w:r>
              <w:rPr>
                <w:kern w:val="0"/>
                <w:szCs w:val="21"/>
              </w:rPr>
              <w:t>涉及危险物质管道运输项目、港口/码头等</w:t>
            </w:r>
          </w:p>
        </w:tc>
        <w:tc>
          <w:tcPr>
            <w:tcW w:w="617" w:type="pct"/>
            <w:vAlign w:val="center"/>
          </w:tcPr>
          <w:p w14:paraId="557E4918">
            <w:pPr>
              <w:widowControl/>
              <w:adjustRightInd w:val="0"/>
              <w:snapToGrid w:val="0"/>
              <w:jc w:val="center"/>
              <w:rPr>
                <w:kern w:val="0"/>
                <w:szCs w:val="21"/>
              </w:rPr>
            </w:pPr>
            <w:r>
              <w:rPr>
                <w:kern w:val="0"/>
                <w:szCs w:val="21"/>
              </w:rPr>
              <w:t>10</w:t>
            </w:r>
          </w:p>
        </w:tc>
        <w:tc>
          <w:tcPr>
            <w:tcW w:w="612" w:type="pct"/>
            <w:vAlign w:val="center"/>
          </w:tcPr>
          <w:p w14:paraId="5C425B58">
            <w:pPr>
              <w:widowControl/>
              <w:adjustRightInd w:val="0"/>
              <w:snapToGrid w:val="0"/>
              <w:jc w:val="center"/>
              <w:rPr>
                <w:rFonts w:hint="eastAsia" w:eastAsia="宋体"/>
                <w:kern w:val="0"/>
                <w:szCs w:val="21"/>
                <w:lang w:val="en-US" w:eastAsia="zh-CN"/>
              </w:rPr>
            </w:pPr>
            <w:r>
              <w:rPr>
                <w:rFonts w:hint="eastAsia"/>
                <w:kern w:val="0"/>
                <w:szCs w:val="21"/>
                <w:lang w:val="en-US" w:eastAsia="zh-CN"/>
              </w:rPr>
              <w:t>/</w:t>
            </w:r>
          </w:p>
        </w:tc>
        <w:tc>
          <w:tcPr>
            <w:tcW w:w="612" w:type="pct"/>
            <w:vAlign w:val="center"/>
          </w:tcPr>
          <w:p w14:paraId="2BF1082B">
            <w:pPr>
              <w:widowControl/>
              <w:adjustRightInd w:val="0"/>
              <w:snapToGrid w:val="0"/>
              <w:jc w:val="center"/>
              <w:rPr>
                <w:rFonts w:hint="eastAsia" w:eastAsia="宋体"/>
                <w:kern w:val="0"/>
                <w:szCs w:val="21"/>
                <w:lang w:val="en-US" w:eastAsia="zh-CN"/>
              </w:rPr>
            </w:pPr>
            <w:r>
              <w:rPr>
                <w:rFonts w:hint="eastAsia"/>
                <w:kern w:val="0"/>
                <w:szCs w:val="21"/>
                <w:lang w:val="en-US" w:eastAsia="zh-CN"/>
              </w:rPr>
              <w:t>0</w:t>
            </w:r>
          </w:p>
        </w:tc>
      </w:tr>
      <w:tr w14:paraId="1731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14:paraId="7EFA6B19">
            <w:pPr>
              <w:widowControl/>
              <w:adjustRightInd w:val="0"/>
              <w:snapToGrid w:val="0"/>
              <w:jc w:val="left"/>
              <w:rPr>
                <w:kern w:val="0"/>
                <w:szCs w:val="21"/>
              </w:rPr>
            </w:pPr>
            <w:r>
              <w:rPr>
                <w:kern w:val="0"/>
                <w:szCs w:val="21"/>
              </w:rPr>
              <w:t>石油天然气</w:t>
            </w:r>
          </w:p>
        </w:tc>
        <w:tc>
          <w:tcPr>
            <w:tcW w:w="2336" w:type="pct"/>
            <w:vAlign w:val="center"/>
          </w:tcPr>
          <w:p w14:paraId="7D54B4C3">
            <w:pPr>
              <w:widowControl/>
              <w:adjustRightInd w:val="0"/>
              <w:snapToGrid w:val="0"/>
              <w:jc w:val="left"/>
              <w:rPr>
                <w:kern w:val="0"/>
                <w:szCs w:val="21"/>
              </w:rPr>
            </w:pPr>
            <w:r>
              <w:rPr>
                <w:kern w:val="0"/>
                <w:szCs w:val="21"/>
              </w:rPr>
              <w:t>石油、天然气、页岩气开采（含净化），气库（不含加气站的气库），油库（不含加气站的油库）、油气管线</w:t>
            </w:r>
            <w:r>
              <w:rPr>
                <w:kern w:val="0"/>
                <w:szCs w:val="21"/>
                <w:vertAlign w:val="superscript"/>
              </w:rPr>
              <w:t>b</w:t>
            </w:r>
            <w:r>
              <w:rPr>
                <w:kern w:val="0"/>
                <w:szCs w:val="21"/>
              </w:rPr>
              <w:t>（不含城镇燃气管线）</w:t>
            </w:r>
          </w:p>
        </w:tc>
        <w:tc>
          <w:tcPr>
            <w:tcW w:w="617" w:type="pct"/>
            <w:vAlign w:val="center"/>
          </w:tcPr>
          <w:p w14:paraId="1553543E">
            <w:pPr>
              <w:widowControl/>
              <w:adjustRightInd w:val="0"/>
              <w:snapToGrid w:val="0"/>
              <w:jc w:val="center"/>
              <w:rPr>
                <w:kern w:val="0"/>
                <w:szCs w:val="21"/>
              </w:rPr>
            </w:pPr>
            <w:r>
              <w:rPr>
                <w:kern w:val="0"/>
                <w:szCs w:val="21"/>
              </w:rPr>
              <w:t>10</w:t>
            </w:r>
          </w:p>
        </w:tc>
        <w:tc>
          <w:tcPr>
            <w:tcW w:w="612" w:type="pct"/>
            <w:vAlign w:val="center"/>
          </w:tcPr>
          <w:p w14:paraId="0021CE5A">
            <w:pPr>
              <w:widowControl/>
              <w:adjustRightInd w:val="0"/>
              <w:snapToGrid w:val="0"/>
              <w:jc w:val="center"/>
              <w:rPr>
                <w:rFonts w:hint="eastAsia" w:eastAsia="宋体"/>
                <w:kern w:val="0"/>
                <w:szCs w:val="21"/>
                <w:lang w:val="en-US" w:eastAsia="zh-CN"/>
              </w:rPr>
            </w:pPr>
            <w:r>
              <w:rPr>
                <w:rFonts w:hint="eastAsia"/>
                <w:kern w:val="0"/>
                <w:szCs w:val="21"/>
                <w:lang w:val="en-US" w:eastAsia="zh-CN"/>
              </w:rPr>
              <w:t>/</w:t>
            </w:r>
          </w:p>
        </w:tc>
        <w:tc>
          <w:tcPr>
            <w:tcW w:w="612" w:type="pct"/>
            <w:vAlign w:val="center"/>
          </w:tcPr>
          <w:p w14:paraId="4AD45B81">
            <w:pPr>
              <w:widowControl/>
              <w:adjustRightInd w:val="0"/>
              <w:snapToGrid w:val="0"/>
              <w:jc w:val="center"/>
              <w:rPr>
                <w:rFonts w:hint="eastAsia" w:eastAsia="宋体"/>
                <w:kern w:val="0"/>
                <w:szCs w:val="21"/>
                <w:lang w:val="en-US" w:eastAsia="zh-CN"/>
              </w:rPr>
            </w:pPr>
            <w:r>
              <w:rPr>
                <w:rFonts w:hint="eastAsia"/>
                <w:kern w:val="0"/>
                <w:szCs w:val="21"/>
                <w:lang w:val="en-US" w:eastAsia="zh-CN"/>
              </w:rPr>
              <w:t>0</w:t>
            </w:r>
          </w:p>
        </w:tc>
      </w:tr>
      <w:tr w14:paraId="0B37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vAlign w:val="center"/>
          </w:tcPr>
          <w:p w14:paraId="2193DD5D">
            <w:pPr>
              <w:widowControl/>
              <w:adjustRightInd w:val="0"/>
              <w:snapToGrid w:val="0"/>
              <w:jc w:val="left"/>
              <w:rPr>
                <w:kern w:val="0"/>
                <w:szCs w:val="21"/>
              </w:rPr>
            </w:pPr>
            <w:r>
              <w:rPr>
                <w:kern w:val="0"/>
                <w:szCs w:val="21"/>
              </w:rPr>
              <w:t>其他</w:t>
            </w:r>
          </w:p>
        </w:tc>
        <w:tc>
          <w:tcPr>
            <w:tcW w:w="2336" w:type="pct"/>
            <w:vAlign w:val="center"/>
          </w:tcPr>
          <w:p w14:paraId="13EB4608">
            <w:pPr>
              <w:widowControl/>
              <w:adjustRightInd w:val="0"/>
              <w:snapToGrid w:val="0"/>
              <w:jc w:val="left"/>
              <w:rPr>
                <w:kern w:val="0"/>
                <w:szCs w:val="21"/>
              </w:rPr>
            </w:pPr>
            <w:r>
              <w:rPr>
                <w:kern w:val="0"/>
                <w:szCs w:val="21"/>
              </w:rPr>
              <w:t>涉及危险物质使用、贮存的项目</w:t>
            </w:r>
          </w:p>
        </w:tc>
        <w:tc>
          <w:tcPr>
            <w:tcW w:w="617" w:type="pct"/>
            <w:vAlign w:val="center"/>
          </w:tcPr>
          <w:p w14:paraId="30AE21A5">
            <w:pPr>
              <w:widowControl/>
              <w:adjustRightInd w:val="0"/>
              <w:snapToGrid w:val="0"/>
              <w:jc w:val="center"/>
              <w:rPr>
                <w:kern w:val="0"/>
                <w:szCs w:val="21"/>
              </w:rPr>
            </w:pPr>
            <w:r>
              <w:rPr>
                <w:kern w:val="0"/>
                <w:szCs w:val="21"/>
              </w:rPr>
              <w:t>5</w:t>
            </w:r>
          </w:p>
        </w:tc>
        <w:tc>
          <w:tcPr>
            <w:tcW w:w="612" w:type="pct"/>
            <w:vAlign w:val="center"/>
          </w:tcPr>
          <w:p w14:paraId="2C2D79F2">
            <w:pPr>
              <w:widowControl/>
              <w:adjustRightInd w:val="0"/>
              <w:snapToGrid w:val="0"/>
              <w:jc w:val="center"/>
              <w:rPr>
                <w:rFonts w:hint="eastAsia" w:eastAsia="宋体"/>
                <w:kern w:val="0"/>
                <w:szCs w:val="21"/>
                <w:lang w:val="en-US" w:eastAsia="zh-CN"/>
              </w:rPr>
            </w:pPr>
            <w:r>
              <w:rPr>
                <w:rFonts w:hint="eastAsia"/>
                <w:kern w:val="0"/>
                <w:szCs w:val="21"/>
                <w:lang w:val="en-US" w:eastAsia="zh-CN"/>
              </w:rPr>
              <w:t>/</w:t>
            </w:r>
          </w:p>
        </w:tc>
        <w:tc>
          <w:tcPr>
            <w:tcW w:w="612" w:type="pct"/>
            <w:vAlign w:val="center"/>
          </w:tcPr>
          <w:p w14:paraId="222A6043">
            <w:pPr>
              <w:widowControl/>
              <w:adjustRightInd w:val="0"/>
              <w:snapToGrid w:val="0"/>
              <w:jc w:val="center"/>
              <w:rPr>
                <w:rFonts w:hint="eastAsia" w:eastAsia="宋体"/>
                <w:kern w:val="0"/>
                <w:szCs w:val="21"/>
                <w:lang w:val="en-US" w:eastAsia="zh-CN"/>
              </w:rPr>
            </w:pPr>
            <w:r>
              <w:rPr>
                <w:rFonts w:hint="eastAsia"/>
                <w:kern w:val="0"/>
                <w:szCs w:val="21"/>
                <w:lang w:val="en-US" w:eastAsia="zh-CN"/>
              </w:rPr>
              <w:t>0</w:t>
            </w:r>
          </w:p>
        </w:tc>
      </w:tr>
      <w:tr w14:paraId="59A7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7" w:type="pct"/>
            <w:gridSpan w:val="4"/>
            <w:vAlign w:val="center"/>
          </w:tcPr>
          <w:p w14:paraId="70C390E8">
            <w:pPr>
              <w:widowControl/>
              <w:adjustRightInd w:val="0"/>
              <w:snapToGrid w:val="0"/>
              <w:jc w:val="center"/>
              <w:rPr>
                <w:rFonts w:hint="eastAsia"/>
                <w:kern w:val="0"/>
                <w:szCs w:val="21"/>
                <w:lang w:val="en-US" w:eastAsia="zh-CN"/>
              </w:rPr>
            </w:pPr>
            <w:r>
              <w:rPr>
                <w:rFonts w:hint="eastAsia"/>
                <w:kern w:val="0"/>
                <w:szCs w:val="21"/>
                <w:lang w:val="en-US" w:eastAsia="zh-CN"/>
              </w:rPr>
              <w:t>合计</w:t>
            </w:r>
          </w:p>
        </w:tc>
        <w:tc>
          <w:tcPr>
            <w:tcW w:w="612" w:type="pct"/>
            <w:vAlign w:val="center"/>
          </w:tcPr>
          <w:p w14:paraId="2337B45F">
            <w:pPr>
              <w:widowControl/>
              <w:adjustRightInd w:val="0"/>
              <w:snapToGrid w:val="0"/>
              <w:jc w:val="center"/>
              <w:rPr>
                <w:rFonts w:hint="default" w:eastAsia="宋体"/>
                <w:kern w:val="0"/>
                <w:szCs w:val="21"/>
                <w:lang w:val="en-US" w:eastAsia="zh-CN"/>
              </w:rPr>
            </w:pPr>
            <w:r>
              <w:rPr>
                <w:rFonts w:hint="eastAsia"/>
                <w:kern w:val="0"/>
                <w:szCs w:val="21"/>
                <w:lang w:val="en-US" w:eastAsia="zh-CN"/>
              </w:rPr>
              <w:t>10</w:t>
            </w:r>
          </w:p>
        </w:tc>
      </w:tr>
      <w:tr w14:paraId="51F9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25572F50">
            <w:pPr>
              <w:widowControl/>
              <w:adjustRightInd w:val="0"/>
              <w:snapToGrid w:val="0"/>
              <w:jc w:val="left"/>
              <w:rPr>
                <w:kern w:val="0"/>
                <w:szCs w:val="21"/>
              </w:rPr>
            </w:pPr>
            <w:r>
              <w:rPr>
                <w:kern w:val="0"/>
                <w:szCs w:val="21"/>
              </w:rPr>
              <w:t>a：高温值工艺温度≥300</w:t>
            </w:r>
            <w:r>
              <w:rPr>
                <w:rFonts w:hint="eastAsia" w:ascii="宋体" w:hAnsi="宋体" w:cs="宋体"/>
                <w:kern w:val="0"/>
                <w:szCs w:val="21"/>
              </w:rPr>
              <w:t>℃</w:t>
            </w:r>
            <w:r>
              <w:rPr>
                <w:kern w:val="0"/>
                <w:szCs w:val="21"/>
              </w:rPr>
              <w:t>，高压指压力容器的设计压力（P）≥10.0MPa；</w:t>
            </w:r>
          </w:p>
          <w:p w14:paraId="02823E99">
            <w:pPr>
              <w:widowControl/>
              <w:adjustRightInd w:val="0"/>
              <w:snapToGrid w:val="0"/>
              <w:jc w:val="left"/>
              <w:rPr>
                <w:kern w:val="0"/>
                <w:szCs w:val="21"/>
              </w:rPr>
            </w:pPr>
            <w:r>
              <w:rPr>
                <w:kern w:val="0"/>
                <w:szCs w:val="21"/>
              </w:rPr>
              <w:t>b：长输管道运输项目应按站场、管线分段进行评价。</w:t>
            </w:r>
          </w:p>
          <w:p w14:paraId="53FC91CB">
            <w:pPr>
              <w:widowControl/>
              <w:adjustRightInd w:val="0"/>
              <w:snapToGrid w:val="0"/>
              <w:jc w:val="left"/>
              <w:rPr>
                <w:kern w:val="0"/>
                <w:szCs w:val="21"/>
              </w:rPr>
            </w:pPr>
            <w:r>
              <w:rPr>
                <w:kern w:val="0"/>
                <w:szCs w:val="21"/>
              </w:rPr>
              <w:t>M1：M＞20；M2：10＜M≤20；M3：5＜M≤10；M4：M=5。</w:t>
            </w:r>
          </w:p>
        </w:tc>
      </w:tr>
    </w:tbl>
    <w:p w14:paraId="79378A6E">
      <w:pPr>
        <w:widowControl/>
        <w:spacing w:line="500" w:lineRule="exact"/>
        <w:ind w:firstLine="480"/>
        <w:jc w:val="left"/>
        <w:rPr>
          <w:kern w:val="0"/>
          <w:sz w:val="24"/>
        </w:rPr>
      </w:pPr>
      <w:r>
        <w:rPr>
          <w:kern w:val="0"/>
          <w:sz w:val="24"/>
        </w:rPr>
        <w:t>根据表2.1-</w:t>
      </w:r>
      <w:r>
        <w:rPr>
          <w:rFonts w:hint="eastAsia"/>
          <w:kern w:val="0"/>
          <w:sz w:val="24"/>
          <w:lang w:val="en-US" w:eastAsia="zh-CN"/>
        </w:rPr>
        <w:t>2</w:t>
      </w:r>
      <w:r>
        <w:rPr>
          <w:kern w:val="0"/>
          <w:sz w:val="24"/>
        </w:rPr>
        <w:t>，项目M值为</w:t>
      </w:r>
      <w:r>
        <w:rPr>
          <w:rFonts w:hint="eastAsia"/>
          <w:kern w:val="0"/>
          <w:sz w:val="24"/>
          <w:lang w:val="en-US" w:eastAsia="zh-CN"/>
        </w:rPr>
        <w:t>10</w:t>
      </w:r>
      <w:r>
        <w:rPr>
          <w:kern w:val="0"/>
          <w:sz w:val="24"/>
        </w:rPr>
        <w:t>，属于M</w:t>
      </w:r>
      <w:r>
        <w:rPr>
          <w:rFonts w:hint="eastAsia"/>
          <w:kern w:val="0"/>
          <w:sz w:val="24"/>
          <w:lang w:val="en-US" w:eastAsia="zh-CN"/>
        </w:rPr>
        <w:t>3</w:t>
      </w:r>
      <w:r>
        <w:rPr>
          <w:kern w:val="0"/>
          <w:sz w:val="24"/>
        </w:rPr>
        <w:t>级别。</w:t>
      </w:r>
    </w:p>
    <w:p w14:paraId="5EE3D994">
      <w:pPr>
        <w:widowControl/>
        <w:spacing w:line="500" w:lineRule="exact"/>
        <w:ind w:firstLine="480"/>
        <w:jc w:val="left"/>
        <w:rPr>
          <w:kern w:val="0"/>
          <w:sz w:val="24"/>
        </w:rPr>
      </w:pPr>
      <w:r>
        <w:rPr>
          <w:kern w:val="0"/>
          <w:sz w:val="24"/>
        </w:rPr>
        <w:t>3．危险物质及工艺系统危险性分级</w:t>
      </w:r>
    </w:p>
    <w:p w14:paraId="25CF9BE3">
      <w:pPr>
        <w:widowControl/>
        <w:spacing w:line="500" w:lineRule="exact"/>
        <w:ind w:firstLine="480"/>
        <w:jc w:val="left"/>
        <w:rPr>
          <w:kern w:val="0"/>
          <w:sz w:val="24"/>
        </w:rPr>
      </w:pPr>
      <w:r>
        <w:rPr>
          <w:kern w:val="0"/>
          <w:sz w:val="24"/>
        </w:rPr>
        <w:t>项目危险物质及工艺系统危险性判定详见表2.1-</w:t>
      </w:r>
      <w:r>
        <w:rPr>
          <w:rFonts w:hint="eastAsia"/>
          <w:kern w:val="0"/>
          <w:sz w:val="24"/>
          <w:lang w:val="en-US" w:eastAsia="zh-CN"/>
        </w:rPr>
        <w:t>3</w:t>
      </w:r>
      <w:r>
        <w:rPr>
          <w:kern w:val="0"/>
          <w:sz w:val="24"/>
        </w:rPr>
        <w:t>。</w:t>
      </w:r>
    </w:p>
    <w:p w14:paraId="01EA048F">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3</w:t>
      </w:r>
      <w:r>
        <w:rPr>
          <w:b/>
          <w:kern w:val="0"/>
          <w:sz w:val="24"/>
        </w:rPr>
        <w:t xml:space="preserve">  危险物质及工艺系统危险性等级判断（P）</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0A1C7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4056E8E0">
            <w:pPr>
              <w:widowControl/>
              <w:adjustRightInd w:val="0"/>
              <w:snapToGrid w:val="0"/>
              <w:jc w:val="center"/>
              <w:rPr>
                <w:kern w:val="0"/>
                <w:szCs w:val="21"/>
              </w:rPr>
            </w:pPr>
            <w:r>
              <w:rPr>
                <w:kern w:val="0"/>
                <w:szCs w:val="21"/>
              </w:rPr>
              <w:t>危险物质数量与临界量比值（Q）</w:t>
            </w:r>
          </w:p>
        </w:tc>
        <w:tc>
          <w:tcPr>
            <w:tcW w:w="6765" w:type="dxa"/>
            <w:gridSpan w:val="4"/>
            <w:vAlign w:val="center"/>
          </w:tcPr>
          <w:p w14:paraId="0F5B71E0">
            <w:pPr>
              <w:widowControl/>
              <w:adjustRightInd w:val="0"/>
              <w:snapToGrid w:val="0"/>
              <w:jc w:val="center"/>
              <w:rPr>
                <w:kern w:val="0"/>
                <w:szCs w:val="21"/>
              </w:rPr>
            </w:pPr>
            <w:r>
              <w:rPr>
                <w:kern w:val="0"/>
                <w:szCs w:val="21"/>
              </w:rPr>
              <w:t>行业及生产工艺（M）</w:t>
            </w:r>
          </w:p>
        </w:tc>
      </w:tr>
      <w:tr w14:paraId="00DF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40B14911">
            <w:pPr>
              <w:widowControl/>
              <w:jc w:val="left"/>
              <w:rPr>
                <w:kern w:val="0"/>
                <w:szCs w:val="21"/>
              </w:rPr>
            </w:pPr>
          </w:p>
        </w:tc>
        <w:tc>
          <w:tcPr>
            <w:tcW w:w="1691" w:type="dxa"/>
            <w:vAlign w:val="center"/>
          </w:tcPr>
          <w:p w14:paraId="21CFC333">
            <w:pPr>
              <w:widowControl/>
              <w:adjustRightInd w:val="0"/>
              <w:snapToGrid w:val="0"/>
              <w:jc w:val="center"/>
              <w:rPr>
                <w:kern w:val="0"/>
                <w:szCs w:val="21"/>
              </w:rPr>
            </w:pPr>
            <w:r>
              <w:rPr>
                <w:kern w:val="0"/>
                <w:szCs w:val="21"/>
              </w:rPr>
              <w:t>M1</w:t>
            </w:r>
          </w:p>
        </w:tc>
        <w:tc>
          <w:tcPr>
            <w:tcW w:w="1691" w:type="dxa"/>
            <w:vAlign w:val="center"/>
          </w:tcPr>
          <w:p w14:paraId="1C999F1A">
            <w:pPr>
              <w:widowControl/>
              <w:adjustRightInd w:val="0"/>
              <w:snapToGrid w:val="0"/>
              <w:jc w:val="center"/>
              <w:rPr>
                <w:kern w:val="0"/>
                <w:szCs w:val="21"/>
              </w:rPr>
            </w:pPr>
            <w:r>
              <w:rPr>
                <w:kern w:val="0"/>
                <w:szCs w:val="21"/>
              </w:rPr>
              <w:t>M2</w:t>
            </w:r>
          </w:p>
        </w:tc>
        <w:tc>
          <w:tcPr>
            <w:tcW w:w="1691" w:type="dxa"/>
            <w:tcBorders>
              <w:bottom w:val="single" w:color="000000" w:sz="4" w:space="0"/>
            </w:tcBorders>
            <w:vAlign w:val="center"/>
          </w:tcPr>
          <w:p w14:paraId="14673516">
            <w:pPr>
              <w:widowControl/>
              <w:adjustRightInd w:val="0"/>
              <w:snapToGrid w:val="0"/>
              <w:jc w:val="center"/>
              <w:rPr>
                <w:kern w:val="0"/>
                <w:szCs w:val="21"/>
              </w:rPr>
            </w:pPr>
            <w:r>
              <w:rPr>
                <w:kern w:val="0"/>
                <w:szCs w:val="21"/>
              </w:rPr>
              <w:t>M3</w:t>
            </w:r>
          </w:p>
        </w:tc>
        <w:tc>
          <w:tcPr>
            <w:tcW w:w="1692" w:type="dxa"/>
            <w:tcBorders>
              <w:bottom w:val="single" w:color="000000" w:sz="4" w:space="0"/>
            </w:tcBorders>
            <w:vAlign w:val="center"/>
          </w:tcPr>
          <w:p w14:paraId="1FE08C76">
            <w:pPr>
              <w:widowControl/>
              <w:adjustRightInd w:val="0"/>
              <w:snapToGrid w:val="0"/>
              <w:jc w:val="center"/>
              <w:rPr>
                <w:kern w:val="0"/>
                <w:szCs w:val="21"/>
              </w:rPr>
            </w:pPr>
            <w:r>
              <w:rPr>
                <w:kern w:val="0"/>
                <w:szCs w:val="21"/>
              </w:rPr>
              <w:t>M4</w:t>
            </w:r>
          </w:p>
        </w:tc>
      </w:tr>
      <w:tr w14:paraId="798BE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shd w:val="clear" w:color="auto" w:fill="auto"/>
            <w:vAlign w:val="center"/>
          </w:tcPr>
          <w:p w14:paraId="7931746B">
            <w:pPr>
              <w:widowControl/>
              <w:adjustRightInd w:val="0"/>
              <w:snapToGrid w:val="0"/>
              <w:jc w:val="center"/>
              <w:rPr>
                <w:kern w:val="0"/>
                <w:szCs w:val="21"/>
              </w:rPr>
            </w:pPr>
            <w:r>
              <w:rPr>
                <w:kern w:val="0"/>
                <w:szCs w:val="21"/>
              </w:rPr>
              <w:t>Q≥100</w:t>
            </w:r>
          </w:p>
        </w:tc>
        <w:tc>
          <w:tcPr>
            <w:tcW w:w="1691" w:type="dxa"/>
            <w:shd w:val="clear" w:color="auto" w:fill="auto"/>
            <w:vAlign w:val="center"/>
          </w:tcPr>
          <w:p w14:paraId="74F44AF8">
            <w:pPr>
              <w:widowControl/>
              <w:adjustRightInd w:val="0"/>
              <w:snapToGrid w:val="0"/>
              <w:jc w:val="center"/>
              <w:rPr>
                <w:kern w:val="0"/>
                <w:szCs w:val="21"/>
              </w:rPr>
            </w:pPr>
            <w:r>
              <w:rPr>
                <w:kern w:val="0"/>
                <w:szCs w:val="21"/>
              </w:rPr>
              <w:t>P1</w:t>
            </w:r>
          </w:p>
        </w:tc>
        <w:tc>
          <w:tcPr>
            <w:tcW w:w="1691" w:type="dxa"/>
            <w:shd w:val="clear" w:color="auto" w:fill="auto"/>
            <w:vAlign w:val="center"/>
          </w:tcPr>
          <w:p w14:paraId="7B1AFA95">
            <w:pPr>
              <w:widowControl/>
              <w:adjustRightInd w:val="0"/>
              <w:snapToGrid w:val="0"/>
              <w:jc w:val="center"/>
              <w:rPr>
                <w:kern w:val="0"/>
                <w:szCs w:val="21"/>
              </w:rPr>
            </w:pPr>
            <w:r>
              <w:rPr>
                <w:kern w:val="0"/>
                <w:szCs w:val="21"/>
              </w:rPr>
              <w:t>P1</w:t>
            </w:r>
          </w:p>
        </w:tc>
        <w:tc>
          <w:tcPr>
            <w:tcW w:w="1691" w:type="dxa"/>
            <w:shd w:val="clear" w:color="auto" w:fill="BEBEBE" w:themeFill="background1" w:themeFillShade="BF"/>
            <w:vAlign w:val="center"/>
          </w:tcPr>
          <w:p w14:paraId="0C1D1423">
            <w:pPr>
              <w:widowControl/>
              <w:adjustRightInd w:val="0"/>
              <w:snapToGrid w:val="0"/>
              <w:jc w:val="center"/>
              <w:rPr>
                <w:kern w:val="0"/>
                <w:szCs w:val="21"/>
              </w:rPr>
            </w:pPr>
            <w:r>
              <w:rPr>
                <w:kern w:val="0"/>
                <w:szCs w:val="21"/>
              </w:rPr>
              <w:t>P2</w:t>
            </w:r>
          </w:p>
        </w:tc>
        <w:tc>
          <w:tcPr>
            <w:tcW w:w="1692" w:type="dxa"/>
            <w:tcBorders>
              <w:bottom w:val="single" w:color="000000" w:sz="4" w:space="0"/>
            </w:tcBorders>
            <w:shd w:val="clear" w:color="auto" w:fill="auto"/>
            <w:vAlign w:val="center"/>
          </w:tcPr>
          <w:p w14:paraId="313FF9A0">
            <w:pPr>
              <w:widowControl/>
              <w:adjustRightInd w:val="0"/>
              <w:snapToGrid w:val="0"/>
              <w:jc w:val="center"/>
              <w:rPr>
                <w:kern w:val="0"/>
                <w:szCs w:val="21"/>
              </w:rPr>
            </w:pPr>
            <w:r>
              <w:rPr>
                <w:kern w:val="0"/>
                <w:szCs w:val="21"/>
              </w:rPr>
              <w:t>P3</w:t>
            </w:r>
          </w:p>
        </w:tc>
      </w:tr>
      <w:tr w14:paraId="7998D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shd w:val="clear" w:color="auto" w:fill="auto"/>
            <w:vAlign w:val="center"/>
          </w:tcPr>
          <w:p w14:paraId="0561CFA2">
            <w:pPr>
              <w:widowControl/>
              <w:adjustRightInd w:val="0"/>
              <w:snapToGrid w:val="0"/>
              <w:jc w:val="center"/>
              <w:rPr>
                <w:kern w:val="0"/>
                <w:szCs w:val="21"/>
              </w:rPr>
            </w:pPr>
            <w:r>
              <w:rPr>
                <w:kern w:val="0"/>
                <w:szCs w:val="21"/>
              </w:rPr>
              <w:t>10≤Q≤100</w:t>
            </w:r>
          </w:p>
        </w:tc>
        <w:tc>
          <w:tcPr>
            <w:tcW w:w="1691" w:type="dxa"/>
            <w:shd w:val="clear" w:color="auto" w:fill="FFFFFF"/>
            <w:vAlign w:val="center"/>
          </w:tcPr>
          <w:p w14:paraId="2F4F70B2">
            <w:pPr>
              <w:widowControl/>
              <w:adjustRightInd w:val="0"/>
              <w:snapToGrid w:val="0"/>
              <w:jc w:val="center"/>
              <w:rPr>
                <w:kern w:val="0"/>
                <w:szCs w:val="21"/>
              </w:rPr>
            </w:pPr>
            <w:r>
              <w:rPr>
                <w:kern w:val="0"/>
                <w:szCs w:val="21"/>
              </w:rPr>
              <w:t>P1</w:t>
            </w:r>
          </w:p>
        </w:tc>
        <w:tc>
          <w:tcPr>
            <w:tcW w:w="1691" w:type="dxa"/>
            <w:vAlign w:val="center"/>
          </w:tcPr>
          <w:p w14:paraId="3B2A5B53">
            <w:pPr>
              <w:widowControl/>
              <w:adjustRightInd w:val="0"/>
              <w:snapToGrid w:val="0"/>
              <w:jc w:val="center"/>
              <w:rPr>
                <w:kern w:val="0"/>
                <w:szCs w:val="21"/>
              </w:rPr>
            </w:pPr>
            <w:r>
              <w:rPr>
                <w:kern w:val="0"/>
                <w:szCs w:val="21"/>
              </w:rPr>
              <w:t>P2</w:t>
            </w:r>
          </w:p>
        </w:tc>
        <w:tc>
          <w:tcPr>
            <w:tcW w:w="1691" w:type="dxa"/>
            <w:vAlign w:val="center"/>
          </w:tcPr>
          <w:p w14:paraId="549A6A1B">
            <w:pPr>
              <w:widowControl/>
              <w:adjustRightInd w:val="0"/>
              <w:snapToGrid w:val="0"/>
              <w:jc w:val="center"/>
              <w:rPr>
                <w:kern w:val="0"/>
                <w:szCs w:val="21"/>
              </w:rPr>
            </w:pPr>
            <w:r>
              <w:rPr>
                <w:kern w:val="0"/>
                <w:szCs w:val="21"/>
              </w:rPr>
              <w:t>P3</w:t>
            </w:r>
          </w:p>
        </w:tc>
        <w:tc>
          <w:tcPr>
            <w:tcW w:w="1692" w:type="dxa"/>
            <w:shd w:val="clear" w:color="auto" w:fill="auto"/>
            <w:vAlign w:val="center"/>
          </w:tcPr>
          <w:p w14:paraId="51CCF23B">
            <w:pPr>
              <w:widowControl/>
              <w:adjustRightInd w:val="0"/>
              <w:snapToGrid w:val="0"/>
              <w:jc w:val="center"/>
              <w:rPr>
                <w:kern w:val="0"/>
                <w:szCs w:val="21"/>
              </w:rPr>
            </w:pPr>
            <w:r>
              <w:rPr>
                <w:kern w:val="0"/>
                <w:szCs w:val="21"/>
              </w:rPr>
              <w:t>P4</w:t>
            </w:r>
          </w:p>
        </w:tc>
      </w:tr>
      <w:tr w14:paraId="1FC0F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6D443227">
            <w:pPr>
              <w:widowControl/>
              <w:adjustRightInd w:val="0"/>
              <w:snapToGrid w:val="0"/>
              <w:jc w:val="center"/>
              <w:rPr>
                <w:kern w:val="0"/>
                <w:szCs w:val="21"/>
              </w:rPr>
            </w:pPr>
            <w:r>
              <w:rPr>
                <w:kern w:val="0"/>
                <w:szCs w:val="21"/>
              </w:rPr>
              <w:t>1≤Q≤10</w:t>
            </w:r>
          </w:p>
        </w:tc>
        <w:tc>
          <w:tcPr>
            <w:tcW w:w="1691" w:type="dxa"/>
            <w:vAlign w:val="center"/>
          </w:tcPr>
          <w:p w14:paraId="0A7228FE">
            <w:pPr>
              <w:widowControl/>
              <w:adjustRightInd w:val="0"/>
              <w:snapToGrid w:val="0"/>
              <w:jc w:val="center"/>
              <w:rPr>
                <w:kern w:val="0"/>
                <w:szCs w:val="21"/>
              </w:rPr>
            </w:pPr>
            <w:r>
              <w:rPr>
                <w:kern w:val="0"/>
                <w:szCs w:val="21"/>
              </w:rPr>
              <w:t>P2</w:t>
            </w:r>
          </w:p>
        </w:tc>
        <w:tc>
          <w:tcPr>
            <w:tcW w:w="1691" w:type="dxa"/>
            <w:vAlign w:val="center"/>
          </w:tcPr>
          <w:p w14:paraId="6EF05B80">
            <w:pPr>
              <w:widowControl/>
              <w:adjustRightInd w:val="0"/>
              <w:snapToGrid w:val="0"/>
              <w:jc w:val="center"/>
              <w:rPr>
                <w:kern w:val="0"/>
                <w:szCs w:val="21"/>
              </w:rPr>
            </w:pPr>
            <w:r>
              <w:rPr>
                <w:kern w:val="0"/>
                <w:szCs w:val="21"/>
              </w:rPr>
              <w:t>P3</w:t>
            </w:r>
          </w:p>
        </w:tc>
        <w:tc>
          <w:tcPr>
            <w:tcW w:w="1691" w:type="dxa"/>
            <w:vAlign w:val="center"/>
          </w:tcPr>
          <w:p w14:paraId="13F377C9">
            <w:pPr>
              <w:widowControl/>
              <w:adjustRightInd w:val="0"/>
              <w:snapToGrid w:val="0"/>
              <w:jc w:val="center"/>
              <w:rPr>
                <w:kern w:val="0"/>
                <w:szCs w:val="21"/>
              </w:rPr>
            </w:pPr>
            <w:r>
              <w:rPr>
                <w:kern w:val="0"/>
                <w:szCs w:val="21"/>
              </w:rPr>
              <w:t>P4</w:t>
            </w:r>
          </w:p>
        </w:tc>
        <w:tc>
          <w:tcPr>
            <w:tcW w:w="1692" w:type="dxa"/>
            <w:vAlign w:val="center"/>
          </w:tcPr>
          <w:p w14:paraId="7EAAEA5A">
            <w:pPr>
              <w:widowControl/>
              <w:adjustRightInd w:val="0"/>
              <w:snapToGrid w:val="0"/>
              <w:jc w:val="center"/>
              <w:rPr>
                <w:kern w:val="0"/>
                <w:szCs w:val="21"/>
              </w:rPr>
            </w:pPr>
            <w:r>
              <w:rPr>
                <w:kern w:val="0"/>
                <w:szCs w:val="21"/>
              </w:rPr>
              <w:t>P4</w:t>
            </w:r>
          </w:p>
        </w:tc>
      </w:tr>
    </w:tbl>
    <w:p w14:paraId="27E64E64">
      <w:pPr>
        <w:widowControl/>
        <w:spacing w:line="500" w:lineRule="exact"/>
        <w:ind w:firstLine="480"/>
        <w:jc w:val="left"/>
        <w:rPr>
          <w:kern w:val="0"/>
          <w:sz w:val="24"/>
        </w:rPr>
      </w:pPr>
      <w:r>
        <w:rPr>
          <w:kern w:val="0"/>
          <w:sz w:val="24"/>
        </w:rPr>
        <w:t>综上分析，项目危险物质数量与临界量的比值Q=</w:t>
      </w:r>
      <w:r>
        <w:rPr>
          <w:rFonts w:hint="eastAsia"/>
          <w:kern w:val="0"/>
          <w:sz w:val="24"/>
        </w:rPr>
        <w:t>160.6342</w:t>
      </w:r>
      <w:r>
        <w:rPr>
          <w:kern w:val="0"/>
          <w:sz w:val="24"/>
        </w:rPr>
        <w:t>，所属行业及生产工艺特点为M</w:t>
      </w:r>
      <w:r>
        <w:rPr>
          <w:rFonts w:hint="eastAsia"/>
          <w:kern w:val="0"/>
          <w:sz w:val="24"/>
          <w:lang w:val="en-US" w:eastAsia="zh-CN"/>
        </w:rPr>
        <w:t>3</w:t>
      </w:r>
      <w:r>
        <w:rPr>
          <w:kern w:val="0"/>
          <w:sz w:val="24"/>
        </w:rPr>
        <w:t>级别，则项目危险物质及工艺系统危险性判定为P</w:t>
      </w:r>
      <w:r>
        <w:rPr>
          <w:rFonts w:hint="eastAsia"/>
          <w:kern w:val="0"/>
          <w:sz w:val="24"/>
          <w:lang w:val="en-US" w:eastAsia="zh-CN"/>
        </w:rPr>
        <w:t>2</w:t>
      </w:r>
      <w:r>
        <w:rPr>
          <w:kern w:val="0"/>
          <w:sz w:val="24"/>
        </w:rPr>
        <w:t>。</w:t>
      </w:r>
    </w:p>
    <w:p w14:paraId="6C9461EE">
      <w:pPr>
        <w:keepNext/>
        <w:keepLines/>
        <w:widowControl/>
        <w:numPr>
          <w:ilvl w:val="0"/>
          <w:numId w:val="11"/>
        </w:numPr>
        <w:spacing w:before="126" w:after="126" w:line="500" w:lineRule="exact"/>
        <w:jc w:val="left"/>
        <w:outlineLvl w:val="2"/>
        <w:rPr>
          <w:b/>
          <w:bCs/>
          <w:kern w:val="0"/>
          <w:sz w:val="24"/>
        </w:rPr>
      </w:pPr>
      <w:bookmarkStart w:id="50" w:name="_Toc144992665"/>
      <w:bookmarkStart w:id="51" w:name="_Toc8363"/>
      <w:r>
        <w:rPr>
          <w:b/>
          <w:bCs/>
          <w:kern w:val="0"/>
          <w:sz w:val="24"/>
        </w:rPr>
        <w:t>环境敏感程度E的确定</w:t>
      </w:r>
      <w:bookmarkEnd w:id="50"/>
      <w:bookmarkEnd w:id="51"/>
    </w:p>
    <w:p w14:paraId="67D2AB0A">
      <w:pPr>
        <w:widowControl/>
        <w:spacing w:line="500" w:lineRule="exact"/>
        <w:ind w:firstLine="480"/>
        <w:jc w:val="left"/>
        <w:rPr>
          <w:kern w:val="0"/>
          <w:sz w:val="24"/>
        </w:rPr>
      </w:pPr>
      <w:r>
        <w:rPr>
          <w:kern w:val="0"/>
          <w:sz w:val="24"/>
        </w:rPr>
        <w:t>根据危险物质在事故情况下的环境影响途径，结合大气、地表水环境的敏感程度对环境敏感程度E进行判定。</w:t>
      </w:r>
    </w:p>
    <w:p w14:paraId="4B9CB82D">
      <w:pPr>
        <w:widowControl/>
        <w:spacing w:line="500" w:lineRule="exact"/>
        <w:ind w:firstLine="480"/>
        <w:jc w:val="left"/>
        <w:rPr>
          <w:kern w:val="0"/>
          <w:sz w:val="24"/>
        </w:rPr>
      </w:pPr>
      <w:r>
        <w:rPr>
          <w:kern w:val="0"/>
          <w:sz w:val="24"/>
        </w:rPr>
        <w:t>1．大气环境敏感程度</w:t>
      </w:r>
    </w:p>
    <w:p w14:paraId="0BF60024">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4</w:t>
      </w:r>
      <w:r>
        <w:rPr>
          <w:b/>
          <w:kern w:val="0"/>
          <w:sz w:val="24"/>
        </w:rPr>
        <w:t xml:space="preserve">  大气环境敏感程度分级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8150"/>
      </w:tblGrid>
      <w:tr w14:paraId="3C6E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vAlign w:val="center"/>
          </w:tcPr>
          <w:p w14:paraId="4E165447">
            <w:pPr>
              <w:widowControl/>
              <w:adjustRightInd w:val="0"/>
              <w:snapToGrid w:val="0"/>
              <w:jc w:val="center"/>
              <w:rPr>
                <w:kern w:val="0"/>
                <w:szCs w:val="21"/>
              </w:rPr>
            </w:pPr>
            <w:r>
              <w:rPr>
                <w:kern w:val="0"/>
                <w:szCs w:val="21"/>
              </w:rPr>
              <w:t>分级</w:t>
            </w:r>
          </w:p>
        </w:tc>
        <w:tc>
          <w:tcPr>
            <w:tcW w:w="4498" w:type="pct"/>
            <w:vAlign w:val="center"/>
          </w:tcPr>
          <w:p w14:paraId="0388B246">
            <w:pPr>
              <w:widowControl/>
              <w:adjustRightInd w:val="0"/>
              <w:snapToGrid w:val="0"/>
              <w:jc w:val="center"/>
              <w:rPr>
                <w:kern w:val="0"/>
                <w:szCs w:val="21"/>
              </w:rPr>
            </w:pPr>
            <w:r>
              <w:rPr>
                <w:kern w:val="0"/>
                <w:szCs w:val="21"/>
              </w:rPr>
              <w:t>大气环境敏感性</w:t>
            </w:r>
          </w:p>
        </w:tc>
      </w:tr>
      <w:tr w14:paraId="4B5B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vAlign w:val="center"/>
          </w:tcPr>
          <w:p w14:paraId="64114907">
            <w:pPr>
              <w:widowControl/>
              <w:adjustRightInd w:val="0"/>
              <w:snapToGrid w:val="0"/>
              <w:jc w:val="center"/>
              <w:rPr>
                <w:kern w:val="0"/>
                <w:szCs w:val="21"/>
              </w:rPr>
            </w:pPr>
            <w:r>
              <w:rPr>
                <w:kern w:val="0"/>
                <w:szCs w:val="21"/>
              </w:rPr>
              <w:t>E1</w:t>
            </w:r>
          </w:p>
        </w:tc>
        <w:tc>
          <w:tcPr>
            <w:tcW w:w="4498" w:type="pct"/>
            <w:vAlign w:val="center"/>
          </w:tcPr>
          <w:p w14:paraId="25A2C5FD">
            <w:pPr>
              <w:widowControl/>
              <w:adjustRightInd w:val="0"/>
              <w:snapToGrid w:val="0"/>
              <w:jc w:val="left"/>
              <w:rPr>
                <w:kern w:val="0"/>
                <w:szCs w:val="21"/>
              </w:rPr>
            </w:pPr>
            <w:r>
              <w:rPr>
                <w:kern w:val="0"/>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2C76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6F7329FE">
            <w:pPr>
              <w:widowControl/>
              <w:adjustRightInd w:val="0"/>
              <w:snapToGrid w:val="0"/>
              <w:jc w:val="center"/>
              <w:rPr>
                <w:kern w:val="0"/>
                <w:szCs w:val="21"/>
              </w:rPr>
            </w:pPr>
            <w:r>
              <w:rPr>
                <w:kern w:val="0"/>
                <w:szCs w:val="21"/>
              </w:rPr>
              <w:t>E2</w:t>
            </w:r>
          </w:p>
        </w:tc>
        <w:tc>
          <w:tcPr>
            <w:tcW w:w="4498" w:type="pct"/>
            <w:vAlign w:val="center"/>
          </w:tcPr>
          <w:p w14:paraId="443C82CB">
            <w:pPr>
              <w:widowControl/>
              <w:adjustRightInd w:val="0"/>
              <w:snapToGrid w:val="0"/>
              <w:jc w:val="left"/>
              <w:rPr>
                <w:kern w:val="0"/>
                <w:szCs w:val="21"/>
              </w:rPr>
            </w:pPr>
            <w:r>
              <w:rPr>
                <w:kern w:val="0"/>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6643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29434353">
            <w:pPr>
              <w:widowControl/>
              <w:adjustRightInd w:val="0"/>
              <w:snapToGrid w:val="0"/>
              <w:jc w:val="center"/>
              <w:rPr>
                <w:kern w:val="0"/>
                <w:szCs w:val="21"/>
              </w:rPr>
            </w:pPr>
            <w:r>
              <w:rPr>
                <w:kern w:val="0"/>
                <w:szCs w:val="21"/>
              </w:rPr>
              <w:t>E3</w:t>
            </w:r>
          </w:p>
        </w:tc>
        <w:tc>
          <w:tcPr>
            <w:tcW w:w="4498" w:type="pct"/>
            <w:vAlign w:val="center"/>
          </w:tcPr>
          <w:p w14:paraId="0CDDAF13">
            <w:pPr>
              <w:widowControl/>
              <w:adjustRightInd w:val="0"/>
              <w:snapToGrid w:val="0"/>
              <w:jc w:val="left"/>
              <w:rPr>
                <w:kern w:val="0"/>
                <w:szCs w:val="21"/>
              </w:rPr>
            </w:pPr>
            <w:r>
              <w:rPr>
                <w:kern w:val="0"/>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79E218C0">
      <w:pPr>
        <w:widowControl/>
        <w:spacing w:line="500" w:lineRule="exact"/>
        <w:ind w:firstLine="480" w:firstLineChars="200"/>
        <w:jc w:val="left"/>
        <w:rPr>
          <w:kern w:val="0"/>
          <w:sz w:val="24"/>
        </w:rPr>
      </w:pPr>
      <w:r>
        <w:rPr>
          <w:kern w:val="0"/>
          <w:sz w:val="24"/>
        </w:rPr>
        <w:t>根据表</w:t>
      </w:r>
      <w:r>
        <w:rPr>
          <w:rFonts w:hint="eastAsia"/>
          <w:kern w:val="0"/>
          <w:sz w:val="24"/>
          <w:lang w:val="en-US" w:eastAsia="zh-CN"/>
        </w:rPr>
        <w:t>2.1</w:t>
      </w:r>
      <w:r>
        <w:rPr>
          <w:rFonts w:hint="eastAsia"/>
          <w:kern w:val="0"/>
          <w:sz w:val="24"/>
        </w:rPr>
        <w:t>-</w:t>
      </w:r>
      <w:r>
        <w:rPr>
          <w:rFonts w:hint="eastAsia"/>
          <w:kern w:val="0"/>
          <w:sz w:val="24"/>
          <w:lang w:val="en-US" w:eastAsia="zh-CN"/>
        </w:rPr>
        <w:t>4</w:t>
      </w:r>
      <w:r>
        <w:rPr>
          <w:kern w:val="0"/>
          <w:sz w:val="24"/>
        </w:rPr>
        <w:t>，</w:t>
      </w:r>
      <w:r>
        <w:rPr>
          <w:rFonts w:hint="eastAsia"/>
          <w:kern w:val="0"/>
          <w:sz w:val="24"/>
        </w:rPr>
        <w:t>本项目周边5km 范围内居住区、医疗卫生、文化教育、科研、行政办公等人口41000人，项目大气环境敏感度为E2</w:t>
      </w:r>
      <w:r>
        <w:rPr>
          <w:kern w:val="0"/>
          <w:sz w:val="24"/>
        </w:rPr>
        <w:t>。</w:t>
      </w:r>
    </w:p>
    <w:p w14:paraId="6E853881">
      <w:pPr>
        <w:widowControl/>
        <w:spacing w:line="500" w:lineRule="exact"/>
        <w:ind w:firstLine="480" w:firstLineChars="200"/>
        <w:jc w:val="left"/>
        <w:rPr>
          <w:kern w:val="0"/>
          <w:sz w:val="24"/>
        </w:rPr>
      </w:pPr>
      <w:r>
        <w:rPr>
          <w:kern w:val="0"/>
          <w:sz w:val="24"/>
        </w:rPr>
        <w:t>2．地表水环境敏感程度</w:t>
      </w:r>
    </w:p>
    <w:p w14:paraId="586A0952">
      <w:pPr>
        <w:widowControl/>
        <w:spacing w:line="500" w:lineRule="exact"/>
        <w:ind w:firstLine="480" w:firstLineChars="200"/>
        <w:jc w:val="left"/>
        <w:rPr>
          <w:kern w:val="0"/>
          <w:sz w:val="24"/>
        </w:rPr>
      </w:pPr>
      <w:r>
        <w:rPr>
          <w:kern w:val="0"/>
          <w:sz w:val="24"/>
        </w:rPr>
        <w:t>依据事故情况下危险物质泄漏到水体的排放点受纳地表水体功能敏感性（F），与下游环境敏感目标（S）情况，对地表水环境敏感程度进行分级。</w:t>
      </w:r>
    </w:p>
    <w:p w14:paraId="48D5F858">
      <w:pPr>
        <w:keepNext/>
        <w:keepLines/>
        <w:widowControl/>
        <w:tabs>
          <w:tab w:val="left" w:pos="795"/>
        </w:tabs>
        <w:spacing w:line="500" w:lineRule="exact"/>
        <w:jc w:val="center"/>
        <w:outlineLvl w:val="3"/>
        <w:rPr>
          <w:b/>
          <w:kern w:val="0"/>
          <w:sz w:val="24"/>
        </w:rPr>
      </w:pPr>
      <w:r>
        <w:rPr>
          <w:b/>
          <w:kern w:val="0"/>
          <w:sz w:val="24"/>
        </w:rPr>
        <w:t>表2.1-</w:t>
      </w:r>
      <w:r>
        <w:rPr>
          <w:rFonts w:hint="eastAsia"/>
          <w:b/>
          <w:kern w:val="0"/>
          <w:sz w:val="24"/>
          <w:lang w:val="en-US" w:eastAsia="zh-CN"/>
        </w:rPr>
        <w:t>5</w:t>
      </w:r>
      <w:r>
        <w:rPr>
          <w:b/>
          <w:kern w:val="0"/>
          <w:sz w:val="24"/>
        </w:rPr>
        <w:t xml:space="preserve">  地表水功能敏感性分区</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7884"/>
      </w:tblGrid>
      <w:tr w14:paraId="1C4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15638E89">
            <w:pPr>
              <w:widowControl/>
              <w:adjustRightInd w:val="0"/>
              <w:snapToGrid w:val="0"/>
              <w:jc w:val="center"/>
              <w:rPr>
                <w:kern w:val="0"/>
                <w:szCs w:val="21"/>
              </w:rPr>
            </w:pPr>
            <w:r>
              <w:rPr>
                <w:kern w:val="0"/>
                <w:szCs w:val="21"/>
              </w:rPr>
              <w:t>敏感性</w:t>
            </w:r>
          </w:p>
        </w:tc>
        <w:tc>
          <w:tcPr>
            <w:tcW w:w="4351" w:type="pct"/>
            <w:vAlign w:val="center"/>
          </w:tcPr>
          <w:p w14:paraId="08683CF8">
            <w:pPr>
              <w:widowControl/>
              <w:adjustRightInd w:val="0"/>
              <w:snapToGrid w:val="0"/>
              <w:jc w:val="center"/>
              <w:rPr>
                <w:kern w:val="0"/>
                <w:szCs w:val="21"/>
              </w:rPr>
            </w:pPr>
            <w:r>
              <w:rPr>
                <w:kern w:val="0"/>
                <w:szCs w:val="21"/>
              </w:rPr>
              <w:t>地表水环境敏感特征</w:t>
            </w:r>
          </w:p>
        </w:tc>
      </w:tr>
      <w:tr w14:paraId="3511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00782120">
            <w:pPr>
              <w:widowControl/>
              <w:adjustRightInd w:val="0"/>
              <w:snapToGrid w:val="0"/>
              <w:jc w:val="center"/>
              <w:rPr>
                <w:kern w:val="0"/>
                <w:szCs w:val="21"/>
              </w:rPr>
            </w:pPr>
            <w:r>
              <w:rPr>
                <w:kern w:val="0"/>
                <w:szCs w:val="21"/>
              </w:rPr>
              <w:t>敏感F1</w:t>
            </w:r>
          </w:p>
        </w:tc>
        <w:tc>
          <w:tcPr>
            <w:tcW w:w="4351" w:type="pct"/>
            <w:vAlign w:val="center"/>
          </w:tcPr>
          <w:p w14:paraId="6C805755">
            <w:pPr>
              <w:widowControl/>
              <w:adjustRightInd w:val="0"/>
              <w:snapToGrid w:val="0"/>
              <w:jc w:val="left"/>
              <w:rPr>
                <w:kern w:val="0"/>
                <w:szCs w:val="21"/>
              </w:rPr>
            </w:pPr>
            <w:r>
              <w:rPr>
                <w:kern w:val="0"/>
                <w:szCs w:val="21"/>
              </w:rPr>
              <w:t>排放点进入地表水水域环境功能为</w:t>
            </w:r>
            <w:r>
              <w:rPr>
                <w:rFonts w:hint="eastAsia" w:ascii="宋体" w:hAnsi="宋体" w:cs="宋体"/>
                <w:kern w:val="0"/>
                <w:szCs w:val="21"/>
              </w:rPr>
              <w:t>Ⅱ</w:t>
            </w:r>
            <w:r>
              <w:rPr>
                <w:kern w:val="0"/>
                <w:szCs w:val="21"/>
              </w:rPr>
              <w:t>类及以上，或海水水质分类第一类；或以发生事故时，危险物质泄漏到水体的排放表算起，排放进入受纳河流最大流速时，24h流经范围内涉跨国界的</w:t>
            </w:r>
          </w:p>
        </w:tc>
      </w:tr>
      <w:tr w14:paraId="1906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14135C62">
            <w:pPr>
              <w:widowControl/>
              <w:adjustRightInd w:val="0"/>
              <w:snapToGrid w:val="0"/>
              <w:jc w:val="center"/>
              <w:rPr>
                <w:kern w:val="0"/>
                <w:szCs w:val="21"/>
              </w:rPr>
            </w:pPr>
            <w:r>
              <w:rPr>
                <w:kern w:val="0"/>
                <w:szCs w:val="21"/>
              </w:rPr>
              <w:t>较敏感F2</w:t>
            </w:r>
          </w:p>
        </w:tc>
        <w:tc>
          <w:tcPr>
            <w:tcW w:w="4351" w:type="pct"/>
            <w:vAlign w:val="center"/>
          </w:tcPr>
          <w:p w14:paraId="5CE0F04A">
            <w:pPr>
              <w:widowControl/>
              <w:adjustRightInd w:val="0"/>
              <w:snapToGrid w:val="0"/>
              <w:jc w:val="left"/>
              <w:rPr>
                <w:kern w:val="0"/>
                <w:szCs w:val="21"/>
              </w:rPr>
            </w:pPr>
            <w:r>
              <w:rPr>
                <w:kern w:val="0"/>
                <w:szCs w:val="21"/>
              </w:rPr>
              <w:t>排放点进入地表水水域环境功能为</w:t>
            </w:r>
            <w:r>
              <w:rPr>
                <w:rFonts w:hint="eastAsia" w:ascii="宋体" w:hAnsi="宋体" w:cs="宋体"/>
                <w:kern w:val="0"/>
                <w:szCs w:val="21"/>
              </w:rPr>
              <w:t>Ⅲ</w:t>
            </w:r>
            <w:r>
              <w:rPr>
                <w:kern w:val="0"/>
                <w:szCs w:val="21"/>
              </w:rPr>
              <w:t>类，或海水水质分类第二类；或以发生事故时，危险物质泄漏到水体的排放表算起，排放进入受纳河流最大流速时，24h流经范围内涉跨省界的</w:t>
            </w:r>
          </w:p>
        </w:tc>
      </w:tr>
      <w:tr w14:paraId="6EE8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3A9A131F">
            <w:pPr>
              <w:widowControl/>
              <w:adjustRightInd w:val="0"/>
              <w:snapToGrid w:val="0"/>
              <w:jc w:val="center"/>
              <w:rPr>
                <w:kern w:val="0"/>
                <w:szCs w:val="21"/>
              </w:rPr>
            </w:pPr>
            <w:r>
              <w:rPr>
                <w:kern w:val="0"/>
                <w:szCs w:val="21"/>
              </w:rPr>
              <w:t>低敏感F3</w:t>
            </w:r>
          </w:p>
        </w:tc>
        <w:tc>
          <w:tcPr>
            <w:tcW w:w="4351" w:type="pct"/>
            <w:vAlign w:val="center"/>
          </w:tcPr>
          <w:p w14:paraId="178BE32A">
            <w:pPr>
              <w:widowControl/>
              <w:adjustRightInd w:val="0"/>
              <w:snapToGrid w:val="0"/>
              <w:jc w:val="left"/>
              <w:rPr>
                <w:kern w:val="0"/>
                <w:szCs w:val="21"/>
              </w:rPr>
            </w:pPr>
            <w:r>
              <w:rPr>
                <w:kern w:val="0"/>
                <w:szCs w:val="21"/>
              </w:rPr>
              <w:t>上述地区之外的其他地区</w:t>
            </w:r>
          </w:p>
        </w:tc>
      </w:tr>
    </w:tbl>
    <w:p w14:paraId="79FCBBAB">
      <w:pPr>
        <w:keepNext/>
        <w:keepLines/>
        <w:widowControl/>
        <w:tabs>
          <w:tab w:val="left" w:pos="795"/>
        </w:tabs>
        <w:spacing w:line="500" w:lineRule="exact"/>
        <w:jc w:val="center"/>
        <w:outlineLvl w:val="3"/>
        <w:rPr>
          <w:b/>
          <w:kern w:val="0"/>
          <w:sz w:val="24"/>
        </w:rPr>
      </w:pPr>
      <w:r>
        <w:rPr>
          <w:b/>
          <w:kern w:val="0"/>
          <w:sz w:val="24"/>
        </w:rPr>
        <w:t>表2.1-</w:t>
      </w:r>
      <w:r>
        <w:rPr>
          <w:rFonts w:hint="eastAsia"/>
          <w:b/>
          <w:kern w:val="0"/>
          <w:sz w:val="24"/>
          <w:lang w:val="en-US" w:eastAsia="zh-CN"/>
        </w:rPr>
        <w:t>6</w:t>
      </w:r>
      <w:r>
        <w:rPr>
          <w:b/>
          <w:kern w:val="0"/>
          <w:sz w:val="24"/>
        </w:rPr>
        <w:t xml:space="preserve">  环境敏感目标分级</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7884"/>
      </w:tblGrid>
      <w:tr w14:paraId="04C9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4C7C4CD8">
            <w:pPr>
              <w:widowControl/>
              <w:adjustRightInd w:val="0"/>
              <w:snapToGrid w:val="0"/>
              <w:jc w:val="center"/>
              <w:rPr>
                <w:kern w:val="0"/>
                <w:szCs w:val="21"/>
              </w:rPr>
            </w:pPr>
            <w:r>
              <w:rPr>
                <w:kern w:val="0"/>
                <w:szCs w:val="21"/>
              </w:rPr>
              <w:t>分级</w:t>
            </w:r>
          </w:p>
        </w:tc>
        <w:tc>
          <w:tcPr>
            <w:tcW w:w="4351" w:type="pct"/>
            <w:vAlign w:val="center"/>
          </w:tcPr>
          <w:p w14:paraId="389F6E3D">
            <w:pPr>
              <w:widowControl/>
              <w:adjustRightInd w:val="0"/>
              <w:snapToGrid w:val="0"/>
              <w:jc w:val="center"/>
              <w:rPr>
                <w:kern w:val="0"/>
                <w:szCs w:val="21"/>
              </w:rPr>
            </w:pPr>
            <w:r>
              <w:rPr>
                <w:kern w:val="0"/>
                <w:szCs w:val="21"/>
              </w:rPr>
              <w:t>环境敏感目标</w:t>
            </w:r>
          </w:p>
        </w:tc>
      </w:tr>
      <w:tr w14:paraId="2363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099B6A66">
            <w:pPr>
              <w:widowControl/>
              <w:adjustRightInd w:val="0"/>
              <w:snapToGrid w:val="0"/>
              <w:jc w:val="center"/>
              <w:rPr>
                <w:kern w:val="0"/>
                <w:szCs w:val="21"/>
              </w:rPr>
            </w:pPr>
            <w:r>
              <w:rPr>
                <w:kern w:val="0"/>
                <w:szCs w:val="21"/>
              </w:rPr>
              <w:t>S1</w:t>
            </w:r>
          </w:p>
        </w:tc>
        <w:tc>
          <w:tcPr>
            <w:tcW w:w="4351" w:type="pct"/>
            <w:vAlign w:val="center"/>
          </w:tcPr>
          <w:p w14:paraId="0F92F899">
            <w:pPr>
              <w:widowControl/>
              <w:adjustRightInd w:val="0"/>
              <w:snapToGrid w:val="0"/>
              <w:jc w:val="left"/>
              <w:rPr>
                <w:kern w:val="0"/>
                <w:szCs w:val="21"/>
              </w:rPr>
            </w:pPr>
            <w:r>
              <w:rPr>
                <w:kern w:val="0"/>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3DE4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41B204AF">
            <w:pPr>
              <w:widowControl/>
              <w:adjustRightInd w:val="0"/>
              <w:snapToGrid w:val="0"/>
              <w:jc w:val="center"/>
              <w:rPr>
                <w:kern w:val="0"/>
                <w:szCs w:val="21"/>
              </w:rPr>
            </w:pPr>
            <w:r>
              <w:rPr>
                <w:kern w:val="0"/>
                <w:szCs w:val="21"/>
              </w:rPr>
              <w:t>S2</w:t>
            </w:r>
          </w:p>
        </w:tc>
        <w:tc>
          <w:tcPr>
            <w:tcW w:w="4351" w:type="pct"/>
            <w:vAlign w:val="center"/>
          </w:tcPr>
          <w:p w14:paraId="4D7225F8">
            <w:pPr>
              <w:widowControl/>
              <w:adjustRightInd w:val="0"/>
              <w:snapToGrid w:val="0"/>
              <w:jc w:val="left"/>
              <w:rPr>
                <w:kern w:val="0"/>
                <w:szCs w:val="21"/>
              </w:rPr>
            </w:pPr>
            <w:r>
              <w:rPr>
                <w:kern w:val="0"/>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滨海风景旅游区；具有重要经济价值的海洋生物生存区域</w:t>
            </w:r>
          </w:p>
        </w:tc>
      </w:tr>
      <w:tr w14:paraId="608B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33EBE038">
            <w:pPr>
              <w:widowControl/>
              <w:adjustRightInd w:val="0"/>
              <w:snapToGrid w:val="0"/>
              <w:jc w:val="center"/>
              <w:rPr>
                <w:kern w:val="0"/>
                <w:szCs w:val="21"/>
              </w:rPr>
            </w:pPr>
            <w:r>
              <w:rPr>
                <w:kern w:val="0"/>
                <w:szCs w:val="21"/>
              </w:rPr>
              <w:t>S3</w:t>
            </w:r>
          </w:p>
        </w:tc>
        <w:tc>
          <w:tcPr>
            <w:tcW w:w="4351" w:type="pct"/>
            <w:vAlign w:val="center"/>
          </w:tcPr>
          <w:p w14:paraId="52B84E36">
            <w:pPr>
              <w:widowControl/>
              <w:adjustRightInd w:val="0"/>
              <w:snapToGrid w:val="0"/>
              <w:jc w:val="left"/>
              <w:rPr>
                <w:kern w:val="0"/>
                <w:szCs w:val="21"/>
              </w:rPr>
            </w:pPr>
            <w:r>
              <w:rPr>
                <w:kern w:val="0"/>
                <w:szCs w:val="21"/>
              </w:rPr>
              <w:t>排放点下游（顺水流向）10km范围内、近岸海域一个潮周期水质点可能达到的最大水平距离的两倍范围内无上述类型1和类型2包括的敏感保护目标</w:t>
            </w:r>
          </w:p>
        </w:tc>
      </w:tr>
    </w:tbl>
    <w:p w14:paraId="3B44BB9A">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7</w:t>
      </w:r>
      <w:r>
        <w:rPr>
          <w:b/>
          <w:kern w:val="0"/>
          <w:sz w:val="24"/>
        </w:rPr>
        <w:t xml:space="preserve">  地表水环境敏感程度分级</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65"/>
        <w:gridCol w:w="2098"/>
        <w:gridCol w:w="2098"/>
        <w:gridCol w:w="2099"/>
      </w:tblGrid>
      <w:tr w14:paraId="323D2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Merge w:val="restart"/>
            <w:vAlign w:val="center"/>
          </w:tcPr>
          <w:p w14:paraId="0FC002E0">
            <w:pPr>
              <w:widowControl/>
              <w:adjustRightInd w:val="0"/>
              <w:snapToGrid w:val="0"/>
              <w:jc w:val="center"/>
              <w:rPr>
                <w:kern w:val="0"/>
                <w:szCs w:val="21"/>
              </w:rPr>
            </w:pPr>
            <w:r>
              <w:rPr>
                <w:kern w:val="0"/>
                <w:szCs w:val="21"/>
              </w:rPr>
              <w:t>环境敏感目标</w:t>
            </w:r>
          </w:p>
        </w:tc>
        <w:tc>
          <w:tcPr>
            <w:tcW w:w="3474" w:type="pct"/>
            <w:gridSpan w:val="3"/>
            <w:vAlign w:val="center"/>
          </w:tcPr>
          <w:p w14:paraId="06B40C49">
            <w:pPr>
              <w:widowControl/>
              <w:adjustRightInd w:val="0"/>
              <w:snapToGrid w:val="0"/>
              <w:jc w:val="center"/>
              <w:rPr>
                <w:kern w:val="0"/>
                <w:szCs w:val="21"/>
              </w:rPr>
            </w:pPr>
            <w:r>
              <w:rPr>
                <w:kern w:val="0"/>
                <w:szCs w:val="21"/>
              </w:rPr>
              <w:t>地表水功能敏感性</w:t>
            </w:r>
          </w:p>
        </w:tc>
      </w:tr>
      <w:tr w14:paraId="0D103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vAlign w:val="center"/>
          </w:tcPr>
          <w:p w14:paraId="518BAEF0">
            <w:pPr>
              <w:widowControl/>
              <w:jc w:val="left"/>
              <w:rPr>
                <w:kern w:val="0"/>
                <w:szCs w:val="21"/>
              </w:rPr>
            </w:pPr>
          </w:p>
        </w:tc>
        <w:tc>
          <w:tcPr>
            <w:tcW w:w="1158" w:type="pct"/>
            <w:vAlign w:val="center"/>
          </w:tcPr>
          <w:p w14:paraId="3CDFE191">
            <w:pPr>
              <w:widowControl/>
              <w:adjustRightInd w:val="0"/>
              <w:snapToGrid w:val="0"/>
              <w:jc w:val="center"/>
              <w:rPr>
                <w:kern w:val="0"/>
                <w:szCs w:val="21"/>
              </w:rPr>
            </w:pPr>
            <w:r>
              <w:rPr>
                <w:kern w:val="0"/>
                <w:szCs w:val="21"/>
              </w:rPr>
              <w:t>F1</w:t>
            </w:r>
          </w:p>
        </w:tc>
        <w:tc>
          <w:tcPr>
            <w:tcW w:w="1158" w:type="pct"/>
            <w:vAlign w:val="center"/>
          </w:tcPr>
          <w:p w14:paraId="2780E5AD">
            <w:pPr>
              <w:widowControl/>
              <w:adjustRightInd w:val="0"/>
              <w:snapToGrid w:val="0"/>
              <w:jc w:val="center"/>
              <w:rPr>
                <w:kern w:val="0"/>
                <w:szCs w:val="21"/>
              </w:rPr>
            </w:pPr>
            <w:r>
              <w:rPr>
                <w:kern w:val="0"/>
                <w:szCs w:val="21"/>
              </w:rPr>
              <w:t>F2</w:t>
            </w:r>
          </w:p>
        </w:tc>
        <w:tc>
          <w:tcPr>
            <w:tcW w:w="1158" w:type="pct"/>
            <w:tcBorders>
              <w:bottom w:val="single" w:color="000000" w:sz="4" w:space="0"/>
            </w:tcBorders>
            <w:vAlign w:val="center"/>
          </w:tcPr>
          <w:p w14:paraId="58224383">
            <w:pPr>
              <w:widowControl/>
              <w:adjustRightInd w:val="0"/>
              <w:snapToGrid w:val="0"/>
              <w:jc w:val="center"/>
              <w:rPr>
                <w:kern w:val="0"/>
                <w:szCs w:val="21"/>
              </w:rPr>
            </w:pPr>
            <w:r>
              <w:rPr>
                <w:kern w:val="0"/>
                <w:szCs w:val="21"/>
              </w:rPr>
              <w:t>F3</w:t>
            </w:r>
          </w:p>
        </w:tc>
      </w:tr>
      <w:tr w14:paraId="6D8F9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shd w:val="clear" w:color="auto" w:fill="auto"/>
            <w:vAlign w:val="center"/>
          </w:tcPr>
          <w:p w14:paraId="3650936A">
            <w:pPr>
              <w:widowControl/>
              <w:adjustRightInd w:val="0"/>
              <w:snapToGrid w:val="0"/>
              <w:jc w:val="center"/>
              <w:rPr>
                <w:kern w:val="0"/>
                <w:szCs w:val="21"/>
              </w:rPr>
            </w:pPr>
            <w:r>
              <w:rPr>
                <w:kern w:val="0"/>
                <w:szCs w:val="21"/>
              </w:rPr>
              <w:t>S1</w:t>
            </w:r>
          </w:p>
        </w:tc>
        <w:tc>
          <w:tcPr>
            <w:tcW w:w="1158" w:type="pct"/>
            <w:shd w:val="clear" w:color="auto" w:fill="auto"/>
            <w:vAlign w:val="center"/>
          </w:tcPr>
          <w:p w14:paraId="7D8B7371">
            <w:pPr>
              <w:widowControl/>
              <w:adjustRightInd w:val="0"/>
              <w:snapToGrid w:val="0"/>
              <w:jc w:val="center"/>
              <w:rPr>
                <w:kern w:val="0"/>
                <w:szCs w:val="21"/>
              </w:rPr>
            </w:pPr>
            <w:r>
              <w:rPr>
                <w:kern w:val="0"/>
                <w:szCs w:val="21"/>
              </w:rPr>
              <w:t>E1</w:t>
            </w:r>
          </w:p>
        </w:tc>
        <w:tc>
          <w:tcPr>
            <w:tcW w:w="1158" w:type="pct"/>
            <w:shd w:val="clear" w:color="auto" w:fill="auto"/>
            <w:vAlign w:val="center"/>
          </w:tcPr>
          <w:p w14:paraId="341C9F4F">
            <w:pPr>
              <w:widowControl/>
              <w:adjustRightInd w:val="0"/>
              <w:snapToGrid w:val="0"/>
              <w:jc w:val="center"/>
              <w:rPr>
                <w:kern w:val="0"/>
                <w:szCs w:val="21"/>
              </w:rPr>
            </w:pPr>
            <w:r>
              <w:rPr>
                <w:kern w:val="0"/>
                <w:szCs w:val="21"/>
              </w:rPr>
              <w:t>E1</w:t>
            </w:r>
          </w:p>
        </w:tc>
        <w:tc>
          <w:tcPr>
            <w:tcW w:w="1158" w:type="pct"/>
            <w:shd w:val="clear" w:color="auto" w:fill="auto"/>
            <w:vAlign w:val="center"/>
          </w:tcPr>
          <w:p w14:paraId="2C1A4622">
            <w:pPr>
              <w:widowControl/>
              <w:adjustRightInd w:val="0"/>
              <w:snapToGrid w:val="0"/>
              <w:jc w:val="center"/>
              <w:rPr>
                <w:kern w:val="0"/>
                <w:szCs w:val="21"/>
              </w:rPr>
            </w:pPr>
            <w:r>
              <w:rPr>
                <w:kern w:val="0"/>
                <w:szCs w:val="21"/>
              </w:rPr>
              <w:t>E2</w:t>
            </w:r>
          </w:p>
        </w:tc>
      </w:tr>
      <w:tr w14:paraId="4B866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Align w:val="center"/>
          </w:tcPr>
          <w:p w14:paraId="7A42940D">
            <w:pPr>
              <w:widowControl/>
              <w:adjustRightInd w:val="0"/>
              <w:snapToGrid w:val="0"/>
              <w:jc w:val="center"/>
              <w:rPr>
                <w:kern w:val="0"/>
                <w:szCs w:val="21"/>
              </w:rPr>
            </w:pPr>
            <w:r>
              <w:rPr>
                <w:kern w:val="0"/>
                <w:szCs w:val="21"/>
              </w:rPr>
              <w:t>S2</w:t>
            </w:r>
          </w:p>
        </w:tc>
        <w:tc>
          <w:tcPr>
            <w:tcW w:w="1158" w:type="pct"/>
            <w:vAlign w:val="center"/>
          </w:tcPr>
          <w:p w14:paraId="3CE26FF3">
            <w:pPr>
              <w:widowControl/>
              <w:adjustRightInd w:val="0"/>
              <w:snapToGrid w:val="0"/>
              <w:jc w:val="center"/>
              <w:rPr>
                <w:kern w:val="0"/>
                <w:szCs w:val="21"/>
              </w:rPr>
            </w:pPr>
            <w:r>
              <w:rPr>
                <w:kern w:val="0"/>
                <w:szCs w:val="21"/>
              </w:rPr>
              <w:t>E1</w:t>
            </w:r>
          </w:p>
        </w:tc>
        <w:tc>
          <w:tcPr>
            <w:tcW w:w="1158" w:type="pct"/>
            <w:vAlign w:val="center"/>
          </w:tcPr>
          <w:p w14:paraId="7F9A72DD">
            <w:pPr>
              <w:widowControl/>
              <w:adjustRightInd w:val="0"/>
              <w:snapToGrid w:val="0"/>
              <w:jc w:val="center"/>
              <w:rPr>
                <w:kern w:val="0"/>
                <w:szCs w:val="21"/>
              </w:rPr>
            </w:pPr>
            <w:r>
              <w:rPr>
                <w:kern w:val="0"/>
                <w:szCs w:val="21"/>
              </w:rPr>
              <w:t>E2</w:t>
            </w:r>
          </w:p>
        </w:tc>
        <w:tc>
          <w:tcPr>
            <w:tcW w:w="1158" w:type="pct"/>
            <w:tcBorders>
              <w:bottom w:val="single" w:color="000000" w:sz="4" w:space="0"/>
            </w:tcBorders>
            <w:vAlign w:val="center"/>
          </w:tcPr>
          <w:p w14:paraId="5315FB30">
            <w:pPr>
              <w:widowControl/>
              <w:adjustRightInd w:val="0"/>
              <w:snapToGrid w:val="0"/>
              <w:jc w:val="center"/>
              <w:rPr>
                <w:kern w:val="0"/>
                <w:szCs w:val="21"/>
              </w:rPr>
            </w:pPr>
            <w:r>
              <w:rPr>
                <w:kern w:val="0"/>
                <w:szCs w:val="21"/>
              </w:rPr>
              <w:t>E3</w:t>
            </w:r>
          </w:p>
        </w:tc>
      </w:tr>
      <w:tr w14:paraId="54151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Align w:val="center"/>
          </w:tcPr>
          <w:p w14:paraId="54006959">
            <w:pPr>
              <w:widowControl/>
              <w:adjustRightInd w:val="0"/>
              <w:snapToGrid w:val="0"/>
              <w:jc w:val="center"/>
              <w:rPr>
                <w:kern w:val="0"/>
                <w:szCs w:val="21"/>
              </w:rPr>
            </w:pPr>
            <w:r>
              <w:rPr>
                <w:kern w:val="0"/>
                <w:szCs w:val="21"/>
              </w:rPr>
              <w:t>S3</w:t>
            </w:r>
          </w:p>
        </w:tc>
        <w:tc>
          <w:tcPr>
            <w:tcW w:w="1158" w:type="pct"/>
            <w:vAlign w:val="center"/>
          </w:tcPr>
          <w:p w14:paraId="2E2F3943">
            <w:pPr>
              <w:widowControl/>
              <w:adjustRightInd w:val="0"/>
              <w:snapToGrid w:val="0"/>
              <w:jc w:val="center"/>
              <w:rPr>
                <w:kern w:val="0"/>
                <w:szCs w:val="21"/>
              </w:rPr>
            </w:pPr>
            <w:r>
              <w:rPr>
                <w:kern w:val="0"/>
                <w:szCs w:val="21"/>
              </w:rPr>
              <w:t>E1</w:t>
            </w:r>
          </w:p>
        </w:tc>
        <w:tc>
          <w:tcPr>
            <w:tcW w:w="1158" w:type="pct"/>
            <w:vAlign w:val="center"/>
          </w:tcPr>
          <w:p w14:paraId="5CA7BE85">
            <w:pPr>
              <w:widowControl/>
              <w:adjustRightInd w:val="0"/>
              <w:snapToGrid w:val="0"/>
              <w:jc w:val="center"/>
              <w:rPr>
                <w:kern w:val="0"/>
                <w:szCs w:val="21"/>
              </w:rPr>
            </w:pPr>
            <w:r>
              <w:rPr>
                <w:kern w:val="0"/>
                <w:szCs w:val="21"/>
              </w:rPr>
              <w:t>E2</w:t>
            </w:r>
          </w:p>
        </w:tc>
        <w:tc>
          <w:tcPr>
            <w:tcW w:w="1158" w:type="pct"/>
            <w:shd w:val="clear" w:color="auto" w:fill="BEBEBE" w:themeFill="background1" w:themeFillShade="BF"/>
            <w:vAlign w:val="center"/>
          </w:tcPr>
          <w:p w14:paraId="1D9C140E">
            <w:pPr>
              <w:widowControl/>
              <w:adjustRightInd w:val="0"/>
              <w:snapToGrid w:val="0"/>
              <w:jc w:val="center"/>
              <w:rPr>
                <w:kern w:val="0"/>
                <w:szCs w:val="21"/>
              </w:rPr>
            </w:pPr>
            <w:r>
              <w:rPr>
                <w:kern w:val="0"/>
                <w:szCs w:val="21"/>
              </w:rPr>
              <w:t>E3</w:t>
            </w:r>
          </w:p>
        </w:tc>
      </w:tr>
    </w:tbl>
    <w:p w14:paraId="63533D6F">
      <w:pPr>
        <w:widowControl/>
        <w:spacing w:line="500" w:lineRule="exact"/>
        <w:ind w:firstLine="480"/>
        <w:jc w:val="left"/>
        <w:rPr>
          <w:kern w:val="0"/>
          <w:sz w:val="24"/>
        </w:rPr>
      </w:pPr>
      <w:r>
        <w:rPr>
          <w:rFonts w:hint="eastAsia"/>
          <w:kern w:val="0"/>
          <w:sz w:val="24"/>
        </w:rPr>
        <w:t>项目事故废水依托厂区的废水三级防控体系，事故状态下，消防废水进入依托的事故应急池</w:t>
      </w:r>
      <w:r>
        <w:rPr>
          <w:rFonts w:hint="eastAsia"/>
          <w:kern w:val="0"/>
          <w:sz w:val="24"/>
          <w:lang w:eastAsia="zh-CN"/>
        </w:rPr>
        <w:t>（</w:t>
      </w:r>
      <w:r>
        <w:rPr>
          <w:rFonts w:hint="eastAsia"/>
          <w:kern w:val="0"/>
          <w:sz w:val="24"/>
          <w:lang w:val="en-US" w:eastAsia="zh-CN"/>
        </w:rPr>
        <w:t>18000m</w:t>
      </w:r>
      <w:r>
        <w:rPr>
          <w:rFonts w:hint="eastAsia"/>
          <w:kern w:val="0"/>
          <w:sz w:val="24"/>
          <w:vertAlign w:val="superscript"/>
          <w:lang w:val="en-US" w:eastAsia="zh-CN"/>
        </w:rPr>
        <w:t>3</w:t>
      </w:r>
      <w:r>
        <w:rPr>
          <w:rFonts w:hint="eastAsia"/>
          <w:kern w:val="0"/>
          <w:sz w:val="24"/>
          <w:lang w:eastAsia="zh-CN"/>
        </w:rPr>
        <w:t>）</w:t>
      </w:r>
      <w:r>
        <w:rPr>
          <w:rFonts w:hint="eastAsia"/>
          <w:kern w:val="0"/>
          <w:sz w:val="24"/>
        </w:rPr>
        <w:t>，罐区设置有围堰，同时广西天宜公司</w:t>
      </w:r>
      <w:r>
        <w:rPr>
          <w:rFonts w:hint="eastAsia"/>
          <w:kern w:val="0"/>
          <w:sz w:val="24"/>
          <w:lang w:eastAsia="zh-CN"/>
        </w:rPr>
        <w:t>污水处理厂</w:t>
      </w:r>
      <w:r>
        <w:rPr>
          <w:rFonts w:hint="eastAsia"/>
          <w:kern w:val="0"/>
          <w:sz w:val="24"/>
        </w:rPr>
        <w:t>（一期）设置有两座15000m</w:t>
      </w:r>
      <w:r>
        <w:rPr>
          <w:rFonts w:hint="eastAsia"/>
          <w:kern w:val="0"/>
          <w:sz w:val="24"/>
          <w:vertAlign w:val="superscript"/>
        </w:rPr>
        <w:t>3</w:t>
      </w:r>
      <w:r>
        <w:rPr>
          <w:rFonts w:hint="eastAsia"/>
          <w:kern w:val="0"/>
          <w:sz w:val="24"/>
        </w:rPr>
        <w:t>的事故缓冲池，雨水管网排放口设置切换阀，均作为储存事故废水与调控手段，最坏事故状态下（厂内三级防控措施均失效），事故废水进入雨水监控池，通过关闭阀门，可确保发生较大或重大事故时泄漏物料和污染消防水控制在厂区。广西天宜公司</w:t>
      </w:r>
      <w:r>
        <w:rPr>
          <w:rFonts w:hint="eastAsia"/>
          <w:kern w:val="0"/>
          <w:sz w:val="24"/>
          <w:lang w:eastAsia="zh-CN"/>
        </w:rPr>
        <w:t>污水处理厂</w:t>
      </w:r>
      <w:r>
        <w:rPr>
          <w:rFonts w:hint="eastAsia"/>
          <w:kern w:val="0"/>
          <w:sz w:val="24"/>
        </w:rPr>
        <w:t>（一期）排放口海水水质分别为第四类属于低敏感 F3，环境敏感目标分级属于 S3 分级，因此本项目为地表水环境低度敏感区 E3。</w:t>
      </w:r>
    </w:p>
    <w:p w14:paraId="10A022EA">
      <w:pPr>
        <w:spacing w:line="500" w:lineRule="exact"/>
        <w:ind w:firstLine="520" w:firstLineChars="200"/>
        <w:rPr>
          <w:color w:val="000000" w:themeColor="text1"/>
          <w:spacing w:val="10"/>
          <w:sz w:val="24"/>
          <w:szCs w:val="20"/>
          <w14:textFill>
            <w14:solidFill>
              <w14:schemeClr w14:val="tx1"/>
            </w14:solidFill>
          </w14:textFill>
        </w:rPr>
      </w:pPr>
      <w:r>
        <w:rPr>
          <w:rFonts w:hint="eastAsia"/>
          <w:color w:val="000000" w:themeColor="text1"/>
          <w:spacing w:val="10"/>
          <w:sz w:val="24"/>
          <w:szCs w:val="20"/>
          <w14:textFill>
            <w14:solidFill>
              <w14:schemeClr w14:val="tx1"/>
            </w14:solidFill>
          </w14:textFill>
        </w:rPr>
        <w:t>3、地下水环境敏感程度分级</w:t>
      </w:r>
    </w:p>
    <w:p w14:paraId="09FCC750">
      <w:pPr>
        <w:spacing w:line="500" w:lineRule="exact"/>
        <w:ind w:firstLine="520" w:firstLineChars="200"/>
        <w:jc w:val="left"/>
        <w:rPr>
          <w:color w:val="000000" w:themeColor="text1"/>
          <w:spacing w:val="10"/>
          <w:sz w:val="24"/>
          <w:szCs w:val="20"/>
          <w14:textFill>
            <w14:solidFill>
              <w14:schemeClr w14:val="tx1"/>
            </w14:solidFill>
          </w14:textFill>
        </w:rPr>
      </w:pPr>
      <w:r>
        <w:rPr>
          <w:rFonts w:hint="eastAsia"/>
          <w:color w:val="000000" w:themeColor="text1"/>
          <w:spacing w:val="10"/>
          <w:sz w:val="24"/>
          <w:szCs w:val="20"/>
          <w14:textFill>
            <w14:solidFill>
              <w14:schemeClr w14:val="tx1"/>
            </w14:solidFill>
          </w14:textFill>
        </w:rPr>
        <w:t>依据地下水功能敏感性与包气带防污性能，对地下水环境敏感程度进行分级判定。</w:t>
      </w:r>
    </w:p>
    <w:p w14:paraId="3A05E95C">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8</w:t>
      </w:r>
      <w:r>
        <w:rPr>
          <w:rFonts w:hint="eastAsia"/>
          <w:b/>
          <w:kern w:val="0"/>
          <w:sz w:val="24"/>
        </w:rPr>
        <w:t>地下水敏感程度一览表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265"/>
        <w:gridCol w:w="2266"/>
        <w:gridCol w:w="2266"/>
      </w:tblGrid>
      <w:tr w14:paraId="2348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vMerge w:val="restart"/>
            <w:shd w:val="clear" w:color="auto" w:fill="auto"/>
            <w:vAlign w:val="center"/>
          </w:tcPr>
          <w:p w14:paraId="2EFB2506">
            <w:pPr>
              <w:widowControl/>
              <w:adjustRightInd w:val="0"/>
              <w:snapToGrid w:val="0"/>
              <w:jc w:val="center"/>
              <w:rPr>
                <w:spacing w:val="10"/>
                <w:kern w:val="0"/>
                <w:szCs w:val="21"/>
                <w:lang w:val="zh-CN"/>
              </w:rPr>
            </w:pPr>
            <w:r>
              <w:rPr>
                <w:spacing w:val="10"/>
                <w:kern w:val="0"/>
                <w:szCs w:val="21"/>
                <w:lang w:val="zh-CN"/>
              </w:rPr>
              <w:t>包气带防污性能</w:t>
            </w:r>
          </w:p>
        </w:tc>
        <w:tc>
          <w:tcPr>
            <w:tcW w:w="6746" w:type="dxa"/>
            <w:gridSpan w:val="3"/>
            <w:shd w:val="clear" w:color="auto" w:fill="auto"/>
            <w:vAlign w:val="center"/>
          </w:tcPr>
          <w:p w14:paraId="20D302F5">
            <w:pPr>
              <w:widowControl/>
              <w:adjustRightInd w:val="0"/>
              <w:snapToGrid w:val="0"/>
              <w:jc w:val="center"/>
              <w:rPr>
                <w:spacing w:val="10"/>
                <w:kern w:val="0"/>
                <w:szCs w:val="21"/>
                <w:lang w:val="zh-CN"/>
              </w:rPr>
            </w:pPr>
            <w:r>
              <w:rPr>
                <w:spacing w:val="10"/>
                <w:kern w:val="0"/>
                <w:szCs w:val="21"/>
                <w:lang w:val="zh-CN"/>
              </w:rPr>
              <w:t>地下水功能敏感性</w:t>
            </w:r>
          </w:p>
        </w:tc>
      </w:tr>
      <w:tr w14:paraId="5EB5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vMerge w:val="continue"/>
            <w:shd w:val="clear" w:color="auto" w:fill="auto"/>
            <w:vAlign w:val="center"/>
          </w:tcPr>
          <w:p w14:paraId="281B1728">
            <w:pPr>
              <w:widowControl/>
              <w:adjustRightInd w:val="0"/>
              <w:snapToGrid w:val="0"/>
              <w:jc w:val="center"/>
              <w:rPr>
                <w:spacing w:val="10"/>
                <w:kern w:val="0"/>
                <w:szCs w:val="21"/>
                <w:lang w:val="zh-CN"/>
              </w:rPr>
            </w:pPr>
          </w:p>
        </w:tc>
        <w:tc>
          <w:tcPr>
            <w:tcW w:w="2248" w:type="dxa"/>
            <w:shd w:val="clear" w:color="auto" w:fill="auto"/>
            <w:vAlign w:val="center"/>
          </w:tcPr>
          <w:p w14:paraId="5589A360">
            <w:pPr>
              <w:widowControl/>
              <w:adjustRightInd w:val="0"/>
              <w:snapToGrid w:val="0"/>
              <w:jc w:val="center"/>
              <w:rPr>
                <w:spacing w:val="10"/>
                <w:kern w:val="0"/>
                <w:szCs w:val="21"/>
                <w:lang w:val="zh-CN"/>
              </w:rPr>
            </w:pPr>
            <w:r>
              <w:rPr>
                <w:spacing w:val="10"/>
                <w:kern w:val="0"/>
                <w:szCs w:val="21"/>
                <w:lang w:val="zh-CN"/>
              </w:rPr>
              <w:t>G1</w:t>
            </w:r>
          </w:p>
        </w:tc>
        <w:tc>
          <w:tcPr>
            <w:tcW w:w="2249" w:type="dxa"/>
            <w:shd w:val="clear" w:color="auto" w:fill="auto"/>
            <w:vAlign w:val="center"/>
          </w:tcPr>
          <w:p w14:paraId="5217D54F">
            <w:pPr>
              <w:widowControl/>
              <w:adjustRightInd w:val="0"/>
              <w:snapToGrid w:val="0"/>
              <w:jc w:val="center"/>
              <w:rPr>
                <w:spacing w:val="10"/>
                <w:kern w:val="0"/>
                <w:szCs w:val="21"/>
                <w:lang w:val="zh-CN"/>
              </w:rPr>
            </w:pPr>
            <w:r>
              <w:rPr>
                <w:spacing w:val="10"/>
                <w:kern w:val="0"/>
                <w:szCs w:val="21"/>
                <w:lang w:val="zh-CN"/>
              </w:rPr>
              <w:t>G2</w:t>
            </w:r>
          </w:p>
        </w:tc>
        <w:tc>
          <w:tcPr>
            <w:tcW w:w="2249" w:type="dxa"/>
            <w:shd w:val="clear" w:color="auto" w:fill="auto"/>
            <w:vAlign w:val="center"/>
          </w:tcPr>
          <w:p w14:paraId="0ADE5B91">
            <w:pPr>
              <w:widowControl/>
              <w:adjustRightInd w:val="0"/>
              <w:snapToGrid w:val="0"/>
              <w:jc w:val="center"/>
              <w:rPr>
                <w:spacing w:val="10"/>
                <w:kern w:val="0"/>
                <w:szCs w:val="21"/>
                <w:lang w:val="zh-CN"/>
              </w:rPr>
            </w:pPr>
            <w:r>
              <w:rPr>
                <w:spacing w:val="10"/>
                <w:kern w:val="0"/>
                <w:szCs w:val="21"/>
                <w:lang w:val="zh-CN"/>
              </w:rPr>
              <w:t>G3</w:t>
            </w:r>
          </w:p>
        </w:tc>
      </w:tr>
      <w:tr w14:paraId="3F2D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4C863EC0">
            <w:pPr>
              <w:widowControl/>
              <w:adjustRightInd w:val="0"/>
              <w:snapToGrid w:val="0"/>
              <w:jc w:val="center"/>
              <w:rPr>
                <w:spacing w:val="10"/>
                <w:kern w:val="0"/>
                <w:szCs w:val="21"/>
                <w:lang w:val="zh-CN"/>
              </w:rPr>
            </w:pPr>
            <w:r>
              <w:rPr>
                <w:spacing w:val="10"/>
                <w:kern w:val="0"/>
                <w:szCs w:val="21"/>
                <w:lang w:val="zh-CN"/>
              </w:rPr>
              <w:t>D1</w:t>
            </w:r>
          </w:p>
        </w:tc>
        <w:tc>
          <w:tcPr>
            <w:tcW w:w="2248" w:type="dxa"/>
            <w:shd w:val="clear" w:color="auto" w:fill="auto"/>
            <w:vAlign w:val="center"/>
          </w:tcPr>
          <w:p w14:paraId="7D01C43D">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12502EFD">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5FBFB560">
            <w:pPr>
              <w:widowControl/>
              <w:adjustRightInd w:val="0"/>
              <w:snapToGrid w:val="0"/>
              <w:jc w:val="center"/>
              <w:rPr>
                <w:spacing w:val="10"/>
                <w:kern w:val="0"/>
                <w:szCs w:val="21"/>
                <w:lang w:val="zh-CN"/>
              </w:rPr>
            </w:pPr>
            <w:r>
              <w:rPr>
                <w:spacing w:val="10"/>
                <w:kern w:val="0"/>
                <w:szCs w:val="21"/>
                <w:lang w:val="zh-CN"/>
              </w:rPr>
              <w:t>E2</w:t>
            </w:r>
          </w:p>
        </w:tc>
      </w:tr>
      <w:tr w14:paraId="3BF9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32653070">
            <w:pPr>
              <w:widowControl/>
              <w:adjustRightInd w:val="0"/>
              <w:snapToGrid w:val="0"/>
              <w:jc w:val="center"/>
              <w:rPr>
                <w:spacing w:val="10"/>
                <w:kern w:val="0"/>
                <w:szCs w:val="21"/>
                <w:lang w:val="zh-CN"/>
              </w:rPr>
            </w:pPr>
            <w:r>
              <w:rPr>
                <w:spacing w:val="10"/>
                <w:kern w:val="0"/>
                <w:szCs w:val="21"/>
                <w:lang w:val="zh-CN"/>
              </w:rPr>
              <w:t>D2</w:t>
            </w:r>
          </w:p>
        </w:tc>
        <w:tc>
          <w:tcPr>
            <w:tcW w:w="2248" w:type="dxa"/>
            <w:shd w:val="clear" w:color="auto" w:fill="auto"/>
            <w:vAlign w:val="center"/>
          </w:tcPr>
          <w:p w14:paraId="25F94890">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24EF6A34">
            <w:pPr>
              <w:widowControl/>
              <w:adjustRightInd w:val="0"/>
              <w:snapToGrid w:val="0"/>
              <w:jc w:val="center"/>
              <w:rPr>
                <w:spacing w:val="10"/>
                <w:kern w:val="0"/>
                <w:szCs w:val="21"/>
                <w:lang w:val="zh-CN"/>
              </w:rPr>
            </w:pPr>
            <w:r>
              <w:rPr>
                <w:spacing w:val="10"/>
                <w:kern w:val="0"/>
                <w:szCs w:val="21"/>
                <w:lang w:val="zh-CN"/>
              </w:rPr>
              <w:t>E2</w:t>
            </w:r>
          </w:p>
        </w:tc>
        <w:tc>
          <w:tcPr>
            <w:tcW w:w="2249" w:type="dxa"/>
            <w:shd w:val="clear" w:color="auto" w:fill="auto"/>
            <w:vAlign w:val="center"/>
          </w:tcPr>
          <w:p w14:paraId="5463FFE2">
            <w:pPr>
              <w:widowControl/>
              <w:adjustRightInd w:val="0"/>
              <w:snapToGrid w:val="0"/>
              <w:jc w:val="center"/>
              <w:rPr>
                <w:spacing w:val="10"/>
                <w:kern w:val="0"/>
                <w:szCs w:val="21"/>
                <w:lang w:val="zh-CN"/>
              </w:rPr>
            </w:pPr>
            <w:r>
              <w:rPr>
                <w:spacing w:val="10"/>
                <w:kern w:val="0"/>
                <w:szCs w:val="21"/>
                <w:lang w:val="zh-CN"/>
              </w:rPr>
              <w:t>E3</w:t>
            </w:r>
          </w:p>
        </w:tc>
      </w:tr>
      <w:tr w14:paraId="36CB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5AB26D68">
            <w:pPr>
              <w:widowControl/>
              <w:adjustRightInd w:val="0"/>
              <w:snapToGrid w:val="0"/>
              <w:jc w:val="center"/>
              <w:rPr>
                <w:spacing w:val="10"/>
                <w:kern w:val="0"/>
                <w:szCs w:val="21"/>
                <w:lang w:val="zh-CN"/>
              </w:rPr>
            </w:pPr>
            <w:r>
              <w:rPr>
                <w:spacing w:val="10"/>
                <w:kern w:val="0"/>
                <w:szCs w:val="21"/>
                <w:lang w:val="zh-CN"/>
              </w:rPr>
              <w:t>D3</w:t>
            </w:r>
          </w:p>
        </w:tc>
        <w:tc>
          <w:tcPr>
            <w:tcW w:w="2248" w:type="dxa"/>
            <w:shd w:val="clear" w:color="auto" w:fill="auto"/>
            <w:vAlign w:val="center"/>
          </w:tcPr>
          <w:p w14:paraId="79A13F32">
            <w:pPr>
              <w:widowControl/>
              <w:adjustRightInd w:val="0"/>
              <w:snapToGrid w:val="0"/>
              <w:jc w:val="center"/>
              <w:rPr>
                <w:spacing w:val="10"/>
                <w:kern w:val="0"/>
                <w:szCs w:val="21"/>
                <w:lang w:val="zh-CN"/>
              </w:rPr>
            </w:pPr>
            <w:r>
              <w:rPr>
                <w:spacing w:val="10"/>
                <w:kern w:val="0"/>
                <w:szCs w:val="21"/>
                <w:lang w:val="zh-CN"/>
              </w:rPr>
              <w:t>E2</w:t>
            </w:r>
          </w:p>
        </w:tc>
        <w:tc>
          <w:tcPr>
            <w:tcW w:w="2249" w:type="dxa"/>
            <w:shd w:val="clear" w:color="auto" w:fill="auto"/>
            <w:vAlign w:val="center"/>
          </w:tcPr>
          <w:p w14:paraId="3B876B5D">
            <w:pPr>
              <w:widowControl/>
              <w:adjustRightInd w:val="0"/>
              <w:snapToGrid w:val="0"/>
              <w:jc w:val="center"/>
              <w:rPr>
                <w:spacing w:val="10"/>
                <w:kern w:val="0"/>
                <w:szCs w:val="21"/>
                <w:lang w:val="zh-CN"/>
              </w:rPr>
            </w:pPr>
            <w:r>
              <w:rPr>
                <w:spacing w:val="10"/>
                <w:kern w:val="0"/>
                <w:szCs w:val="21"/>
                <w:lang w:val="zh-CN"/>
              </w:rPr>
              <w:t>E3</w:t>
            </w:r>
          </w:p>
        </w:tc>
        <w:tc>
          <w:tcPr>
            <w:tcW w:w="2249" w:type="dxa"/>
            <w:shd w:val="clear" w:color="auto" w:fill="auto"/>
            <w:vAlign w:val="center"/>
          </w:tcPr>
          <w:p w14:paraId="316846D4">
            <w:pPr>
              <w:widowControl/>
              <w:adjustRightInd w:val="0"/>
              <w:snapToGrid w:val="0"/>
              <w:jc w:val="center"/>
              <w:rPr>
                <w:spacing w:val="10"/>
                <w:kern w:val="0"/>
                <w:szCs w:val="21"/>
                <w:lang w:val="zh-CN"/>
              </w:rPr>
            </w:pPr>
            <w:r>
              <w:rPr>
                <w:spacing w:val="10"/>
                <w:kern w:val="0"/>
                <w:szCs w:val="21"/>
                <w:lang w:val="zh-CN"/>
              </w:rPr>
              <w:t>E3</w:t>
            </w:r>
          </w:p>
        </w:tc>
      </w:tr>
    </w:tbl>
    <w:p w14:paraId="5D27A2B3">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9</w:t>
      </w:r>
      <w:r>
        <w:rPr>
          <w:rFonts w:hint="eastAsia"/>
          <w:b/>
          <w:kern w:val="0"/>
          <w:sz w:val="24"/>
        </w:rPr>
        <w:t>地下水功能敏感性分区一览表</w:t>
      </w:r>
    </w:p>
    <w:tbl>
      <w:tblPr>
        <w:tblStyle w:val="26"/>
        <w:tblW w:w="5163"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2"/>
        <w:gridCol w:w="8021"/>
      </w:tblGrid>
      <w:tr w14:paraId="681A1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113" w:type="dxa"/>
            <w:shd w:val="clear" w:color="auto" w:fill="auto"/>
            <w:vAlign w:val="center"/>
          </w:tcPr>
          <w:p w14:paraId="0F03226E">
            <w:pPr>
              <w:widowControl/>
              <w:adjustRightInd w:val="0"/>
              <w:snapToGrid w:val="0"/>
              <w:jc w:val="center"/>
              <w:rPr>
                <w:spacing w:val="10"/>
                <w:kern w:val="0"/>
                <w:szCs w:val="21"/>
                <w:lang w:val="zh-CN"/>
              </w:rPr>
            </w:pPr>
            <w:r>
              <w:rPr>
                <w:spacing w:val="10"/>
                <w:kern w:val="0"/>
                <w:szCs w:val="21"/>
                <w:lang w:val="zh-CN"/>
              </w:rPr>
              <w:t>敏感性</w:t>
            </w:r>
          </w:p>
        </w:tc>
        <w:tc>
          <w:tcPr>
            <w:tcW w:w="7960" w:type="dxa"/>
            <w:shd w:val="clear" w:color="auto" w:fill="auto"/>
          </w:tcPr>
          <w:p w14:paraId="335E358E">
            <w:pPr>
              <w:widowControl/>
              <w:adjustRightInd w:val="0"/>
              <w:snapToGrid w:val="0"/>
              <w:jc w:val="center"/>
              <w:rPr>
                <w:spacing w:val="10"/>
                <w:kern w:val="0"/>
                <w:szCs w:val="21"/>
                <w:lang w:val="zh-CN"/>
              </w:rPr>
            </w:pPr>
            <w:r>
              <w:rPr>
                <w:spacing w:val="10"/>
                <w:kern w:val="0"/>
                <w:szCs w:val="21"/>
                <w:lang w:val="zh-CN"/>
              </w:rPr>
              <w:t>地下水环境敏感特征</w:t>
            </w:r>
          </w:p>
        </w:tc>
      </w:tr>
      <w:tr w14:paraId="57AA5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3" w:type="dxa"/>
            <w:shd w:val="clear" w:color="auto" w:fill="auto"/>
            <w:vAlign w:val="center"/>
          </w:tcPr>
          <w:p w14:paraId="1A221B2F">
            <w:pPr>
              <w:widowControl/>
              <w:adjustRightInd w:val="0"/>
              <w:snapToGrid w:val="0"/>
              <w:jc w:val="center"/>
              <w:rPr>
                <w:spacing w:val="10"/>
                <w:kern w:val="0"/>
                <w:szCs w:val="21"/>
                <w:lang w:val="zh-CN"/>
              </w:rPr>
            </w:pPr>
            <w:r>
              <w:rPr>
                <w:spacing w:val="10"/>
                <w:kern w:val="0"/>
                <w:szCs w:val="21"/>
                <w:lang w:val="zh-CN"/>
              </w:rPr>
              <w:t>敏感G1</w:t>
            </w:r>
          </w:p>
        </w:tc>
        <w:tc>
          <w:tcPr>
            <w:tcW w:w="7960" w:type="dxa"/>
            <w:shd w:val="clear" w:color="auto" w:fill="auto"/>
            <w:vAlign w:val="center"/>
          </w:tcPr>
          <w:p w14:paraId="67DE70BD">
            <w:pPr>
              <w:widowControl/>
              <w:adjustRightInd w:val="0"/>
              <w:snapToGrid w:val="0"/>
              <w:jc w:val="center"/>
              <w:rPr>
                <w:spacing w:val="10"/>
                <w:kern w:val="0"/>
                <w:szCs w:val="21"/>
                <w:lang w:val="zh-CN"/>
              </w:rPr>
            </w:pPr>
            <w:r>
              <w:rPr>
                <w:spacing w:val="10"/>
                <w:kern w:val="0"/>
                <w:szCs w:val="21"/>
                <w:lang w:val="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029E9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3" w:type="dxa"/>
            <w:shd w:val="clear" w:color="auto" w:fill="auto"/>
            <w:vAlign w:val="center"/>
          </w:tcPr>
          <w:p w14:paraId="4544B5E5">
            <w:pPr>
              <w:widowControl/>
              <w:adjustRightInd w:val="0"/>
              <w:snapToGrid w:val="0"/>
              <w:jc w:val="center"/>
              <w:rPr>
                <w:spacing w:val="10"/>
                <w:kern w:val="0"/>
                <w:szCs w:val="21"/>
                <w:lang w:val="zh-CN"/>
              </w:rPr>
            </w:pPr>
            <w:r>
              <w:rPr>
                <w:spacing w:val="10"/>
                <w:kern w:val="0"/>
                <w:szCs w:val="21"/>
                <w:lang w:val="zh-CN"/>
              </w:rPr>
              <w:t>较敏感G2</w:t>
            </w:r>
          </w:p>
        </w:tc>
        <w:tc>
          <w:tcPr>
            <w:tcW w:w="7960" w:type="dxa"/>
            <w:shd w:val="clear" w:color="auto" w:fill="auto"/>
            <w:vAlign w:val="center"/>
          </w:tcPr>
          <w:p w14:paraId="3D9D6C92">
            <w:pPr>
              <w:widowControl/>
              <w:adjustRightInd w:val="0"/>
              <w:snapToGrid w:val="0"/>
              <w:jc w:val="center"/>
              <w:rPr>
                <w:spacing w:val="10"/>
                <w:kern w:val="0"/>
                <w:szCs w:val="21"/>
                <w:lang w:val="zh-CN"/>
              </w:rPr>
            </w:pPr>
            <w:r>
              <w:rPr>
                <w:spacing w:val="10"/>
                <w:kern w:val="0"/>
                <w:szCs w:val="21"/>
                <w:lang w:val="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r>
      <w:tr w14:paraId="0BB95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3" w:type="dxa"/>
            <w:shd w:val="clear" w:color="auto" w:fill="auto"/>
            <w:vAlign w:val="center"/>
          </w:tcPr>
          <w:p w14:paraId="6C05956C">
            <w:pPr>
              <w:widowControl/>
              <w:adjustRightInd w:val="0"/>
              <w:snapToGrid w:val="0"/>
              <w:jc w:val="center"/>
              <w:rPr>
                <w:spacing w:val="10"/>
                <w:kern w:val="0"/>
                <w:szCs w:val="21"/>
                <w:lang w:val="zh-CN"/>
              </w:rPr>
            </w:pPr>
            <w:r>
              <w:rPr>
                <w:spacing w:val="10"/>
                <w:kern w:val="0"/>
                <w:szCs w:val="21"/>
                <w:lang w:val="zh-CN"/>
              </w:rPr>
              <w:t>不敏感G3</w:t>
            </w:r>
          </w:p>
        </w:tc>
        <w:tc>
          <w:tcPr>
            <w:tcW w:w="7960" w:type="dxa"/>
            <w:shd w:val="clear" w:color="auto" w:fill="auto"/>
            <w:vAlign w:val="center"/>
          </w:tcPr>
          <w:p w14:paraId="523ABFDE">
            <w:pPr>
              <w:widowControl/>
              <w:adjustRightInd w:val="0"/>
              <w:snapToGrid w:val="0"/>
              <w:jc w:val="center"/>
              <w:rPr>
                <w:spacing w:val="10"/>
                <w:kern w:val="0"/>
                <w:szCs w:val="21"/>
                <w:lang w:val="zh-CN"/>
              </w:rPr>
            </w:pPr>
            <w:r>
              <w:rPr>
                <w:spacing w:val="10"/>
                <w:kern w:val="0"/>
                <w:szCs w:val="21"/>
                <w:lang w:val="zh-CN"/>
              </w:rPr>
              <w:t>上述地区之外的其他地区</w:t>
            </w:r>
          </w:p>
        </w:tc>
      </w:tr>
      <w:tr w14:paraId="63DA5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73" w:type="dxa"/>
            <w:gridSpan w:val="2"/>
            <w:shd w:val="clear" w:color="auto" w:fill="auto"/>
            <w:vAlign w:val="center"/>
          </w:tcPr>
          <w:p w14:paraId="216095CC">
            <w:pPr>
              <w:widowControl/>
              <w:adjustRightInd w:val="0"/>
              <w:snapToGrid w:val="0"/>
              <w:jc w:val="center"/>
              <w:rPr>
                <w:spacing w:val="10"/>
                <w:kern w:val="0"/>
                <w:szCs w:val="21"/>
                <w:lang w:val="zh-CN"/>
              </w:rPr>
            </w:pPr>
            <w:r>
              <w:rPr>
                <w:spacing w:val="10"/>
                <w:kern w:val="0"/>
                <w:szCs w:val="21"/>
                <w:lang w:val="zh-CN"/>
              </w:rPr>
              <w:t>a“环境敏感区”是指《建设项目环境影响评价分类管理名录》中所界定的涉及地下水的环境敏感区</w:t>
            </w:r>
          </w:p>
        </w:tc>
      </w:tr>
    </w:tbl>
    <w:p w14:paraId="622824F6">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10</w:t>
      </w:r>
      <w:r>
        <w:rPr>
          <w:rFonts w:hint="eastAsia"/>
          <w:b/>
          <w:kern w:val="0"/>
          <w:sz w:val="24"/>
        </w:rPr>
        <w:t>地下水功能敏感性分区一览表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2265"/>
        <w:gridCol w:w="2266"/>
        <w:gridCol w:w="2266"/>
      </w:tblGrid>
      <w:tr w14:paraId="6D5E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vMerge w:val="restart"/>
            <w:shd w:val="clear" w:color="auto" w:fill="auto"/>
            <w:vAlign w:val="center"/>
          </w:tcPr>
          <w:p w14:paraId="2DC76F3C">
            <w:pPr>
              <w:widowControl/>
              <w:adjustRightInd w:val="0"/>
              <w:snapToGrid w:val="0"/>
              <w:jc w:val="center"/>
              <w:rPr>
                <w:spacing w:val="10"/>
                <w:kern w:val="0"/>
                <w:szCs w:val="21"/>
                <w:lang w:val="zh-CN"/>
              </w:rPr>
            </w:pPr>
            <w:r>
              <w:rPr>
                <w:spacing w:val="10"/>
                <w:kern w:val="0"/>
                <w:szCs w:val="21"/>
                <w:lang w:val="zh-CN"/>
              </w:rPr>
              <w:t>包气带防污性能</w:t>
            </w:r>
          </w:p>
        </w:tc>
        <w:tc>
          <w:tcPr>
            <w:tcW w:w="6746" w:type="dxa"/>
            <w:gridSpan w:val="3"/>
            <w:shd w:val="clear" w:color="auto" w:fill="auto"/>
            <w:vAlign w:val="center"/>
          </w:tcPr>
          <w:p w14:paraId="216C4962">
            <w:pPr>
              <w:widowControl/>
              <w:adjustRightInd w:val="0"/>
              <w:snapToGrid w:val="0"/>
              <w:jc w:val="center"/>
              <w:rPr>
                <w:spacing w:val="10"/>
                <w:kern w:val="0"/>
                <w:szCs w:val="21"/>
                <w:lang w:val="zh-CN"/>
              </w:rPr>
            </w:pPr>
            <w:r>
              <w:rPr>
                <w:spacing w:val="10"/>
                <w:kern w:val="0"/>
                <w:szCs w:val="21"/>
                <w:lang w:val="zh-CN"/>
              </w:rPr>
              <w:t>地下水功能敏感性</w:t>
            </w:r>
          </w:p>
        </w:tc>
      </w:tr>
      <w:tr w14:paraId="179A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vMerge w:val="continue"/>
            <w:shd w:val="clear" w:color="auto" w:fill="auto"/>
            <w:vAlign w:val="center"/>
          </w:tcPr>
          <w:p w14:paraId="6494678A">
            <w:pPr>
              <w:widowControl/>
              <w:adjustRightInd w:val="0"/>
              <w:snapToGrid w:val="0"/>
              <w:jc w:val="center"/>
              <w:rPr>
                <w:spacing w:val="10"/>
                <w:kern w:val="0"/>
                <w:szCs w:val="21"/>
                <w:lang w:val="zh-CN"/>
              </w:rPr>
            </w:pPr>
          </w:p>
        </w:tc>
        <w:tc>
          <w:tcPr>
            <w:tcW w:w="2248" w:type="dxa"/>
            <w:shd w:val="clear" w:color="auto" w:fill="auto"/>
            <w:vAlign w:val="center"/>
          </w:tcPr>
          <w:p w14:paraId="03E7E480">
            <w:pPr>
              <w:widowControl/>
              <w:adjustRightInd w:val="0"/>
              <w:snapToGrid w:val="0"/>
              <w:jc w:val="center"/>
              <w:rPr>
                <w:spacing w:val="10"/>
                <w:kern w:val="0"/>
                <w:szCs w:val="21"/>
                <w:lang w:val="zh-CN"/>
              </w:rPr>
            </w:pPr>
            <w:r>
              <w:rPr>
                <w:spacing w:val="10"/>
                <w:kern w:val="0"/>
                <w:szCs w:val="21"/>
                <w:lang w:val="zh-CN"/>
              </w:rPr>
              <w:t>G1</w:t>
            </w:r>
          </w:p>
        </w:tc>
        <w:tc>
          <w:tcPr>
            <w:tcW w:w="2249" w:type="dxa"/>
            <w:shd w:val="clear" w:color="auto" w:fill="auto"/>
            <w:vAlign w:val="center"/>
          </w:tcPr>
          <w:p w14:paraId="5BC84744">
            <w:pPr>
              <w:widowControl/>
              <w:adjustRightInd w:val="0"/>
              <w:snapToGrid w:val="0"/>
              <w:jc w:val="center"/>
              <w:rPr>
                <w:spacing w:val="10"/>
                <w:kern w:val="0"/>
                <w:szCs w:val="21"/>
                <w:lang w:val="zh-CN"/>
              </w:rPr>
            </w:pPr>
            <w:r>
              <w:rPr>
                <w:spacing w:val="10"/>
                <w:kern w:val="0"/>
                <w:szCs w:val="21"/>
                <w:lang w:val="zh-CN"/>
              </w:rPr>
              <w:t>G2</w:t>
            </w:r>
          </w:p>
        </w:tc>
        <w:tc>
          <w:tcPr>
            <w:tcW w:w="2249" w:type="dxa"/>
            <w:tcBorders>
              <w:bottom w:val="single" w:color="auto" w:sz="4" w:space="0"/>
            </w:tcBorders>
            <w:shd w:val="clear" w:color="auto" w:fill="auto"/>
            <w:vAlign w:val="center"/>
          </w:tcPr>
          <w:p w14:paraId="734D55D7">
            <w:pPr>
              <w:widowControl/>
              <w:adjustRightInd w:val="0"/>
              <w:snapToGrid w:val="0"/>
              <w:jc w:val="center"/>
              <w:rPr>
                <w:spacing w:val="10"/>
                <w:kern w:val="0"/>
                <w:szCs w:val="21"/>
                <w:lang w:val="zh-CN"/>
              </w:rPr>
            </w:pPr>
            <w:r>
              <w:rPr>
                <w:spacing w:val="10"/>
                <w:kern w:val="0"/>
                <w:szCs w:val="21"/>
                <w:lang w:val="zh-CN"/>
              </w:rPr>
              <w:t>G3</w:t>
            </w:r>
          </w:p>
        </w:tc>
      </w:tr>
      <w:tr w14:paraId="1B50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175BDB1D">
            <w:pPr>
              <w:widowControl/>
              <w:adjustRightInd w:val="0"/>
              <w:snapToGrid w:val="0"/>
              <w:jc w:val="center"/>
              <w:rPr>
                <w:spacing w:val="10"/>
                <w:kern w:val="0"/>
                <w:szCs w:val="21"/>
                <w:lang w:val="zh-CN"/>
              </w:rPr>
            </w:pPr>
            <w:r>
              <w:rPr>
                <w:spacing w:val="10"/>
                <w:kern w:val="0"/>
                <w:szCs w:val="21"/>
                <w:lang w:val="zh-CN"/>
              </w:rPr>
              <w:t>D1</w:t>
            </w:r>
          </w:p>
        </w:tc>
        <w:tc>
          <w:tcPr>
            <w:tcW w:w="2248" w:type="dxa"/>
            <w:shd w:val="clear" w:color="auto" w:fill="auto"/>
            <w:vAlign w:val="center"/>
          </w:tcPr>
          <w:p w14:paraId="12EC298E">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42F502F1">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481DB0DF">
            <w:pPr>
              <w:widowControl/>
              <w:adjustRightInd w:val="0"/>
              <w:snapToGrid w:val="0"/>
              <w:jc w:val="center"/>
              <w:rPr>
                <w:spacing w:val="10"/>
                <w:kern w:val="0"/>
                <w:szCs w:val="21"/>
                <w:lang w:val="zh-CN"/>
              </w:rPr>
            </w:pPr>
            <w:r>
              <w:rPr>
                <w:spacing w:val="10"/>
                <w:kern w:val="0"/>
                <w:szCs w:val="21"/>
                <w:lang w:val="zh-CN"/>
              </w:rPr>
              <w:t>E2</w:t>
            </w:r>
          </w:p>
        </w:tc>
      </w:tr>
      <w:tr w14:paraId="6A00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18FDD992">
            <w:pPr>
              <w:widowControl/>
              <w:adjustRightInd w:val="0"/>
              <w:snapToGrid w:val="0"/>
              <w:jc w:val="center"/>
              <w:rPr>
                <w:spacing w:val="10"/>
                <w:kern w:val="0"/>
                <w:szCs w:val="21"/>
                <w:lang w:val="zh-CN"/>
              </w:rPr>
            </w:pPr>
            <w:r>
              <w:rPr>
                <w:spacing w:val="10"/>
                <w:kern w:val="0"/>
                <w:szCs w:val="21"/>
                <w:lang w:val="zh-CN"/>
              </w:rPr>
              <w:t>D2</w:t>
            </w:r>
          </w:p>
        </w:tc>
        <w:tc>
          <w:tcPr>
            <w:tcW w:w="2248" w:type="dxa"/>
            <w:shd w:val="clear" w:color="auto" w:fill="auto"/>
            <w:vAlign w:val="center"/>
          </w:tcPr>
          <w:p w14:paraId="2CDD5E02">
            <w:pPr>
              <w:widowControl/>
              <w:adjustRightInd w:val="0"/>
              <w:snapToGrid w:val="0"/>
              <w:jc w:val="center"/>
              <w:rPr>
                <w:spacing w:val="10"/>
                <w:kern w:val="0"/>
                <w:szCs w:val="21"/>
                <w:lang w:val="zh-CN"/>
              </w:rPr>
            </w:pPr>
            <w:r>
              <w:rPr>
                <w:spacing w:val="10"/>
                <w:kern w:val="0"/>
                <w:szCs w:val="21"/>
                <w:lang w:val="zh-CN"/>
              </w:rPr>
              <w:t>E1</w:t>
            </w:r>
          </w:p>
        </w:tc>
        <w:tc>
          <w:tcPr>
            <w:tcW w:w="2249" w:type="dxa"/>
            <w:shd w:val="clear" w:color="auto" w:fill="auto"/>
            <w:vAlign w:val="center"/>
          </w:tcPr>
          <w:p w14:paraId="1B04A453">
            <w:pPr>
              <w:widowControl/>
              <w:adjustRightInd w:val="0"/>
              <w:snapToGrid w:val="0"/>
              <w:jc w:val="center"/>
              <w:rPr>
                <w:spacing w:val="10"/>
                <w:kern w:val="0"/>
                <w:szCs w:val="21"/>
                <w:lang w:val="zh-CN"/>
              </w:rPr>
            </w:pPr>
            <w:r>
              <w:rPr>
                <w:spacing w:val="10"/>
                <w:kern w:val="0"/>
                <w:szCs w:val="21"/>
                <w:lang w:val="zh-CN"/>
              </w:rPr>
              <w:t>E2</w:t>
            </w:r>
          </w:p>
        </w:tc>
        <w:tc>
          <w:tcPr>
            <w:tcW w:w="2249" w:type="dxa"/>
            <w:tcBorders>
              <w:bottom w:val="single" w:color="auto" w:sz="4" w:space="0"/>
            </w:tcBorders>
            <w:shd w:val="clear" w:color="auto" w:fill="BEBEBE" w:themeFill="background1" w:themeFillShade="BF"/>
            <w:vAlign w:val="center"/>
          </w:tcPr>
          <w:p w14:paraId="718ED285">
            <w:pPr>
              <w:widowControl/>
              <w:adjustRightInd w:val="0"/>
              <w:snapToGrid w:val="0"/>
              <w:jc w:val="center"/>
              <w:rPr>
                <w:spacing w:val="10"/>
                <w:kern w:val="0"/>
                <w:szCs w:val="21"/>
                <w:lang w:val="zh-CN"/>
              </w:rPr>
            </w:pPr>
            <w:r>
              <w:rPr>
                <w:spacing w:val="10"/>
                <w:kern w:val="0"/>
                <w:szCs w:val="21"/>
                <w:lang w:val="zh-CN"/>
              </w:rPr>
              <w:t>E3</w:t>
            </w:r>
          </w:p>
        </w:tc>
      </w:tr>
      <w:tr w14:paraId="6D6C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7" w:type="dxa"/>
            <w:shd w:val="clear" w:color="auto" w:fill="auto"/>
            <w:vAlign w:val="center"/>
          </w:tcPr>
          <w:p w14:paraId="5FC2DD70">
            <w:pPr>
              <w:widowControl/>
              <w:adjustRightInd w:val="0"/>
              <w:snapToGrid w:val="0"/>
              <w:jc w:val="center"/>
              <w:rPr>
                <w:spacing w:val="10"/>
                <w:kern w:val="0"/>
                <w:szCs w:val="21"/>
                <w:lang w:val="zh-CN"/>
              </w:rPr>
            </w:pPr>
            <w:r>
              <w:rPr>
                <w:spacing w:val="10"/>
                <w:kern w:val="0"/>
                <w:szCs w:val="21"/>
                <w:lang w:val="zh-CN"/>
              </w:rPr>
              <w:t>D3</w:t>
            </w:r>
          </w:p>
        </w:tc>
        <w:tc>
          <w:tcPr>
            <w:tcW w:w="2248" w:type="dxa"/>
            <w:shd w:val="clear" w:color="auto" w:fill="auto"/>
            <w:vAlign w:val="center"/>
          </w:tcPr>
          <w:p w14:paraId="4A46A35C">
            <w:pPr>
              <w:widowControl/>
              <w:adjustRightInd w:val="0"/>
              <w:snapToGrid w:val="0"/>
              <w:jc w:val="center"/>
              <w:rPr>
                <w:spacing w:val="10"/>
                <w:kern w:val="0"/>
                <w:szCs w:val="21"/>
                <w:lang w:val="zh-CN"/>
              </w:rPr>
            </w:pPr>
            <w:r>
              <w:rPr>
                <w:spacing w:val="10"/>
                <w:kern w:val="0"/>
                <w:szCs w:val="21"/>
                <w:lang w:val="zh-CN"/>
              </w:rPr>
              <w:t>E2</w:t>
            </w:r>
          </w:p>
        </w:tc>
        <w:tc>
          <w:tcPr>
            <w:tcW w:w="2249" w:type="dxa"/>
            <w:shd w:val="clear" w:color="auto" w:fill="auto"/>
            <w:vAlign w:val="center"/>
          </w:tcPr>
          <w:p w14:paraId="028E82BB">
            <w:pPr>
              <w:widowControl/>
              <w:adjustRightInd w:val="0"/>
              <w:snapToGrid w:val="0"/>
              <w:jc w:val="center"/>
              <w:rPr>
                <w:spacing w:val="10"/>
                <w:kern w:val="0"/>
                <w:szCs w:val="21"/>
                <w:lang w:val="zh-CN"/>
              </w:rPr>
            </w:pPr>
            <w:r>
              <w:rPr>
                <w:spacing w:val="10"/>
                <w:kern w:val="0"/>
                <w:szCs w:val="21"/>
                <w:lang w:val="zh-CN"/>
              </w:rPr>
              <w:t>E3</w:t>
            </w:r>
          </w:p>
        </w:tc>
        <w:tc>
          <w:tcPr>
            <w:tcW w:w="2249" w:type="dxa"/>
            <w:shd w:val="clear" w:color="auto" w:fill="auto"/>
            <w:vAlign w:val="center"/>
          </w:tcPr>
          <w:p w14:paraId="583294A2">
            <w:pPr>
              <w:widowControl/>
              <w:adjustRightInd w:val="0"/>
              <w:snapToGrid w:val="0"/>
              <w:jc w:val="center"/>
              <w:rPr>
                <w:spacing w:val="10"/>
                <w:kern w:val="0"/>
                <w:szCs w:val="21"/>
                <w:lang w:val="zh-CN"/>
              </w:rPr>
            </w:pPr>
            <w:r>
              <w:rPr>
                <w:spacing w:val="10"/>
                <w:kern w:val="0"/>
                <w:szCs w:val="21"/>
                <w:lang w:val="zh-CN"/>
              </w:rPr>
              <w:t>E3</w:t>
            </w:r>
          </w:p>
        </w:tc>
      </w:tr>
    </w:tbl>
    <w:p w14:paraId="3AAB254F">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11</w:t>
      </w:r>
      <w:r>
        <w:rPr>
          <w:rFonts w:hint="eastAsia"/>
          <w:b/>
          <w:kern w:val="0"/>
          <w:sz w:val="24"/>
        </w:rPr>
        <w:t>地下水功能敏感性分区一览表</w:t>
      </w:r>
    </w:p>
    <w:tbl>
      <w:tblPr>
        <w:tblStyle w:val="26"/>
        <w:tblW w:w="5163"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8016"/>
      </w:tblGrid>
      <w:tr w14:paraId="1C358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118" w:type="dxa"/>
            <w:shd w:val="clear" w:color="auto" w:fill="auto"/>
            <w:vAlign w:val="center"/>
          </w:tcPr>
          <w:p w14:paraId="76AB7ACA">
            <w:pPr>
              <w:adjustRightInd w:val="0"/>
              <w:snapToGrid w:val="0"/>
              <w:jc w:val="center"/>
              <w:rPr>
                <w:bCs/>
                <w:spacing w:val="10"/>
                <w:szCs w:val="20"/>
              </w:rPr>
            </w:pPr>
            <w:r>
              <w:rPr>
                <w:bCs/>
                <w:spacing w:val="10"/>
                <w:szCs w:val="20"/>
              </w:rPr>
              <w:t>敏感性</w:t>
            </w:r>
          </w:p>
        </w:tc>
        <w:tc>
          <w:tcPr>
            <w:tcW w:w="7955" w:type="dxa"/>
            <w:shd w:val="clear" w:color="auto" w:fill="auto"/>
            <w:vAlign w:val="center"/>
          </w:tcPr>
          <w:p w14:paraId="619A2E91">
            <w:pPr>
              <w:adjustRightInd w:val="0"/>
              <w:snapToGrid w:val="0"/>
              <w:jc w:val="center"/>
              <w:rPr>
                <w:bCs/>
                <w:spacing w:val="10"/>
                <w:szCs w:val="20"/>
              </w:rPr>
            </w:pPr>
            <w:r>
              <w:rPr>
                <w:bCs/>
                <w:spacing w:val="10"/>
                <w:szCs w:val="20"/>
              </w:rPr>
              <w:t>地下水环境敏感特征</w:t>
            </w:r>
          </w:p>
        </w:tc>
      </w:tr>
      <w:tr w14:paraId="21F91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8" w:type="dxa"/>
            <w:shd w:val="clear" w:color="auto" w:fill="auto"/>
            <w:vAlign w:val="center"/>
          </w:tcPr>
          <w:p w14:paraId="2AF4CDEE">
            <w:pPr>
              <w:adjustRightInd w:val="0"/>
              <w:snapToGrid w:val="0"/>
              <w:jc w:val="center"/>
              <w:rPr>
                <w:spacing w:val="10"/>
                <w:szCs w:val="20"/>
              </w:rPr>
            </w:pPr>
            <w:r>
              <w:rPr>
                <w:spacing w:val="10"/>
                <w:szCs w:val="20"/>
              </w:rPr>
              <w:t>敏感G1</w:t>
            </w:r>
          </w:p>
        </w:tc>
        <w:tc>
          <w:tcPr>
            <w:tcW w:w="7955" w:type="dxa"/>
            <w:shd w:val="clear" w:color="auto" w:fill="auto"/>
            <w:vAlign w:val="center"/>
          </w:tcPr>
          <w:p w14:paraId="7310C436">
            <w:pPr>
              <w:adjustRightInd w:val="0"/>
              <w:snapToGrid w:val="0"/>
              <w:jc w:val="center"/>
              <w:rPr>
                <w:spacing w:val="10"/>
                <w:szCs w:val="20"/>
              </w:rPr>
            </w:pPr>
            <w:r>
              <w:rPr>
                <w:spacing w:val="10"/>
                <w:szCs w:val="20"/>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5737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8" w:type="dxa"/>
            <w:shd w:val="clear" w:color="auto" w:fill="auto"/>
            <w:vAlign w:val="center"/>
          </w:tcPr>
          <w:p w14:paraId="18550891">
            <w:pPr>
              <w:adjustRightInd w:val="0"/>
              <w:snapToGrid w:val="0"/>
              <w:jc w:val="center"/>
              <w:rPr>
                <w:spacing w:val="10"/>
                <w:szCs w:val="20"/>
              </w:rPr>
            </w:pPr>
            <w:r>
              <w:rPr>
                <w:spacing w:val="10"/>
                <w:szCs w:val="20"/>
              </w:rPr>
              <w:t>较敏感G2</w:t>
            </w:r>
          </w:p>
        </w:tc>
        <w:tc>
          <w:tcPr>
            <w:tcW w:w="7955" w:type="dxa"/>
            <w:shd w:val="clear" w:color="auto" w:fill="auto"/>
            <w:vAlign w:val="center"/>
          </w:tcPr>
          <w:p w14:paraId="749BF630">
            <w:pPr>
              <w:adjustRightInd w:val="0"/>
              <w:snapToGrid w:val="0"/>
              <w:jc w:val="center"/>
              <w:rPr>
                <w:spacing w:val="10"/>
                <w:szCs w:val="20"/>
              </w:rPr>
            </w:pPr>
            <w:r>
              <w:rPr>
                <w:spacing w:val="10"/>
                <w:szCs w:val="20"/>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spacing w:val="10"/>
                <w:szCs w:val="20"/>
                <w:vertAlign w:val="superscript"/>
              </w:rPr>
              <w:t>a</w:t>
            </w:r>
          </w:p>
        </w:tc>
      </w:tr>
      <w:tr w14:paraId="3643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8" w:type="dxa"/>
            <w:shd w:val="clear" w:color="auto" w:fill="auto"/>
            <w:vAlign w:val="center"/>
          </w:tcPr>
          <w:p w14:paraId="2EED1634">
            <w:pPr>
              <w:adjustRightInd w:val="0"/>
              <w:snapToGrid w:val="0"/>
              <w:jc w:val="center"/>
              <w:rPr>
                <w:spacing w:val="10"/>
                <w:szCs w:val="20"/>
              </w:rPr>
            </w:pPr>
            <w:r>
              <w:rPr>
                <w:spacing w:val="10"/>
                <w:szCs w:val="20"/>
              </w:rPr>
              <w:t>不敏感G3</w:t>
            </w:r>
          </w:p>
        </w:tc>
        <w:tc>
          <w:tcPr>
            <w:tcW w:w="7955" w:type="dxa"/>
            <w:shd w:val="clear" w:color="auto" w:fill="auto"/>
            <w:vAlign w:val="center"/>
          </w:tcPr>
          <w:p w14:paraId="7979FF97">
            <w:pPr>
              <w:adjustRightInd w:val="0"/>
              <w:snapToGrid w:val="0"/>
              <w:jc w:val="center"/>
              <w:rPr>
                <w:spacing w:val="10"/>
                <w:szCs w:val="20"/>
              </w:rPr>
            </w:pPr>
            <w:r>
              <w:rPr>
                <w:spacing w:val="10"/>
                <w:szCs w:val="20"/>
              </w:rPr>
              <w:t>上述地区之外的其他地区</w:t>
            </w:r>
          </w:p>
        </w:tc>
      </w:tr>
      <w:tr w14:paraId="05373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73" w:type="dxa"/>
            <w:gridSpan w:val="2"/>
            <w:shd w:val="clear" w:color="auto" w:fill="auto"/>
            <w:vAlign w:val="center"/>
          </w:tcPr>
          <w:p w14:paraId="34C19538">
            <w:pPr>
              <w:adjustRightInd w:val="0"/>
              <w:snapToGrid w:val="0"/>
              <w:jc w:val="center"/>
              <w:rPr>
                <w:spacing w:val="10"/>
                <w:szCs w:val="20"/>
              </w:rPr>
            </w:pPr>
            <w:r>
              <w:rPr>
                <w:spacing w:val="10"/>
                <w:szCs w:val="20"/>
                <w:vertAlign w:val="superscript"/>
              </w:rPr>
              <w:t>a</w:t>
            </w:r>
            <w:r>
              <w:rPr>
                <w:spacing w:val="10"/>
                <w:szCs w:val="20"/>
              </w:rPr>
              <w:t>“环境敏感区”是指《建设项目环境影响评价分类管理名录》中所界定的涉及地下水的环境敏感区</w:t>
            </w:r>
          </w:p>
        </w:tc>
      </w:tr>
    </w:tbl>
    <w:p w14:paraId="270EFA63">
      <w:pPr>
        <w:keepNext/>
        <w:keepLines/>
        <w:widowControl/>
        <w:tabs>
          <w:tab w:val="left" w:pos="795"/>
        </w:tabs>
        <w:spacing w:line="500" w:lineRule="exact"/>
        <w:ind w:left="795"/>
        <w:jc w:val="center"/>
        <w:outlineLvl w:val="3"/>
        <w:rPr>
          <w:b/>
          <w:kern w:val="0"/>
          <w:sz w:val="24"/>
        </w:rPr>
      </w:pPr>
      <w:r>
        <w:rPr>
          <w:b/>
          <w:kern w:val="0"/>
          <w:sz w:val="24"/>
        </w:rPr>
        <w:t>表2.1-</w:t>
      </w:r>
      <w:r>
        <w:rPr>
          <w:rFonts w:hint="eastAsia"/>
          <w:b/>
          <w:kern w:val="0"/>
          <w:sz w:val="24"/>
          <w:lang w:val="en-US" w:eastAsia="zh-CN"/>
        </w:rPr>
        <w:t>12</w:t>
      </w:r>
      <w:r>
        <w:rPr>
          <w:rFonts w:hint="eastAsia"/>
          <w:b/>
          <w:kern w:val="0"/>
          <w:sz w:val="24"/>
        </w:rPr>
        <w:t>地下水功能敏感性分区一览表</w:t>
      </w:r>
    </w:p>
    <w:tbl>
      <w:tblPr>
        <w:tblStyle w:val="26"/>
        <w:tblW w:w="5163" w:type="pct"/>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7855"/>
      </w:tblGrid>
      <w:tr w14:paraId="7731A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278" w:type="dxa"/>
            <w:shd w:val="clear" w:color="auto" w:fill="auto"/>
            <w:vAlign w:val="center"/>
          </w:tcPr>
          <w:p w14:paraId="76829589">
            <w:pPr>
              <w:adjustRightInd w:val="0"/>
              <w:snapToGrid w:val="0"/>
              <w:jc w:val="center"/>
              <w:rPr>
                <w:bCs/>
                <w:spacing w:val="10"/>
                <w:szCs w:val="20"/>
              </w:rPr>
            </w:pPr>
            <w:r>
              <w:rPr>
                <w:bCs/>
                <w:spacing w:val="10"/>
                <w:szCs w:val="20"/>
              </w:rPr>
              <w:t>分级</w:t>
            </w:r>
          </w:p>
        </w:tc>
        <w:tc>
          <w:tcPr>
            <w:tcW w:w="7795" w:type="dxa"/>
            <w:shd w:val="clear" w:color="auto" w:fill="auto"/>
            <w:vAlign w:val="center"/>
          </w:tcPr>
          <w:p w14:paraId="7A3D512B">
            <w:pPr>
              <w:adjustRightInd w:val="0"/>
              <w:snapToGrid w:val="0"/>
              <w:jc w:val="center"/>
              <w:rPr>
                <w:bCs/>
                <w:spacing w:val="10"/>
                <w:szCs w:val="20"/>
              </w:rPr>
            </w:pPr>
            <w:r>
              <w:rPr>
                <w:bCs/>
                <w:spacing w:val="10"/>
                <w:szCs w:val="20"/>
              </w:rPr>
              <w:t>包气带岩土的渗透性能</w:t>
            </w:r>
          </w:p>
        </w:tc>
      </w:tr>
      <w:tr w14:paraId="61299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8" w:type="dxa"/>
            <w:shd w:val="clear" w:color="auto" w:fill="auto"/>
            <w:vAlign w:val="center"/>
          </w:tcPr>
          <w:p w14:paraId="0A8D55A2">
            <w:pPr>
              <w:adjustRightInd w:val="0"/>
              <w:snapToGrid w:val="0"/>
              <w:jc w:val="center"/>
              <w:rPr>
                <w:spacing w:val="10"/>
                <w:szCs w:val="20"/>
              </w:rPr>
            </w:pPr>
            <w:r>
              <w:rPr>
                <w:spacing w:val="10"/>
                <w:szCs w:val="20"/>
              </w:rPr>
              <w:t>D3</w:t>
            </w:r>
          </w:p>
        </w:tc>
        <w:tc>
          <w:tcPr>
            <w:tcW w:w="7795" w:type="dxa"/>
            <w:shd w:val="clear" w:color="auto" w:fill="auto"/>
            <w:vAlign w:val="center"/>
          </w:tcPr>
          <w:p w14:paraId="72883129">
            <w:pPr>
              <w:adjustRightInd w:val="0"/>
              <w:snapToGrid w:val="0"/>
              <w:jc w:val="center"/>
              <w:rPr>
                <w:spacing w:val="10"/>
                <w:szCs w:val="20"/>
              </w:rPr>
            </w:pPr>
            <w:r>
              <w:rPr>
                <w:spacing w:val="10"/>
                <w:szCs w:val="20"/>
              </w:rPr>
              <w:t>Mb≥1.0m，</w:t>
            </w:r>
            <w:r>
              <w:rPr>
                <w:i/>
                <w:iCs/>
                <w:spacing w:val="10"/>
                <w:szCs w:val="20"/>
              </w:rPr>
              <w:t>K</w:t>
            </w:r>
            <w:r>
              <w:rPr>
                <w:spacing w:val="10"/>
                <w:szCs w:val="20"/>
              </w:rPr>
              <w:t>≤1.0×10</w:t>
            </w:r>
            <w:r>
              <w:rPr>
                <w:spacing w:val="10"/>
                <w:szCs w:val="20"/>
                <w:vertAlign w:val="superscript"/>
              </w:rPr>
              <w:t>-6</w:t>
            </w:r>
            <w:r>
              <w:rPr>
                <w:spacing w:val="10"/>
                <w:szCs w:val="20"/>
              </w:rPr>
              <w:t>cm/s，且分布连续、稳定</w:t>
            </w:r>
          </w:p>
        </w:tc>
      </w:tr>
      <w:tr w14:paraId="103BF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8" w:type="dxa"/>
            <w:shd w:val="clear" w:color="auto" w:fill="auto"/>
            <w:vAlign w:val="center"/>
          </w:tcPr>
          <w:p w14:paraId="568B8803">
            <w:pPr>
              <w:adjustRightInd w:val="0"/>
              <w:snapToGrid w:val="0"/>
              <w:jc w:val="center"/>
              <w:rPr>
                <w:spacing w:val="10"/>
                <w:szCs w:val="20"/>
              </w:rPr>
            </w:pPr>
            <w:r>
              <w:rPr>
                <w:spacing w:val="10"/>
                <w:szCs w:val="20"/>
              </w:rPr>
              <w:t>D2</w:t>
            </w:r>
          </w:p>
        </w:tc>
        <w:tc>
          <w:tcPr>
            <w:tcW w:w="7795" w:type="dxa"/>
            <w:shd w:val="clear" w:color="auto" w:fill="auto"/>
            <w:vAlign w:val="center"/>
          </w:tcPr>
          <w:p w14:paraId="569F8900">
            <w:pPr>
              <w:adjustRightInd w:val="0"/>
              <w:snapToGrid w:val="0"/>
              <w:jc w:val="center"/>
              <w:rPr>
                <w:spacing w:val="10"/>
                <w:szCs w:val="20"/>
              </w:rPr>
            </w:pPr>
            <w:r>
              <w:rPr>
                <w:spacing w:val="10"/>
                <w:szCs w:val="20"/>
              </w:rPr>
              <w:t>0.5m≤Mb&lt;1.0m，</w:t>
            </w:r>
            <w:r>
              <w:rPr>
                <w:i/>
                <w:iCs/>
                <w:spacing w:val="10"/>
                <w:szCs w:val="20"/>
              </w:rPr>
              <w:t>K</w:t>
            </w:r>
            <w:r>
              <w:rPr>
                <w:spacing w:val="10"/>
                <w:szCs w:val="20"/>
              </w:rPr>
              <w:t>≤1.0×10</w:t>
            </w:r>
            <w:r>
              <w:rPr>
                <w:spacing w:val="10"/>
                <w:szCs w:val="20"/>
                <w:vertAlign w:val="superscript"/>
              </w:rPr>
              <w:t>-6</w:t>
            </w:r>
            <w:r>
              <w:rPr>
                <w:spacing w:val="10"/>
                <w:szCs w:val="20"/>
              </w:rPr>
              <w:t>cm/s，且分布连续、稳定</w:t>
            </w:r>
          </w:p>
          <w:p w14:paraId="3C0B597B">
            <w:pPr>
              <w:adjustRightInd w:val="0"/>
              <w:snapToGrid w:val="0"/>
              <w:jc w:val="center"/>
              <w:rPr>
                <w:spacing w:val="10"/>
                <w:szCs w:val="20"/>
              </w:rPr>
            </w:pPr>
            <w:r>
              <w:rPr>
                <w:spacing w:val="10"/>
                <w:szCs w:val="20"/>
              </w:rPr>
              <w:t>Mb≥1.0m，1.0×10</w:t>
            </w:r>
            <w:r>
              <w:rPr>
                <w:spacing w:val="10"/>
                <w:szCs w:val="20"/>
                <w:vertAlign w:val="superscript"/>
              </w:rPr>
              <w:t>-6</w:t>
            </w:r>
            <w:r>
              <w:rPr>
                <w:spacing w:val="10"/>
                <w:szCs w:val="20"/>
              </w:rPr>
              <w:t>cm/s＜</w:t>
            </w:r>
            <w:r>
              <w:rPr>
                <w:i/>
                <w:iCs/>
                <w:spacing w:val="10"/>
                <w:szCs w:val="20"/>
              </w:rPr>
              <w:t>K</w:t>
            </w:r>
            <w:r>
              <w:rPr>
                <w:spacing w:val="10"/>
                <w:szCs w:val="20"/>
              </w:rPr>
              <w:t>≤1.0×10</w:t>
            </w:r>
            <w:r>
              <w:rPr>
                <w:spacing w:val="10"/>
                <w:szCs w:val="20"/>
                <w:vertAlign w:val="superscript"/>
              </w:rPr>
              <w:t>-4</w:t>
            </w:r>
            <w:r>
              <w:rPr>
                <w:spacing w:val="10"/>
                <w:szCs w:val="20"/>
              </w:rPr>
              <w:t>cm/s，且分布连续、稳定</w:t>
            </w:r>
          </w:p>
        </w:tc>
      </w:tr>
      <w:tr w14:paraId="49A6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8" w:type="dxa"/>
            <w:shd w:val="clear" w:color="auto" w:fill="auto"/>
            <w:vAlign w:val="center"/>
          </w:tcPr>
          <w:p w14:paraId="78C11CF6">
            <w:pPr>
              <w:adjustRightInd w:val="0"/>
              <w:snapToGrid w:val="0"/>
              <w:jc w:val="center"/>
              <w:rPr>
                <w:spacing w:val="10"/>
                <w:szCs w:val="20"/>
              </w:rPr>
            </w:pPr>
            <w:r>
              <w:rPr>
                <w:spacing w:val="10"/>
                <w:szCs w:val="20"/>
              </w:rPr>
              <w:t>D1</w:t>
            </w:r>
          </w:p>
        </w:tc>
        <w:tc>
          <w:tcPr>
            <w:tcW w:w="7795" w:type="dxa"/>
            <w:shd w:val="clear" w:color="auto" w:fill="auto"/>
            <w:vAlign w:val="center"/>
          </w:tcPr>
          <w:p w14:paraId="2820E1BD">
            <w:pPr>
              <w:adjustRightInd w:val="0"/>
              <w:snapToGrid w:val="0"/>
              <w:jc w:val="center"/>
              <w:rPr>
                <w:spacing w:val="10"/>
                <w:szCs w:val="20"/>
              </w:rPr>
            </w:pPr>
            <w:r>
              <w:rPr>
                <w:spacing w:val="10"/>
                <w:szCs w:val="20"/>
              </w:rPr>
              <w:t>岩（土）层不满足上述“D2”和“D3”条件</w:t>
            </w:r>
          </w:p>
        </w:tc>
      </w:tr>
      <w:tr w14:paraId="3BD98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73" w:type="dxa"/>
            <w:gridSpan w:val="2"/>
            <w:shd w:val="clear" w:color="auto" w:fill="auto"/>
            <w:vAlign w:val="center"/>
          </w:tcPr>
          <w:p w14:paraId="44132005">
            <w:pPr>
              <w:adjustRightInd w:val="0"/>
              <w:snapToGrid w:val="0"/>
              <w:jc w:val="center"/>
              <w:rPr>
                <w:spacing w:val="10"/>
                <w:szCs w:val="20"/>
              </w:rPr>
            </w:pPr>
            <w:r>
              <w:rPr>
                <w:spacing w:val="10"/>
                <w:szCs w:val="20"/>
              </w:rPr>
              <w:t>Mb：岩土层单层厚度。</w:t>
            </w:r>
          </w:p>
          <w:p w14:paraId="3D73FD63">
            <w:pPr>
              <w:adjustRightInd w:val="0"/>
              <w:snapToGrid w:val="0"/>
              <w:jc w:val="center"/>
              <w:rPr>
                <w:spacing w:val="10"/>
                <w:szCs w:val="20"/>
              </w:rPr>
            </w:pPr>
            <w:r>
              <w:rPr>
                <w:i/>
                <w:iCs/>
                <w:spacing w:val="10"/>
                <w:szCs w:val="20"/>
              </w:rPr>
              <w:t>K</w:t>
            </w:r>
            <w:r>
              <w:rPr>
                <w:spacing w:val="10"/>
                <w:szCs w:val="20"/>
              </w:rPr>
              <w:t>：渗透系数。</w:t>
            </w:r>
          </w:p>
        </w:tc>
      </w:tr>
    </w:tbl>
    <w:p w14:paraId="42FF9121">
      <w:pPr>
        <w:widowControl/>
        <w:spacing w:line="500" w:lineRule="exact"/>
        <w:ind w:firstLine="480"/>
        <w:jc w:val="left"/>
        <w:rPr>
          <w:kern w:val="0"/>
          <w:sz w:val="24"/>
        </w:rPr>
      </w:pPr>
      <w:r>
        <w:rPr>
          <w:rFonts w:hint="eastAsia" w:cs="Arial"/>
          <w:sz w:val="24"/>
          <w:szCs w:val="20"/>
        </w:rPr>
        <w:t>项目地下水敏感性属于G3，包气带防污性属D2，则地下水环境敏感程度为 E3。。</w:t>
      </w:r>
    </w:p>
    <w:p w14:paraId="2D042CB6">
      <w:pPr>
        <w:keepNext/>
        <w:keepLines/>
        <w:widowControl/>
        <w:numPr>
          <w:ilvl w:val="0"/>
          <w:numId w:val="12"/>
        </w:numPr>
        <w:spacing w:before="210" w:after="210" w:line="500" w:lineRule="exact"/>
        <w:jc w:val="left"/>
        <w:outlineLvl w:val="1"/>
        <w:rPr>
          <w:b/>
          <w:kern w:val="0"/>
          <w:sz w:val="28"/>
          <w:szCs w:val="20"/>
        </w:rPr>
      </w:pPr>
      <w:bookmarkStart w:id="52" w:name="_Toc22260"/>
      <w:bookmarkStart w:id="53" w:name="_Toc31257"/>
      <w:r>
        <w:rPr>
          <w:b/>
          <w:kern w:val="0"/>
          <w:sz w:val="28"/>
          <w:szCs w:val="20"/>
        </w:rPr>
        <w:t>环境风险潜势判定</w:t>
      </w:r>
      <w:bookmarkEnd w:id="52"/>
      <w:bookmarkEnd w:id="53"/>
    </w:p>
    <w:p w14:paraId="528CC56F">
      <w:pPr>
        <w:widowControl/>
        <w:spacing w:line="500" w:lineRule="exact"/>
        <w:ind w:firstLine="480"/>
        <w:jc w:val="left"/>
        <w:rPr>
          <w:kern w:val="0"/>
          <w:sz w:val="24"/>
        </w:rPr>
      </w:pPr>
      <w:bookmarkStart w:id="54" w:name="_Toc418496076"/>
      <w:r>
        <w:rPr>
          <w:kern w:val="0"/>
          <w:sz w:val="24"/>
        </w:rPr>
        <w:t>根据对项目涉及的物质和工艺系统的危险性（P</w:t>
      </w:r>
      <w:r>
        <w:rPr>
          <w:rFonts w:hint="eastAsia"/>
          <w:kern w:val="0"/>
          <w:sz w:val="24"/>
          <w:lang w:val="en-US" w:eastAsia="zh-CN"/>
        </w:rPr>
        <w:t>2</w:t>
      </w:r>
      <w:r>
        <w:rPr>
          <w:kern w:val="0"/>
          <w:sz w:val="24"/>
        </w:rPr>
        <w:t>）及其所在地的环境敏感程度分析（大气E</w:t>
      </w:r>
      <w:r>
        <w:rPr>
          <w:rFonts w:hint="eastAsia"/>
          <w:kern w:val="0"/>
          <w:sz w:val="24"/>
          <w:lang w:val="en-US" w:eastAsia="zh-CN"/>
        </w:rPr>
        <w:t>2</w:t>
      </w:r>
      <w:r>
        <w:rPr>
          <w:kern w:val="0"/>
          <w:sz w:val="24"/>
        </w:rPr>
        <w:t>、地表水为E</w:t>
      </w:r>
      <w:r>
        <w:rPr>
          <w:rFonts w:hint="eastAsia"/>
          <w:kern w:val="0"/>
          <w:sz w:val="24"/>
          <w:lang w:val="en-US" w:eastAsia="zh-CN"/>
        </w:rPr>
        <w:t>3</w:t>
      </w:r>
      <w:r>
        <w:rPr>
          <w:rFonts w:hint="eastAsia"/>
          <w:kern w:val="0"/>
          <w:sz w:val="24"/>
        </w:rPr>
        <w:t>、地下水为E</w:t>
      </w:r>
      <w:r>
        <w:rPr>
          <w:rFonts w:hint="eastAsia"/>
          <w:kern w:val="0"/>
          <w:sz w:val="24"/>
          <w:lang w:val="en-US" w:eastAsia="zh-CN"/>
        </w:rPr>
        <w:t>3</w:t>
      </w:r>
      <w:r>
        <w:rPr>
          <w:kern w:val="0"/>
          <w:sz w:val="24"/>
        </w:rPr>
        <w:t>），对照环境风险潜势划分，将项目大气、地表水、地下水环境风险潜势均判定为</w:t>
      </w:r>
      <w:r>
        <w:rPr>
          <w:rFonts w:hint="eastAsia" w:ascii="宋体" w:hAnsi="宋体" w:cs="宋体"/>
          <w:kern w:val="0"/>
          <w:sz w:val="24"/>
        </w:rPr>
        <w:t>Ⅲ</w:t>
      </w:r>
      <w:r>
        <w:rPr>
          <w:kern w:val="0"/>
          <w:sz w:val="24"/>
        </w:rPr>
        <w:t>级。因此，项目环境风险潜势综合等级为</w:t>
      </w:r>
      <w:r>
        <w:rPr>
          <w:rFonts w:hint="eastAsia" w:ascii="宋体" w:hAnsi="宋体" w:cs="宋体"/>
          <w:kern w:val="0"/>
          <w:sz w:val="24"/>
        </w:rPr>
        <w:t>Ⅲ</w:t>
      </w:r>
      <w:r>
        <w:rPr>
          <w:kern w:val="0"/>
          <w:sz w:val="24"/>
        </w:rPr>
        <w:t>级。</w:t>
      </w:r>
    </w:p>
    <w:p w14:paraId="28749F19">
      <w:pPr>
        <w:keepNext/>
        <w:keepLines/>
        <w:widowControl/>
        <w:tabs>
          <w:tab w:val="left" w:pos="795"/>
        </w:tabs>
        <w:spacing w:line="500" w:lineRule="exact"/>
        <w:ind w:left="795"/>
        <w:jc w:val="center"/>
        <w:outlineLvl w:val="3"/>
        <w:rPr>
          <w:b/>
          <w:kern w:val="0"/>
          <w:sz w:val="24"/>
        </w:rPr>
      </w:pPr>
      <w:r>
        <w:rPr>
          <w:b/>
          <w:kern w:val="0"/>
          <w:sz w:val="24"/>
        </w:rPr>
        <w:t>表3.1-1  项目环境风险潜势划分</w:t>
      </w:r>
    </w:p>
    <w:tbl>
      <w:tblPr>
        <w:tblStyle w:val="26"/>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028BB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Merge w:val="restart"/>
            <w:tcBorders>
              <w:top w:val="single" w:color="000000" w:sz="6" w:space="0"/>
              <w:left w:val="single" w:color="000000" w:sz="6" w:space="0"/>
              <w:bottom w:val="single" w:color="000000" w:sz="6" w:space="0"/>
              <w:right w:val="single" w:color="000000" w:sz="6" w:space="0"/>
            </w:tcBorders>
            <w:vAlign w:val="center"/>
          </w:tcPr>
          <w:p w14:paraId="4F89C5CC">
            <w:pPr>
              <w:widowControl/>
              <w:adjustRightInd w:val="0"/>
              <w:snapToGrid w:val="0"/>
              <w:jc w:val="center"/>
              <w:rPr>
                <w:kern w:val="0"/>
                <w:szCs w:val="21"/>
              </w:rPr>
            </w:pPr>
            <w:r>
              <w:rPr>
                <w:kern w:val="0"/>
                <w:szCs w:val="21"/>
              </w:rPr>
              <w:t>环境敏感程度（E）</w:t>
            </w:r>
          </w:p>
        </w:tc>
        <w:tc>
          <w:tcPr>
            <w:tcW w:w="6765" w:type="dxa"/>
            <w:gridSpan w:val="4"/>
            <w:tcBorders>
              <w:top w:val="single" w:color="000000" w:sz="6" w:space="0"/>
              <w:left w:val="single" w:color="000000" w:sz="6" w:space="0"/>
              <w:bottom w:val="single" w:color="000000" w:sz="6" w:space="0"/>
              <w:right w:val="single" w:color="000000" w:sz="6" w:space="0"/>
            </w:tcBorders>
            <w:vAlign w:val="center"/>
          </w:tcPr>
          <w:p w14:paraId="239033C3">
            <w:pPr>
              <w:widowControl/>
              <w:adjustRightInd w:val="0"/>
              <w:snapToGrid w:val="0"/>
              <w:jc w:val="center"/>
              <w:rPr>
                <w:kern w:val="0"/>
                <w:szCs w:val="21"/>
              </w:rPr>
            </w:pPr>
            <w:r>
              <w:rPr>
                <w:kern w:val="0"/>
                <w:szCs w:val="21"/>
              </w:rPr>
              <w:t>危险物质及工艺系统危险性（P）</w:t>
            </w:r>
          </w:p>
        </w:tc>
      </w:tr>
      <w:tr w14:paraId="53723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Merge w:val="continue"/>
            <w:tcBorders>
              <w:top w:val="single" w:color="000000" w:sz="6" w:space="0"/>
              <w:left w:val="single" w:color="000000" w:sz="6" w:space="0"/>
              <w:bottom w:val="single" w:color="000000" w:sz="6" w:space="0"/>
              <w:right w:val="single" w:color="000000" w:sz="6" w:space="0"/>
            </w:tcBorders>
            <w:vAlign w:val="center"/>
          </w:tcPr>
          <w:p w14:paraId="31239880">
            <w:pPr>
              <w:widowControl/>
              <w:adjustRightInd w:val="0"/>
              <w:snapToGrid w:val="0"/>
              <w:jc w:val="center"/>
              <w:rPr>
                <w:kern w:val="0"/>
                <w:szCs w:val="21"/>
              </w:rPr>
            </w:pPr>
          </w:p>
        </w:tc>
        <w:tc>
          <w:tcPr>
            <w:tcW w:w="1691" w:type="dxa"/>
            <w:tcBorders>
              <w:top w:val="single" w:color="000000" w:sz="6" w:space="0"/>
              <w:left w:val="single" w:color="000000" w:sz="6" w:space="0"/>
              <w:bottom w:val="single" w:color="000000" w:sz="6" w:space="0"/>
              <w:right w:val="single" w:color="000000" w:sz="6" w:space="0"/>
            </w:tcBorders>
            <w:vAlign w:val="center"/>
          </w:tcPr>
          <w:p w14:paraId="2573B63A">
            <w:pPr>
              <w:widowControl/>
              <w:adjustRightInd w:val="0"/>
              <w:snapToGrid w:val="0"/>
              <w:jc w:val="center"/>
              <w:rPr>
                <w:kern w:val="0"/>
                <w:szCs w:val="21"/>
              </w:rPr>
            </w:pPr>
            <w:r>
              <w:rPr>
                <w:kern w:val="0"/>
                <w:szCs w:val="21"/>
              </w:rPr>
              <w:t>极高危害（P1）</w:t>
            </w:r>
          </w:p>
        </w:tc>
        <w:tc>
          <w:tcPr>
            <w:tcW w:w="1691" w:type="dxa"/>
            <w:tcBorders>
              <w:top w:val="single" w:color="000000" w:sz="6" w:space="0"/>
              <w:left w:val="single" w:color="000000" w:sz="6" w:space="0"/>
              <w:bottom w:val="single" w:color="000000" w:sz="6" w:space="0"/>
              <w:right w:val="single" w:color="000000" w:sz="6" w:space="0"/>
            </w:tcBorders>
            <w:vAlign w:val="center"/>
          </w:tcPr>
          <w:p w14:paraId="3CA0C730">
            <w:pPr>
              <w:widowControl/>
              <w:adjustRightInd w:val="0"/>
              <w:snapToGrid w:val="0"/>
              <w:jc w:val="center"/>
              <w:rPr>
                <w:kern w:val="0"/>
                <w:szCs w:val="21"/>
              </w:rPr>
            </w:pPr>
            <w:r>
              <w:rPr>
                <w:kern w:val="0"/>
                <w:szCs w:val="21"/>
              </w:rPr>
              <w:t>高度危害（P2）</w:t>
            </w:r>
          </w:p>
        </w:tc>
        <w:tc>
          <w:tcPr>
            <w:tcW w:w="1691" w:type="dxa"/>
            <w:tcBorders>
              <w:top w:val="single" w:color="000000" w:sz="6" w:space="0"/>
              <w:left w:val="single" w:color="000000" w:sz="6" w:space="0"/>
              <w:bottom w:val="single" w:color="000000" w:sz="6" w:space="0"/>
              <w:right w:val="single" w:color="000000" w:sz="6" w:space="0"/>
            </w:tcBorders>
            <w:vAlign w:val="center"/>
          </w:tcPr>
          <w:p w14:paraId="1801B5B4">
            <w:pPr>
              <w:widowControl/>
              <w:adjustRightInd w:val="0"/>
              <w:snapToGrid w:val="0"/>
              <w:jc w:val="center"/>
              <w:rPr>
                <w:kern w:val="0"/>
                <w:szCs w:val="21"/>
              </w:rPr>
            </w:pPr>
            <w:r>
              <w:rPr>
                <w:kern w:val="0"/>
                <w:szCs w:val="21"/>
              </w:rPr>
              <w:t>中度危害（P3）</w:t>
            </w:r>
          </w:p>
        </w:tc>
        <w:tc>
          <w:tcPr>
            <w:tcW w:w="1692" w:type="dxa"/>
            <w:tcBorders>
              <w:top w:val="single" w:color="000000" w:sz="6" w:space="0"/>
              <w:left w:val="single" w:color="000000" w:sz="6" w:space="0"/>
              <w:bottom w:val="single" w:color="000000" w:sz="6" w:space="0"/>
              <w:right w:val="single" w:color="000000" w:sz="6" w:space="0"/>
            </w:tcBorders>
            <w:vAlign w:val="center"/>
          </w:tcPr>
          <w:p w14:paraId="6D742A4B">
            <w:pPr>
              <w:widowControl/>
              <w:adjustRightInd w:val="0"/>
              <w:snapToGrid w:val="0"/>
              <w:jc w:val="center"/>
              <w:rPr>
                <w:kern w:val="0"/>
                <w:szCs w:val="21"/>
              </w:rPr>
            </w:pPr>
            <w:r>
              <w:rPr>
                <w:kern w:val="0"/>
                <w:szCs w:val="21"/>
              </w:rPr>
              <w:t>轻度危害（P4）</w:t>
            </w:r>
          </w:p>
        </w:tc>
      </w:tr>
      <w:tr w14:paraId="1992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768349B5">
            <w:pPr>
              <w:widowControl/>
              <w:adjustRightInd w:val="0"/>
              <w:snapToGrid w:val="0"/>
              <w:jc w:val="center"/>
              <w:rPr>
                <w:kern w:val="0"/>
                <w:szCs w:val="21"/>
              </w:rPr>
            </w:pPr>
            <w:r>
              <w:rPr>
                <w:kern w:val="0"/>
                <w:szCs w:val="21"/>
              </w:rPr>
              <w:t>环境高度敏感区（E1）</w:t>
            </w:r>
          </w:p>
        </w:tc>
        <w:tc>
          <w:tcPr>
            <w:tcW w:w="1691" w:type="dxa"/>
            <w:tcBorders>
              <w:top w:val="single" w:color="000000" w:sz="6" w:space="0"/>
              <w:left w:val="single" w:color="000000" w:sz="6" w:space="0"/>
              <w:bottom w:val="single" w:color="000000" w:sz="6" w:space="0"/>
              <w:right w:val="single" w:color="000000" w:sz="6" w:space="0"/>
            </w:tcBorders>
            <w:vAlign w:val="center"/>
          </w:tcPr>
          <w:p w14:paraId="68E3B1EB">
            <w:pPr>
              <w:widowControl/>
              <w:adjustRightInd w:val="0"/>
              <w:snapToGrid w:val="0"/>
              <w:jc w:val="center"/>
              <w:rPr>
                <w:kern w:val="0"/>
                <w:szCs w:val="21"/>
              </w:rPr>
            </w:pPr>
            <w:r>
              <w:rPr>
                <w:rFonts w:hint="eastAsia" w:ascii="宋体" w:hAnsi="宋体" w:cs="宋体"/>
                <w:kern w:val="0"/>
                <w:szCs w:val="21"/>
              </w:rPr>
              <w:t>Ⅳ</w:t>
            </w:r>
            <w:r>
              <w:rPr>
                <w:kern w:val="0"/>
                <w:szCs w:val="21"/>
              </w:rPr>
              <w:t>+</w:t>
            </w:r>
          </w:p>
        </w:tc>
        <w:tc>
          <w:tcPr>
            <w:tcW w:w="1691" w:type="dxa"/>
            <w:tcBorders>
              <w:top w:val="single" w:color="000000" w:sz="6" w:space="0"/>
              <w:left w:val="single" w:color="000000" w:sz="6" w:space="0"/>
              <w:bottom w:val="single" w:color="000000" w:sz="6" w:space="0"/>
              <w:right w:val="single" w:color="000000" w:sz="6" w:space="0"/>
            </w:tcBorders>
            <w:vAlign w:val="center"/>
          </w:tcPr>
          <w:p w14:paraId="0A4E582A">
            <w:pPr>
              <w:widowControl/>
              <w:adjustRightInd w:val="0"/>
              <w:snapToGrid w:val="0"/>
              <w:jc w:val="center"/>
              <w:rPr>
                <w:kern w:val="0"/>
                <w:szCs w:val="21"/>
              </w:rPr>
            </w:pPr>
            <w:r>
              <w:rPr>
                <w:rFonts w:hint="eastAsia" w:ascii="宋体" w:hAnsi="宋体" w:cs="宋体"/>
                <w:kern w:val="0"/>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32A05DF7">
            <w:pPr>
              <w:widowControl/>
              <w:adjustRightInd w:val="0"/>
              <w:snapToGrid w:val="0"/>
              <w:jc w:val="center"/>
              <w:rPr>
                <w:kern w:val="0"/>
                <w:szCs w:val="21"/>
              </w:rPr>
            </w:pPr>
            <w:r>
              <w:rPr>
                <w:rFonts w:hint="eastAsia" w:ascii="宋体" w:hAnsi="宋体" w:cs="宋体"/>
                <w:kern w:val="0"/>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3DDB77BC">
            <w:pPr>
              <w:widowControl/>
              <w:adjustRightInd w:val="0"/>
              <w:snapToGrid w:val="0"/>
              <w:jc w:val="center"/>
              <w:rPr>
                <w:kern w:val="0"/>
                <w:szCs w:val="21"/>
              </w:rPr>
            </w:pPr>
            <w:r>
              <w:rPr>
                <w:rFonts w:hint="eastAsia" w:ascii="宋体" w:hAnsi="宋体" w:cs="宋体"/>
                <w:kern w:val="0"/>
                <w:szCs w:val="21"/>
              </w:rPr>
              <w:t>Ⅲ</w:t>
            </w:r>
          </w:p>
        </w:tc>
      </w:tr>
      <w:tr w14:paraId="0960A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17359626">
            <w:pPr>
              <w:widowControl/>
              <w:adjustRightInd w:val="0"/>
              <w:snapToGrid w:val="0"/>
              <w:jc w:val="center"/>
              <w:rPr>
                <w:kern w:val="0"/>
                <w:szCs w:val="21"/>
              </w:rPr>
            </w:pPr>
            <w:r>
              <w:rPr>
                <w:kern w:val="0"/>
                <w:szCs w:val="21"/>
              </w:rPr>
              <w:t>环境中度敏感区（E2）</w:t>
            </w:r>
          </w:p>
        </w:tc>
        <w:tc>
          <w:tcPr>
            <w:tcW w:w="1691" w:type="dxa"/>
            <w:tcBorders>
              <w:top w:val="single" w:color="000000" w:sz="6" w:space="0"/>
              <w:left w:val="single" w:color="000000" w:sz="6" w:space="0"/>
              <w:bottom w:val="single" w:color="000000" w:sz="6" w:space="0"/>
              <w:right w:val="single" w:color="000000" w:sz="6" w:space="0"/>
            </w:tcBorders>
            <w:vAlign w:val="center"/>
          </w:tcPr>
          <w:p w14:paraId="77BBE405">
            <w:pPr>
              <w:widowControl/>
              <w:adjustRightInd w:val="0"/>
              <w:snapToGrid w:val="0"/>
              <w:jc w:val="center"/>
              <w:rPr>
                <w:kern w:val="0"/>
                <w:szCs w:val="21"/>
              </w:rPr>
            </w:pPr>
            <w:r>
              <w:rPr>
                <w:rFonts w:hint="eastAsia" w:ascii="宋体" w:hAnsi="宋体" w:cs="宋体"/>
                <w:kern w:val="0"/>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6415037C">
            <w:pPr>
              <w:widowControl/>
              <w:adjustRightInd w:val="0"/>
              <w:snapToGrid w:val="0"/>
              <w:jc w:val="center"/>
              <w:rPr>
                <w:kern w:val="0"/>
                <w:szCs w:val="21"/>
              </w:rPr>
            </w:pPr>
            <w:r>
              <w:rPr>
                <w:rFonts w:hint="eastAsia" w:ascii="宋体" w:hAnsi="宋体" w:cs="宋体"/>
                <w:kern w:val="0"/>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68016CDB">
            <w:pPr>
              <w:widowControl/>
              <w:adjustRightInd w:val="0"/>
              <w:snapToGrid w:val="0"/>
              <w:jc w:val="center"/>
              <w:rPr>
                <w:kern w:val="0"/>
                <w:szCs w:val="21"/>
              </w:rPr>
            </w:pPr>
            <w:r>
              <w:rPr>
                <w:rFonts w:hint="eastAsia" w:ascii="宋体" w:hAnsi="宋体" w:cs="宋体"/>
                <w:kern w:val="0"/>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338BE18F">
            <w:pPr>
              <w:widowControl/>
              <w:adjustRightInd w:val="0"/>
              <w:snapToGrid w:val="0"/>
              <w:jc w:val="center"/>
              <w:rPr>
                <w:kern w:val="0"/>
                <w:szCs w:val="21"/>
              </w:rPr>
            </w:pPr>
            <w:r>
              <w:rPr>
                <w:rFonts w:hint="eastAsia" w:ascii="宋体" w:hAnsi="宋体" w:cs="宋体"/>
                <w:kern w:val="0"/>
                <w:szCs w:val="21"/>
              </w:rPr>
              <w:t>Ⅱ</w:t>
            </w:r>
          </w:p>
        </w:tc>
      </w:tr>
      <w:tr w14:paraId="63E65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38F6FEBA">
            <w:pPr>
              <w:widowControl/>
              <w:adjustRightInd w:val="0"/>
              <w:snapToGrid w:val="0"/>
              <w:jc w:val="center"/>
              <w:rPr>
                <w:kern w:val="0"/>
                <w:szCs w:val="21"/>
              </w:rPr>
            </w:pPr>
            <w:r>
              <w:rPr>
                <w:kern w:val="0"/>
                <w:szCs w:val="21"/>
              </w:rPr>
              <w:t>环境低度敏感区（E3）</w:t>
            </w:r>
          </w:p>
        </w:tc>
        <w:tc>
          <w:tcPr>
            <w:tcW w:w="1691" w:type="dxa"/>
            <w:tcBorders>
              <w:top w:val="single" w:color="000000" w:sz="6" w:space="0"/>
              <w:left w:val="single" w:color="000000" w:sz="6" w:space="0"/>
              <w:bottom w:val="single" w:color="000000" w:sz="6" w:space="0"/>
              <w:right w:val="single" w:color="000000" w:sz="6" w:space="0"/>
            </w:tcBorders>
            <w:vAlign w:val="center"/>
          </w:tcPr>
          <w:p w14:paraId="6893A0A9">
            <w:pPr>
              <w:widowControl/>
              <w:adjustRightInd w:val="0"/>
              <w:snapToGrid w:val="0"/>
              <w:jc w:val="center"/>
              <w:rPr>
                <w:kern w:val="0"/>
                <w:szCs w:val="21"/>
              </w:rPr>
            </w:pPr>
            <w:r>
              <w:rPr>
                <w:rFonts w:hint="eastAsia" w:ascii="宋体" w:hAnsi="宋体" w:cs="宋体"/>
                <w:kern w:val="0"/>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334D8164">
            <w:pPr>
              <w:widowControl/>
              <w:adjustRightInd w:val="0"/>
              <w:snapToGrid w:val="0"/>
              <w:jc w:val="center"/>
              <w:rPr>
                <w:kern w:val="0"/>
                <w:szCs w:val="21"/>
              </w:rPr>
            </w:pPr>
            <w:r>
              <w:rPr>
                <w:rFonts w:hint="eastAsia" w:ascii="宋体" w:hAnsi="宋体" w:cs="宋体"/>
                <w:kern w:val="0"/>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29A11056">
            <w:pPr>
              <w:widowControl/>
              <w:adjustRightInd w:val="0"/>
              <w:snapToGrid w:val="0"/>
              <w:jc w:val="center"/>
              <w:rPr>
                <w:kern w:val="0"/>
                <w:szCs w:val="21"/>
              </w:rPr>
            </w:pPr>
            <w:r>
              <w:rPr>
                <w:rFonts w:hint="eastAsia" w:ascii="宋体" w:hAnsi="宋体" w:cs="宋体"/>
                <w:kern w:val="0"/>
                <w:szCs w:val="21"/>
              </w:rPr>
              <w:t>Ⅱ</w:t>
            </w:r>
          </w:p>
        </w:tc>
        <w:tc>
          <w:tcPr>
            <w:tcW w:w="1692" w:type="dxa"/>
            <w:tcBorders>
              <w:top w:val="single" w:color="000000" w:sz="6" w:space="0"/>
              <w:left w:val="single" w:color="000000" w:sz="6" w:space="0"/>
              <w:bottom w:val="single" w:color="000000" w:sz="6" w:space="0"/>
              <w:right w:val="single" w:color="000000" w:sz="6" w:space="0"/>
            </w:tcBorders>
            <w:vAlign w:val="center"/>
          </w:tcPr>
          <w:p w14:paraId="75D6E7B4">
            <w:pPr>
              <w:widowControl/>
              <w:adjustRightInd w:val="0"/>
              <w:snapToGrid w:val="0"/>
              <w:jc w:val="center"/>
              <w:rPr>
                <w:kern w:val="0"/>
                <w:szCs w:val="21"/>
              </w:rPr>
            </w:pPr>
            <w:r>
              <w:rPr>
                <w:rFonts w:hint="eastAsia" w:ascii="宋体" w:hAnsi="宋体" w:cs="宋体"/>
                <w:kern w:val="0"/>
                <w:szCs w:val="21"/>
              </w:rPr>
              <w:t>Ⅰ</w:t>
            </w:r>
          </w:p>
        </w:tc>
      </w:tr>
      <w:tr w14:paraId="14A5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tcBorders>
              <w:top w:val="single" w:color="000000" w:sz="6" w:space="0"/>
              <w:left w:val="single" w:color="000000" w:sz="6" w:space="0"/>
              <w:bottom w:val="single" w:color="000000" w:sz="6" w:space="0"/>
              <w:right w:val="single" w:color="000000" w:sz="6" w:space="0"/>
            </w:tcBorders>
            <w:vAlign w:val="center"/>
          </w:tcPr>
          <w:p w14:paraId="6C0B3201">
            <w:pPr>
              <w:widowControl/>
              <w:adjustRightInd w:val="0"/>
              <w:snapToGrid w:val="0"/>
              <w:jc w:val="center"/>
              <w:rPr>
                <w:kern w:val="0"/>
                <w:szCs w:val="21"/>
              </w:rPr>
            </w:pPr>
            <w:r>
              <w:rPr>
                <w:kern w:val="0"/>
                <w:szCs w:val="21"/>
              </w:rPr>
              <w:t>注：</w:t>
            </w:r>
            <w:r>
              <w:rPr>
                <w:rFonts w:hint="eastAsia" w:ascii="宋体" w:hAnsi="宋体" w:cs="宋体"/>
                <w:kern w:val="0"/>
                <w:szCs w:val="21"/>
              </w:rPr>
              <w:t>Ⅳ</w:t>
            </w:r>
            <w:r>
              <w:rPr>
                <w:kern w:val="0"/>
                <w:szCs w:val="21"/>
              </w:rPr>
              <w:t>+为极高环境风险。</w:t>
            </w:r>
          </w:p>
        </w:tc>
      </w:tr>
    </w:tbl>
    <w:p w14:paraId="4790C417">
      <w:pPr>
        <w:keepNext/>
        <w:keepLines/>
        <w:widowControl/>
        <w:numPr>
          <w:ilvl w:val="0"/>
          <w:numId w:val="13"/>
        </w:numPr>
        <w:spacing w:before="210" w:after="210" w:line="500" w:lineRule="exact"/>
        <w:jc w:val="left"/>
        <w:outlineLvl w:val="1"/>
        <w:rPr>
          <w:b/>
          <w:kern w:val="0"/>
          <w:sz w:val="28"/>
          <w:szCs w:val="20"/>
        </w:rPr>
      </w:pPr>
      <w:bookmarkStart w:id="55" w:name="_Toc8745"/>
      <w:bookmarkStart w:id="56" w:name="_Toc2368"/>
      <w:r>
        <w:rPr>
          <w:b/>
          <w:kern w:val="0"/>
          <w:sz w:val="28"/>
          <w:szCs w:val="20"/>
        </w:rPr>
        <w:t>评价工作等级和评价范围</w:t>
      </w:r>
      <w:bookmarkEnd w:id="55"/>
      <w:bookmarkEnd w:id="56"/>
    </w:p>
    <w:p w14:paraId="6B322485">
      <w:pPr>
        <w:keepNext/>
        <w:keepLines/>
        <w:widowControl/>
        <w:tabs>
          <w:tab w:val="left" w:pos="795"/>
        </w:tabs>
        <w:spacing w:line="500" w:lineRule="exact"/>
        <w:ind w:left="795"/>
        <w:jc w:val="center"/>
        <w:outlineLvl w:val="3"/>
        <w:rPr>
          <w:b/>
          <w:kern w:val="0"/>
          <w:sz w:val="24"/>
        </w:rPr>
      </w:pPr>
      <w:r>
        <w:rPr>
          <w:b/>
          <w:kern w:val="0"/>
          <w:sz w:val="24"/>
        </w:rPr>
        <w:t>表4.1-1  评价工作等级划分</w:t>
      </w:r>
    </w:p>
    <w:tbl>
      <w:tblPr>
        <w:tblStyle w:val="26"/>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4CA3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544C22DA">
            <w:pPr>
              <w:widowControl/>
              <w:adjustRightInd w:val="0"/>
              <w:snapToGrid w:val="0"/>
              <w:jc w:val="center"/>
              <w:rPr>
                <w:kern w:val="0"/>
                <w:szCs w:val="21"/>
              </w:rPr>
            </w:pPr>
            <w:r>
              <w:rPr>
                <w:kern w:val="0"/>
                <w:szCs w:val="21"/>
              </w:rPr>
              <w:t>环境风险潜势</w:t>
            </w:r>
          </w:p>
        </w:tc>
        <w:tc>
          <w:tcPr>
            <w:tcW w:w="1691" w:type="dxa"/>
            <w:vAlign w:val="center"/>
          </w:tcPr>
          <w:p w14:paraId="5D31A339">
            <w:pPr>
              <w:widowControl/>
              <w:adjustRightInd w:val="0"/>
              <w:snapToGrid w:val="0"/>
              <w:jc w:val="center"/>
              <w:rPr>
                <w:kern w:val="0"/>
                <w:szCs w:val="21"/>
              </w:rPr>
            </w:pPr>
            <w:r>
              <w:rPr>
                <w:rFonts w:hint="eastAsia" w:ascii="宋体" w:hAnsi="宋体" w:cs="宋体"/>
                <w:kern w:val="0"/>
                <w:szCs w:val="21"/>
              </w:rPr>
              <w:t>Ⅳ</w:t>
            </w:r>
            <w:r>
              <w:rPr>
                <w:kern w:val="0"/>
                <w:szCs w:val="21"/>
              </w:rPr>
              <w:t>、</w:t>
            </w:r>
            <w:r>
              <w:rPr>
                <w:rFonts w:hint="eastAsia" w:ascii="宋体" w:hAnsi="宋体" w:cs="宋体"/>
                <w:kern w:val="0"/>
                <w:szCs w:val="21"/>
              </w:rPr>
              <w:t>Ⅳ</w:t>
            </w:r>
            <w:r>
              <w:rPr>
                <w:kern w:val="0"/>
                <w:szCs w:val="21"/>
                <w:vertAlign w:val="superscript"/>
              </w:rPr>
              <w:t>+</w:t>
            </w:r>
          </w:p>
        </w:tc>
        <w:tc>
          <w:tcPr>
            <w:tcW w:w="1691" w:type="dxa"/>
            <w:vAlign w:val="center"/>
          </w:tcPr>
          <w:p w14:paraId="655DE453">
            <w:pPr>
              <w:widowControl/>
              <w:adjustRightInd w:val="0"/>
              <w:snapToGrid w:val="0"/>
              <w:jc w:val="center"/>
              <w:rPr>
                <w:kern w:val="0"/>
                <w:szCs w:val="21"/>
              </w:rPr>
            </w:pPr>
            <w:r>
              <w:rPr>
                <w:rFonts w:hint="eastAsia" w:ascii="宋体" w:hAnsi="宋体" w:cs="宋体"/>
                <w:kern w:val="0"/>
                <w:szCs w:val="21"/>
              </w:rPr>
              <w:t>Ⅲ</w:t>
            </w:r>
          </w:p>
        </w:tc>
        <w:tc>
          <w:tcPr>
            <w:tcW w:w="1691" w:type="dxa"/>
            <w:vAlign w:val="center"/>
          </w:tcPr>
          <w:p w14:paraId="62CB05ED">
            <w:pPr>
              <w:widowControl/>
              <w:adjustRightInd w:val="0"/>
              <w:snapToGrid w:val="0"/>
              <w:jc w:val="center"/>
              <w:rPr>
                <w:kern w:val="0"/>
                <w:szCs w:val="21"/>
              </w:rPr>
            </w:pPr>
            <w:r>
              <w:rPr>
                <w:rFonts w:hint="eastAsia" w:ascii="宋体" w:hAnsi="宋体" w:cs="宋体"/>
                <w:kern w:val="0"/>
                <w:szCs w:val="21"/>
              </w:rPr>
              <w:t>Ⅱ</w:t>
            </w:r>
          </w:p>
        </w:tc>
        <w:tc>
          <w:tcPr>
            <w:tcW w:w="1692" w:type="dxa"/>
            <w:vAlign w:val="center"/>
          </w:tcPr>
          <w:p w14:paraId="7C8CC6B3">
            <w:pPr>
              <w:widowControl/>
              <w:adjustRightInd w:val="0"/>
              <w:snapToGrid w:val="0"/>
              <w:jc w:val="center"/>
              <w:rPr>
                <w:kern w:val="0"/>
                <w:szCs w:val="21"/>
              </w:rPr>
            </w:pPr>
            <w:r>
              <w:rPr>
                <w:rFonts w:hint="eastAsia" w:ascii="宋体" w:hAnsi="宋体" w:cs="宋体"/>
                <w:kern w:val="0"/>
                <w:szCs w:val="21"/>
              </w:rPr>
              <w:t>Ⅰ</w:t>
            </w:r>
          </w:p>
        </w:tc>
      </w:tr>
      <w:tr w14:paraId="62DBD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476349E2">
            <w:pPr>
              <w:widowControl/>
              <w:adjustRightInd w:val="0"/>
              <w:snapToGrid w:val="0"/>
              <w:jc w:val="center"/>
              <w:rPr>
                <w:kern w:val="0"/>
                <w:szCs w:val="21"/>
              </w:rPr>
            </w:pPr>
            <w:r>
              <w:rPr>
                <w:kern w:val="0"/>
                <w:szCs w:val="21"/>
              </w:rPr>
              <w:t>评价工作等级</w:t>
            </w:r>
          </w:p>
        </w:tc>
        <w:tc>
          <w:tcPr>
            <w:tcW w:w="1691" w:type="dxa"/>
            <w:vAlign w:val="center"/>
          </w:tcPr>
          <w:p w14:paraId="28895EE5">
            <w:pPr>
              <w:widowControl/>
              <w:adjustRightInd w:val="0"/>
              <w:snapToGrid w:val="0"/>
              <w:jc w:val="center"/>
              <w:rPr>
                <w:kern w:val="0"/>
                <w:szCs w:val="21"/>
              </w:rPr>
            </w:pPr>
            <w:r>
              <w:rPr>
                <w:kern w:val="0"/>
                <w:szCs w:val="21"/>
              </w:rPr>
              <w:t>一</w:t>
            </w:r>
          </w:p>
        </w:tc>
        <w:tc>
          <w:tcPr>
            <w:tcW w:w="1691" w:type="dxa"/>
            <w:vAlign w:val="center"/>
          </w:tcPr>
          <w:p w14:paraId="7CDE5F7C">
            <w:pPr>
              <w:widowControl/>
              <w:adjustRightInd w:val="0"/>
              <w:snapToGrid w:val="0"/>
              <w:jc w:val="center"/>
              <w:rPr>
                <w:kern w:val="0"/>
                <w:szCs w:val="21"/>
              </w:rPr>
            </w:pPr>
            <w:r>
              <w:rPr>
                <w:kern w:val="0"/>
                <w:szCs w:val="21"/>
              </w:rPr>
              <w:t>二</w:t>
            </w:r>
          </w:p>
        </w:tc>
        <w:tc>
          <w:tcPr>
            <w:tcW w:w="1691" w:type="dxa"/>
            <w:vAlign w:val="center"/>
          </w:tcPr>
          <w:p w14:paraId="23D76C0A">
            <w:pPr>
              <w:widowControl/>
              <w:adjustRightInd w:val="0"/>
              <w:snapToGrid w:val="0"/>
              <w:jc w:val="center"/>
              <w:rPr>
                <w:kern w:val="0"/>
                <w:szCs w:val="21"/>
              </w:rPr>
            </w:pPr>
            <w:r>
              <w:rPr>
                <w:kern w:val="0"/>
                <w:szCs w:val="21"/>
              </w:rPr>
              <w:t>三</w:t>
            </w:r>
          </w:p>
        </w:tc>
        <w:tc>
          <w:tcPr>
            <w:tcW w:w="1692" w:type="dxa"/>
            <w:vAlign w:val="center"/>
          </w:tcPr>
          <w:p w14:paraId="7E93D3C8">
            <w:pPr>
              <w:widowControl/>
              <w:adjustRightInd w:val="0"/>
              <w:snapToGrid w:val="0"/>
              <w:jc w:val="center"/>
              <w:rPr>
                <w:kern w:val="0"/>
                <w:szCs w:val="21"/>
                <w:vertAlign w:val="superscript"/>
              </w:rPr>
            </w:pPr>
            <w:r>
              <w:rPr>
                <w:kern w:val="0"/>
                <w:szCs w:val="21"/>
              </w:rPr>
              <w:t>简单分析</w:t>
            </w:r>
            <w:r>
              <w:rPr>
                <w:kern w:val="0"/>
                <w:szCs w:val="21"/>
                <w:vertAlign w:val="superscript"/>
              </w:rPr>
              <w:t>a</w:t>
            </w:r>
          </w:p>
        </w:tc>
      </w:tr>
      <w:tr w14:paraId="313BD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vAlign w:val="center"/>
          </w:tcPr>
          <w:p w14:paraId="3B3B2E05">
            <w:pPr>
              <w:widowControl/>
              <w:adjustRightInd w:val="0"/>
              <w:snapToGrid w:val="0"/>
              <w:jc w:val="left"/>
              <w:rPr>
                <w:kern w:val="0"/>
                <w:szCs w:val="21"/>
              </w:rPr>
            </w:pPr>
            <w:r>
              <w:rPr>
                <w:kern w:val="0"/>
                <w:szCs w:val="21"/>
              </w:rPr>
              <w:t>a：是相对详细评价工作内容而言，在描述危险物质、环境影响途径、环境危害后果、风险防范措施等方面给出定性的说明。见附录A。</w:t>
            </w:r>
          </w:p>
        </w:tc>
      </w:tr>
    </w:tbl>
    <w:p w14:paraId="321E4852">
      <w:pPr>
        <w:widowControl/>
        <w:spacing w:line="500" w:lineRule="exact"/>
        <w:ind w:firstLine="480" w:firstLineChars="200"/>
        <w:rPr>
          <w:kern w:val="0"/>
          <w:sz w:val="24"/>
        </w:rPr>
      </w:pPr>
      <w:r>
        <w:rPr>
          <w:kern w:val="0"/>
          <w:sz w:val="24"/>
        </w:rPr>
        <w:t>项目环境风险潜势综合等级为</w:t>
      </w:r>
      <w:r>
        <w:rPr>
          <w:rFonts w:hint="eastAsia" w:ascii="宋体" w:hAnsi="宋体" w:cs="宋体"/>
          <w:kern w:val="0"/>
          <w:sz w:val="24"/>
        </w:rPr>
        <w:t>Ⅲ</w:t>
      </w:r>
      <w:r>
        <w:rPr>
          <w:kern w:val="0"/>
          <w:sz w:val="24"/>
        </w:rPr>
        <w:t>级，对照表4.1-1，</w:t>
      </w:r>
      <w:r>
        <w:rPr>
          <w:rFonts w:hint="eastAsia"/>
          <w:kern w:val="0"/>
          <w:sz w:val="24"/>
        </w:rPr>
        <w:t>项目环境风险评价等级详见表4.1-2。</w:t>
      </w:r>
    </w:p>
    <w:p w14:paraId="62F48F85">
      <w:pPr>
        <w:keepNext/>
        <w:keepLines/>
        <w:widowControl/>
        <w:tabs>
          <w:tab w:val="left" w:pos="795"/>
        </w:tabs>
        <w:spacing w:line="500" w:lineRule="exact"/>
        <w:ind w:left="795"/>
        <w:jc w:val="center"/>
        <w:outlineLvl w:val="3"/>
        <w:rPr>
          <w:b/>
          <w:kern w:val="0"/>
          <w:sz w:val="24"/>
        </w:rPr>
      </w:pPr>
      <w:r>
        <w:rPr>
          <w:rFonts w:hint="eastAsia"/>
          <w:b/>
          <w:kern w:val="0"/>
          <w:sz w:val="24"/>
        </w:rPr>
        <w:t>表4.1-2项目环境风险评价等级一览表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1659"/>
        <w:gridCol w:w="1661"/>
        <w:gridCol w:w="1658"/>
        <w:gridCol w:w="1626"/>
      </w:tblGrid>
      <w:tr w14:paraId="5244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56" w:type="dxa"/>
            <w:vAlign w:val="center"/>
          </w:tcPr>
          <w:p w14:paraId="2C93A5E6">
            <w:pPr>
              <w:widowControl/>
              <w:adjustRightInd w:val="0"/>
              <w:snapToGrid w:val="0"/>
              <w:jc w:val="center"/>
              <w:rPr>
                <w:b/>
                <w:bCs/>
                <w:spacing w:val="10"/>
                <w:szCs w:val="21"/>
                <w:lang w:val="zh-CN"/>
              </w:rPr>
            </w:pPr>
            <w:r>
              <w:rPr>
                <w:b/>
                <w:bCs/>
                <w:spacing w:val="10"/>
                <w:szCs w:val="21"/>
                <w:lang w:val="zh-CN"/>
              </w:rPr>
              <w:t>环境要素</w:t>
            </w:r>
          </w:p>
        </w:tc>
        <w:tc>
          <w:tcPr>
            <w:tcW w:w="1659" w:type="dxa"/>
            <w:vAlign w:val="center"/>
          </w:tcPr>
          <w:p w14:paraId="16203B77">
            <w:pPr>
              <w:widowControl/>
              <w:adjustRightInd w:val="0"/>
              <w:snapToGrid w:val="0"/>
              <w:jc w:val="center"/>
              <w:rPr>
                <w:b/>
                <w:bCs/>
                <w:spacing w:val="10"/>
                <w:szCs w:val="21"/>
                <w:lang w:val="zh-CN"/>
              </w:rPr>
            </w:pPr>
            <w:r>
              <w:rPr>
                <w:b/>
                <w:bCs/>
                <w:spacing w:val="10"/>
                <w:szCs w:val="21"/>
                <w:lang w:val="zh-CN"/>
              </w:rPr>
              <w:t>大气</w:t>
            </w:r>
          </w:p>
        </w:tc>
        <w:tc>
          <w:tcPr>
            <w:tcW w:w="1661" w:type="dxa"/>
            <w:vAlign w:val="center"/>
          </w:tcPr>
          <w:p w14:paraId="45EB03ED">
            <w:pPr>
              <w:widowControl/>
              <w:adjustRightInd w:val="0"/>
              <w:snapToGrid w:val="0"/>
              <w:jc w:val="center"/>
              <w:rPr>
                <w:b/>
                <w:bCs/>
                <w:spacing w:val="10"/>
                <w:szCs w:val="21"/>
                <w:lang w:val="zh-CN"/>
              </w:rPr>
            </w:pPr>
            <w:r>
              <w:rPr>
                <w:b/>
                <w:bCs/>
                <w:spacing w:val="10"/>
                <w:szCs w:val="21"/>
                <w:lang w:val="zh-CN"/>
              </w:rPr>
              <w:t>地表水</w:t>
            </w:r>
          </w:p>
        </w:tc>
        <w:tc>
          <w:tcPr>
            <w:tcW w:w="1658" w:type="dxa"/>
            <w:vAlign w:val="center"/>
          </w:tcPr>
          <w:p w14:paraId="6DE89A2E">
            <w:pPr>
              <w:widowControl/>
              <w:adjustRightInd w:val="0"/>
              <w:snapToGrid w:val="0"/>
              <w:jc w:val="center"/>
              <w:rPr>
                <w:b/>
                <w:bCs/>
                <w:spacing w:val="10"/>
                <w:szCs w:val="21"/>
                <w:lang w:val="zh-CN"/>
              </w:rPr>
            </w:pPr>
            <w:r>
              <w:rPr>
                <w:b/>
                <w:bCs/>
                <w:spacing w:val="10"/>
                <w:szCs w:val="21"/>
                <w:lang w:val="zh-CN"/>
              </w:rPr>
              <w:t>地下水</w:t>
            </w:r>
          </w:p>
        </w:tc>
        <w:tc>
          <w:tcPr>
            <w:tcW w:w="1626" w:type="dxa"/>
          </w:tcPr>
          <w:p w14:paraId="3A4E82E6">
            <w:pPr>
              <w:widowControl/>
              <w:adjustRightInd w:val="0"/>
              <w:snapToGrid w:val="0"/>
              <w:jc w:val="center"/>
              <w:rPr>
                <w:b/>
                <w:bCs/>
                <w:spacing w:val="10"/>
                <w:szCs w:val="21"/>
                <w:lang w:val="zh-CN"/>
              </w:rPr>
            </w:pPr>
            <w:r>
              <w:rPr>
                <w:b/>
                <w:bCs/>
                <w:spacing w:val="10"/>
                <w:szCs w:val="21"/>
                <w:lang w:val="zh-CN"/>
              </w:rPr>
              <w:t>综合等级</w:t>
            </w:r>
          </w:p>
        </w:tc>
      </w:tr>
      <w:tr w14:paraId="57D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6" w:type="dxa"/>
            <w:vAlign w:val="center"/>
          </w:tcPr>
          <w:p w14:paraId="50B786AB">
            <w:pPr>
              <w:widowControl/>
              <w:adjustRightInd w:val="0"/>
              <w:snapToGrid w:val="0"/>
              <w:jc w:val="center"/>
              <w:rPr>
                <w:spacing w:val="10"/>
                <w:szCs w:val="21"/>
                <w:lang w:val="zh-CN"/>
              </w:rPr>
            </w:pPr>
            <w:r>
              <w:rPr>
                <w:spacing w:val="10"/>
                <w:szCs w:val="21"/>
                <w:lang w:val="zh-CN"/>
              </w:rPr>
              <w:t>环境风险潜势划分</w:t>
            </w:r>
          </w:p>
        </w:tc>
        <w:tc>
          <w:tcPr>
            <w:tcW w:w="1659" w:type="dxa"/>
            <w:vAlign w:val="center"/>
          </w:tcPr>
          <w:p w14:paraId="3760D33D">
            <w:pPr>
              <w:widowControl/>
              <w:adjustRightInd w:val="0"/>
              <w:snapToGrid w:val="0"/>
              <w:jc w:val="center"/>
              <w:rPr>
                <w:spacing w:val="10"/>
                <w:szCs w:val="21"/>
                <w:lang w:val="zh-CN"/>
              </w:rPr>
            </w:pPr>
            <w:r>
              <w:rPr>
                <w:rFonts w:hint="eastAsia" w:ascii="宋体" w:hAnsi="宋体" w:cs="宋体"/>
                <w:color w:val="000000" w:themeColor="text1"/>
                <w:spacing w:val="10"/>
                <w:szCs w:val="21"/>
                <w14:textFill>
                  <w14:solidFill>
                    <w14:schemeClr w14:val="tx1"/>
                  </w14:solidFill>
                </w14:textFill>
              </w:rPr>
              <w:t>Ⅲ</w:t>
            </w:r>
          </w:p>
        </w:tc>
        <w:tc>
          <w:tcPr>
            <w:tcW w:w="1661" w:type="dxa"/>
            <w:shd w:val="clear" w:color="auto" w:fill="auto"/>
            <w:vAlign w:val="center"/>
          </w:tcPr>
          <w:p w14:paraId="0E63E130">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ascii="宋体" w:hAnsi="宋体" w:cs="宋体"/>
                <w:color w:val="000000" w:themeColor="text1"/>
                <w:spacing w:val="10"/>
                <w:szCs w:val="21"/>
                <w14:textFill>
                  <w14:solidFill>
                    <w14:schemeClr w14:val="tx1"/>
                  </w14:solidFill>
                </w14:textFill>
              </w:rPr>
              <w:t>Ⅲ</w:t>
            </w:r>
          </w:p>
        </w:tc>
        <w:tc>
          <w:tcPr>
            <w:tcW w:w="1658" w:type="dxa"/>
            <w:shd w:val="clear" w:color="auto" w:fill="auto"/>
            <w:vAlign w:val="center"/>
          </w:tcPr>
          <w:p w14:paraId="47C080BB">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ascii="宋体" w:hAnsi="宋体" w:cs="宋体"/>
                <w:color w:val="000000" w:themeColor="text1"/>
                <w:spacing w:val="10"/>
                <w:szCs w:val="21"/>
                <w14:textFill>
                  <w14:solidFill>
                    <w14:schemeClr w14:val="tx1"/>
                  </w14:solidFill>
                </w14:textFill>
              </w:rPr>
              <w:t>Ⅲ</w:t>
            </w:r>
          </w:p>
        </w:tc>
        <w:tc>
          <w:tcPr>
            <w:tcW w:w="1626" w:type="dxa"/>
            <w:shd w:val="clear" w:color="auto" w:fill="auto"/>
            <w:vAlign w:val="center"/>
          </w:tcPr>
          <w:p w14:paraId="3971D76D">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ascii="宋体" w:hAnsi="宋体" w:cs="宋体"/>
                <w:color w:val="000000" w:themeColor="text1"/>
                <w:spacing w:val="10"/>
                <w:szCs w:val="21"/>
                <w14:textFill>
                  <w14:solidFill>
                    <w14:schemeClr w14:val="tx1"/>
                  </w14:solidFill>
                </w14:textFill>
              </w:rPr>
              <w:t>Ⅲ</w:t>
            </w:r>
          </w:p>
        </w:tc>
      </w:tr>
      <w:tr w14:paraId="5A40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6" w:type="dxa"/>
            <w:vAlign w:val="center"/>
          </w:tcPr>
          <w:p w14:paraId="4D48CFD9">
            <w:pPr>
              <w:widowControl/>
              <w:adjustRightInd w:val="0"/>
              <w:snapToGrid w:val="0"/>
              <w:jc w:val="center"/>
              <w:rPr>
                <w:spacing w:val="10"/>
                <w:szCs w:val="21"/>
                <w:lang w:val="zh-CN"/>
              </w:rPr>
            </w:pPr>
            <w:r>
              <w:rPr>
                <w:spacing w:val="10"/>
                <w:szCs w:val="21"/>
                <w:lang w:val="zh-CN"/>
              </w:rPr>
              <w:t>评价工作等级</w:t>
            </w:r>
          </w:p>
        </w:tc>
        <w:tc>
          <w:tcPr>
            <w:tcW w:w="1659" w:type="dxa"/>
            <w:vAlign w:val="center"/>
          </w:tcPr>
          <w:p w14:paraId="0A5AE306">
            <w:pPr>
              <w:widowControl/>
              <w:adjustRightInd w:val="0"/>
              <w:snapToGrid w:val="0"/>
              <w:jc w:val="center"/>
              <w:rPr>
                <w:spacing w:val="10"/>
                <w:szCs w:val="21"/>
                <w:lang w:val="zh-CN"/>
              </w:rPr>
            </w:pPr>
            <w:r>
              <w:rPr>
                <w:rFonts w:hint="eastAsia"/>
                <w:spacing w:val="10"/>
                <w:szCs w:val="21"/>
                <w:lang w:val="zh-CN"/>
              </w:rPr>
              <w:t>二级</w:t>
            </w:r>
          </w:p>
        </w:tc>
        <w:tc>
          <w:tcPr>
            <w:tcW w:w="1661" w:type="dxa"/>
            <w:shd w:val="clear" w:color="auto" w:fill="auto"/>
            <w:vAlign w:val="center"/>
          </w:tcPr>
          <w:p w14:paraId="5C9A9B17">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spacing w:val="10"/>
                <w:szCs w:val="21"/>
                <w:lang w:val="zh-CN"/>
              </w:rPr>
              <w:t>二级</w:t>
            </w:r>
          </w:p>
        </w:tc>
        <w:tc>
          <w:tcPr>
            <w:tcW w:w="1658" w:type="dxa"/>
            <w:shd w:val="clear" w:color="auto" w:fill="auto"/>
            <w:vAlign w:val="center"/>
          </w:tcPr>
          <w:p w14:paraId="580D3DEB">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spacing w:val="10"/>
                <w:szCs w:val="21"/>
                <w:lang w:val="zh-CN"/>
              </w:rPr>
              <w:t>二级</w:t>
            </w:r>
          </w:p>
        </w:tc>
        <w:tc>
          <w:tcPr>
            <w:tcW w:w="1626" w:type="dxa"/>
            <w:shd w:val="clear" w:color="auto" w:fill="auto"/>
            <w:vAlign w:val="center"/>
          </w:tcPr>
          <w:p w14:paraId="3864977F">
            <w:pPr>
              <w:widowControl/>
              <w:adjustRightInd w:val="0"/>
              <w:snapToGrid w:val="0"/>
              <w:jc w:val="center"/>
              <w:rPr>
                <w:rFonts w:ascii="Times New Roman" w:hAnsi="Times New Roman" w:eastAsia="宋体" w:cs="Times New Roman"/>
                <w:spacing w:val="10"/>
                <w:kern w:val="2"/>
                <w:sz w:val="21"/>
                <w:szCs w:val="21"/>
                <w:lang w:val="zh-CN" w:eastAsia="zh-CN" w:bidi="ar-SA"/>
              </w:rPr>
            </w:pPr>
            <w:r>
              <w:rPr>
                <w:rFonts w:hint="eastAsia"/>
                <w:spacing w:val="10"/>
                <w:szCs w:val="21"/>
                <w:lang w:val="zh-CN"/>
              </w:rPr>
              <w:t>二级</w:t>
            </w:r>
          </w:p>
        </w:tc>
      </w:tr>
    </w:tbl>
    <w:p w14:paraId="764E8ED0">
      <w:pPr>
        <w:widowControl/>
        <w:spacing w:line="500" w:lineRule="exact"/>
        <w:ind w:firstLine="480" w:firstLineChars="200"/>
        <w:rPr>
          <w:kern w:val="0"/>
          <w:sz w:val="24"/>
        </w:rPr>
      </w:pPr>
      <w:r>
        <w:rPr>
          <w:rFonts w:hint="eastAsia"/>
          <w:kern w:val="0"/>
          <w:sz w:val="24"/>
        </w:rPr>
        <w:t>据项目风险评价等级，确定本项目风险评价范围详见表4.1-3。</w:t>
      </w:r>
    </w:p>
    <w:p w14:paraId="741DC199">
      <w:pPr>
        <w:keepNext/>
        <w:keepLines/>
        <w:widowControl/>
        <w:tabs>
          <w:tab w:val="left" w:pos="795"/>
        </w:tabs>
        <w:spacing w:line="500" w:lineRule="exact"/>
        <w:ind w:left="795"/>
        <w:jc w:val="center"/>
        <w:outlineLvl w:val="3"/>
        <w:rPr>
          <w:b/>
          <w:kern w:val="0"/>
          <w:sz w:val="24"/>
        </w:rPr>
      </w:pPr>
      <w:r>
        <w:rPr>
          <w:rFonts w:hint="eastAsia"/>
          <w:b/>
          <w:kern w:val="0"/>
          <w:sz w:val="24"/>
        </w:rPr>
        <w:t>表4.1-3风险评价范围</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393"/>
        <w:gridCol w:w="6860"/>
      </w:tblGrid>
      <w:tr w14:paraId="66A5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dxa"/>
            <w:vAlign w:val="center"/>
          </w:tcPr>
          <w:p w14:paraId="4B5AD9CC">
            <w:pPr>
              <w:widowControl/>
              <w:adjustRightInd w:val="0"/>
              <w:snapToGrid w:val="0"/>
              <w:jc w:val="center"/>
              <w:rPr>
                <w:bCs/>
                <w:spacing w:val="10"/>
                <w:szCs w:val="21"/>
                <w:lang w:val="zh-CN"/>
              </w:rPr>
            </w:pPr>
            <w:r>
              <w:rPr>
                <w:bCs/>
                <w:spacing w:val="10"/>
                <w:szCs w:val="21"/>
                <w:lang w:val="zh-CN"/>
              </w:rPr>
              <w:t>序号</w:t>
            </w:r>
          </w:p>
        </w:tc>
        <w:tc>
          <w:tcPr>
            <w:tcW w:w="1393" w:type="dxa"/>
            <w:vAlign w:val="center"/>
          </w:tcPr>
          <w:p w14:paraId="15FE5CF6">
            <w:pPr>
              <w:widowControl/>
              <w:adjustRightInd w:val="0"/>
              <w:snapToGrid w:val="0"/>
              <w:jc w:val="center"/>
              <w:rPr>
                <w:bCs/>
                <w:spacing w:val="10"/>
                <w:szCs w:val="21"/>
                <w:lang w:val="zh-CN"/>
              </w:rPr>
            </w:pPr>
            <w:r>
              <w:rPr>
                <w:bCs/>
                <w:spacing w:val="10"/>
                <w:szCs w:val="21"/>
                <w:lang w:val="zh-CN"/>
              </w:rPr>
              <w:t>项目</w:t>
            </w:r>
          </w:p>
        </w:tc>
        <w:tc>
          <w:tcPr>
            <w:tcW w:w="6860" w:type="dxa"/>
            <w:vAlign w:val="center"/>
          </w:tcPr>
          <w:p w14:paraId="44D90104">
            <w:pPr>
              <w:widowControl/>
              <w:adjustRightInd w:val="0"/>
              <w:snapToGrid w:val="0"/>
              <w:jc w:val="center"/>
              <w:rPr>
                <w:bCs/>
                <w:spacing w:val="10"/>
                <w:szCs w:val="21"/>
                <w:lang w:val="zh-CN"/>
              </w:rPr>
            </w:pPr>
            <w:r>
              <w:rPr>
                <w:bCs/>
                <w:spacing w:val="10"/>
                <w:szCs w:val="21"/>
                <w:lang w:val="zh-CN"/>
              </w:rPr>
              <w:t>风险评价范围</w:t>
            </w:r>
          </w:p>
        </w:tc>
      </w:tr>
      <w:tr w14:paraId="7625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dxa"/>
            <w:vAlign w:val="center"/>
          </w:tcPr>
          <w:p w14:paraId="65D9B9A4">
            <w:pPr>
              <w:widowControl/>
              <w:adjustRightInd w:val="0"/>
              <w:snapToGrid w:val="0"/>
              <w:jc w:val="center"/>
              <w:rPr>
                <w:spacing w:val="10"/>
                <w:szCs w:val="21"/>
                <w:lang w:val="zh-CN"/>
              </w:rPr>
            </w:pPr>
            <w:r>
              <w:rPr>
                <w:spacing w:val="10"/>
                <w:szCs w:val="21"/>
                <w:lang w:val="zh-CN"/>
              </w:rPr>
              <w:t>1</w:t>
            </w:r>
          </w:p>
        </w:tc>
        <w:tc>
          <w:tcPr>
            <w:tcW w:w="1393" w:type="dxa"/>
            <w:vAlign w:val="center"/>
          </w:tcPr>
          <w:p w14:paraId="1D1B4EF9">
            <w:pPr>
              <w:widowControl/>
              <w:adjustRightInd w:val="0"/>
              <w:snapToGrid w:val="0"/>
              <w:jc w:val="center"/>
              <w:rPr>
                <w:spacing w:val="10"/>
                <w:szCs w:val="21"/>
                <w:lang w:val="zh-CN"/>
              </w:rPr>
            </w:pPr>
            <w:r>
              <w:rPr>
                <w:spacing w:val="10"/>
                <w:szCs w:val="21"/>
                <w:lang w:val="zh-CN"/>
              </w:rPr>
              <w:t>大气</w:t>
            </w:r>
          </w:p>
        </w:tc>
        <w:tc>
          <w:tcPr>
            <w:tcW w:w="6860" w:type="dxa"/>
            <w:vAlign w:val="center"/>
          </w:tcPr>
          <w:p w14:paraId="049C252F">
            <w:pPr>
              <w:widowControl/>
              <w:adjustRightInd w:val="0"/>
              <w:snapToGrid w:val="0"/>
              <w:jc w:val="center"/>
              <w:rPr>
                <w:spacing w:val="10"/>
                <w:szCs w:val="21"/>
                <w:lang w:val="zh-CN"/>
              </w:rPr>
            </w:pPr>
            <w:r>
              <w:rPr>
                <w:spacing w:val="10"/>
                <w:szCs w:val="21"/>
                <w:lang w:val="zh-CN"/>
              </w:rPr>
              <w:t>距项目厂界</w:t>
            </w:r>
            <w:r>
              <w:rPr>
                <w:rFonts w:hint="eastAsia"/>
                <w:spacing w:val="10"/>
                <w:szCs w:val="21"/>
              </w:rPr>
              <w:t>5k</w:t>
            </w:r>
            <w:r>
              <w:rPr>
                <w:spacing w:val="10"/>
                <w:szCs w:val="21"/>
                <w:lang w:val="zh-CN"/>
              </w:rPr>
              <w:t>m范围内的区域</w:t>
            </w:r>
          </w:p>
        </w:tc>
      </w:tr>
      <w:tr w14:paraId="7C3C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dxa"/>
            <w:vAlign w:val="center"/>
          </w:tcPr>
          <w:p w14:paraId="0E8A5F20">
            <w:pPr>
              <w:widowControl/>
              <w:adjustRightInd w:val="0"/>
              <w:snapToGrid w:val="0"/>
              <w:jc w:val="center"/>
              <w:rPr>
                <w:spacing w:val="10"/>
                <w:szCs w:val="21"/>
                <w:lang w:val="zh-CN"/>
              </w:rPr>
            </w:pPr>
            <w:r>
              <w:rPr>
                <w:spacing w:val="10"/>
                <w:szCs w:val="21"/>
                <w:lang w:val="zh-CN"/>
              </w:rPr>
              <w:t>2</w:t>
            </w:r>
          </w:p>
        </w:tc>
        <w:tc>
          <w:tcPr>
            <w:tcW w:w="1393" w:type="dxa"/>
            <w:vAlign w:val="center"/>
          </w:tcPr>
          <w:p w14:paraId="5AFC78C5">
            <w:pPr>
              <w:widowControl/>
              <w:adjustRightInd w:val="0"/>
              <w:snapToGrid w:val="0"/>
              <w:jc w:val="center"/>
              <w:rPr>
                <w:spacing w:val="10"/>
                <w:szCs w:val="21"/>
                <w:lang w:val="zh-CN"/>
              </w:rPr>
            </w:pPr>
            <w:r>
              <w:rPr>
                <w:spacing w:val="10"/>
                <w:szCs w:val="21"/>
                <w:lang w:val="zh-CN"/>
              </w:rPr>
              <w:t>地表水</w:t>
            </w:r>
          </w:p>
        </w:tc>
        <w:tc>
          <w:tcPr>
            <w:tcW w:w="6860" w:type="dxa"/>
            <w:shd w:val="clear" w:color="auto" w:fill="auto"/>
            <w:vAlign w:val="center"/>
          </w:tcPr>
          <w:p w14:paraId="563F5D59">
            <w:pPr>
              <w:adjustRightInd w:val="0"/>
              <w:snapToGrid w:val="0"/>
              <w:jc w:val="left"/>
              <w:rPr>
                <w:rFonts w:ascii="Times New Roman" w:hAnsi="Times New Roman" w:eastAsia="宋体" w:cs="Times New Roman"/>
                <w:kern w:val="2"/>
                <w:sz w:val="21"/>
                <w:szCs w:val="21"/>
                <w:lang w:val="zh-CN" w:eastAsia="zh-CN" w:bidi="ar-SA"/>
              </w:rPr>
            </w:pPr>
            <w:r>
              <w:rPr>
                <w:rFonts w:hint="eastAsia" w:eastAsia="宋体"/>
                <w:sz w:val="21"/>
                <w:szCs w:val="21"/>
              </w:rPr>
              <w:t>考虑企业废水纳管排放，雨水排放至工业区雨水管网，对地表水的风险评价深度确定为定性分析说明对地表水的环境影响后果，重点分析消防事故废水在厂内的封堵截留措施，防范事故水进入地表水，相应，本项目地表水风险评价范围为厂区内至厂区雨水排放口。</w:t>
            </w:r>
          </w:p>
        </w:tc>
      </w:tr>
      <w:tr w14:paraId="2C36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dxa"/>
            <w:vAlign w:val="center"/>
          </w:tcPr>
          <w:p w14:paraId="0376868E">
            <w:pPr>
              <w:widowControl/>
              <w:adjustRightInd w:val="0"/>
              <w:snapToGrid w:val="0"/>
              <w:jc w:val="center"/>
              <w:rPr>
                <w:spacing w:val="10"/>
                <w:szCs w:val="21"/>
                <w:lang w:val="zh-CN"/>
              </w:rPr>
            </w:pPr>
            <w:r>
              <w:rPr>
                <w:spacing w:val="10"/>
                <w:szCs w:val="21"/>
                <w:lang w:val="zh-CN"/>
              </w:rPr>
              <w:t>3</w:t>
            </w:r>
          </w:p>
        </w:tc>
        <w:tc>
          <w:tcPr>
            <w:tcW w:w="1393" w:type="dxa"/>
            <w:vAlign w:val="center"/>
          </w:tcPr>
          <w:p w14:paraId="1C3640DE">
            <w:pPr>
              <w:widowControl/>
              <w:adjustRightInd w:val="0"/>
              <w:snapToGrid w:val="0"/>
              <w:jc w:val="center"/>
              <w:rPr>
                <w:spacing w:val="10"/>
                <w:szCs w:val="21"/>
                <w:lang w:val="zh-CN"/>
              </w:rPr>
            </w:pPr>
            <w:r>
              <w:rPr>
                <w:spacing w:val="10"/>
                <w:szCs w:val="21"/>
                <w:lang w:val="zh-CN"/>
              </w:rPr>
              <w:t>地下水</w:t>
            </w:r>
          </w:p>
        </w:tc>
        <w:tc>
          <w:tcPr>
            <w:tcW w:w="6860" w:type="dxa"/>
            <w:shd w:val="clear" w:color="auto" w:fill="auto"/>
            <w:vAlign w:val="center"/>
          </w:tcPr>
          <w:p w14:paraId="4FCB0A35">
            <w:pPr>
              <w:adjustRightInd w:val="0"/>
              <w:snapToGrid w:val="0"/>
              <w:jc w:val="left"/>
              <w:rPr>
                <w:rFonts w:ascii="Times New Roman" w:hAnsi="Times New Roman" w:eastAsia="宋体" w:cs="Times New Roman"/>
                <w:kern w:val="2"/>
                <w:sz w:val="21"/>
                <w:szCs w:val="21"/>
                <w:lang w:val="zh-CN" w:eastAsia="zh-CN" w:bidi="ar-SA"/>
              </w:rPr>
            </w:pPr>
            <w:r>
              <w:rPr>
                <w:rFonts w:hint="eastAsia" w:eastAsia="宋体"/>
                <w:sz w:val="21"/>
                <w:szCs w:val="21"/>
              </w:rPr>
              <w:t>北侧外扩400m及西侧外扩170m至碎屑岩山脊线的分水岭一带，东侧至项目区边界及钦州湾海岸，南侧外扩900m至国星油气有限公司一带钦州湾海域，项目区地下水以钦州湾为地下水排泄边界，地下水环境影响评价面积约1.5km</w:t>
            </w:r>
            <w:r>
              <w:rPr>
                <w:rFonts w:hint="eastAsia" w:eastAsia="宋体"/>
                <w:sz w:val="21"/>
                <w:szCs w:val="21"/>
                <w:vertAlign w:val="superscript"/>
              </w:rPr>
              <w:t>2</w:t>
            </w:r>
            <w:r>
              <w:rPr>
                <w:rFonts w:eastAsia="宋体"/>
                <w:sz w:val="21"/>
                <w:szCs w:val="21"/>
              </w:rPr>
              <w:t>。</w:t>
            </w:r>
          </w:p>
        </w:tc>
      </w:tr>
    </w:tbl>
    <w:p w14:paraId="2CEDAD56">
      <w:pPr>
        <w:keepNext/>
        <w:keepLines/>
        <w:widowControl/>
        <w:numPr>
          <w:ilvl w:val="0"/>
          <w:numId w:val="14"/>
        </w:numPr>
        <w:spacing w:before="210" w:after="210" w:line="500" w:lineRule="exact"/>
        <w:jc w:val="left"/>
        <w:outlineLvl w:val="1"/>
        <w:rPr>
          <w:b/>
          <w:kern w:val="0"/>
          <w:sz w:val="28"/>
          <w:szCs w:val="20"/>
        </w:rPr>
      </w:pPr>
      <w:bookmarkStart w:id="57" w:name="_Toc12579"/>
      <w:bookmarkStart w:id="58" w:name="_Toc103"/>
      <w:r>
        <w:rPr>
          <w:b/>
          <w:kern w:val="0"/>
          <w:sz w:val="28"/>
          <w:szCs w:val="20"/>
        </w:rPr>
        <w:t>风险识别</w:t>
      </w:r>
      <w:bookmarkEnd w:id="57"/>
      <w:bookmarkEnd w:id="58"/>
    </w:p>
    <w:p w14:paraId="040DEC5F">
      <w:pPr>
        <w:keepNext/>
        <w:keepLines/>
        <w:widowControl/>
        <w:numPr>
          <w:ilvl w:val="0"/>
          <w:numId w:val="15"/>
        </w:numPr>
        <w:spacing w:before="126" w:after="126" w:line="500" w:lineRule="exact"/>
        <w:jc w:val="left"/>
        <w:outlineLvl w:val="2"/>
        <w:rPr>
          <w:b/>
          <w:bCs/>
          <w:kern w:val="0"/>
          <w:sz w:val="24"/>
        </w:rPr>
      </w:pPr>
      <w:bookmarkStart w:id="59" w:name="_Toc144992669"/>
      <w:bookmarkStart w:id="60" w:name="_Toc2124"/>
      <w:r>
        <w:rPr>
          <w:b/>
          <w:bCs/>
          <w:kern w:val="0"/>
          <w:sz w:val="24"/>
        </w:rPr>
        <w:t>风险识别内容</w:t>
      </w:r>
      <w:bookmarkEnd w:id="59"/>
      <w:bookmarkEnd w:id="60"/>
    </w:p>
    <w:p w14:paraId="4B7C5730">
      <w:pPr>
        <w:widowControl/>
        <w:spacing w:line="500" w:lineRule="exact"/>
        <w:ind w:firstLine="482" w:firstLineChars="200"/>
        <w:rPr>
          <w:b/>
          <w:kern w:val="0"/>
          <w:sz w:val="24"/>
        </w:rPr>
      </w:pPr>
      <w:r>
        <w:rPr>
          <w:b/>
          <w:kern w:val="0"/>
          <w:sz w:val="24"/>
        </w:rPr>
        <w:t>一、物质危险性识别</w:t>
      </w:r>
    </w:p>
    <w:p w14:paraId="48B9976C">
      <w:pPr>
        <w:widowControl/>
        <w:spacing w:line="500" w:lineRule="exact"/>
        <w:ind w:firstLine="480" w:firstLineChars="200"/>
        <w:rPr>
          <w:kern w:val="0"/>
          <w:sz w:val="24"/>
        </w:rPr>
      </w:pPr>
      <w:r>
        <w:rPr>
          <w:rFonts w:hint="eastAsia"/>
          <w:kern w:val="0"/>
          <w:sz w:val="24"/>
        </w:rPr>
        <w:t>根据《建设项目环境风险评价技术导则》附录 B，识别的危险物质见表</w:t>
      </w:r>
      <w:r>
        <w:rPr>
          <w:kern w:val="0"/>
          <w:sz w:val="24"/>
        </w:rPr>
        <w:t>表5.1-1。</w:t>
      </w:r>
    </w:p>
    <w:p w14:paraId="2B1500E0">
      <w:pPr>
        <w:keepNext/>
        <w:keepLines/>
        <w:widowControl/>
        <w:tabs>
          <w:tab w:val="left" w:pos="795"/>
        </w:tabs>
        <w:spacing w:line="500" w:lineRule="exact"/>
        <w:ind w:left="795"/>
        <w:jc w:val="center"/>
        <w:outlineLvl w:val="3"/>
        <w:rPr>
          <w:b/>
          <w:kern w:val="0"/>
          <w:sz w:val="24"/>
        </w:rPr>
      </w:pPr>
      <w:r>
        <w:rPr>
          <w:b/>
          <w:kern w:val="0"/>
          <w:sz w:val="24"/>
        </w:rPr>
        <w:t>表5.1-</w:t>
      </w:r>
      <w:r>
        <w:rPr>
          <w:rFonts w:hint="eastAsia"/>
          <w:b/>
          <w:kern w:val="0"/>
          <w:sz w:val="24"/>
          <w:lang w:val="en-US" w:eastAsia="zh-CN"/>
        </w:rPr>
        <w:t>1</w:t>
      </w:r>
      <w:r>
        <w:rPr>
          <w:b/>
          <w:kern w:val="0"/>
          <w:sz w:val="24"/>
        </w:rPr>
        <w:t xml:space="preserve">  危险物质危险特性表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704"/>
        <w:gridCol w:w="1440"/>
        <w:gridCol w:w="1080"/>
        <w:gridCol w:w="525"/>
        <w:gridCol w:w="855"/>
        <w:gridCol w:w="870"/>
        <w:gridCol w:w="1170"/>
        <w:gridCol w:w="1815"/>
      </w:tblGrid>
      <w:tr w14:paraId="2014B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1" w:type="pct"/>
            <w:vMerge w:val="restart"/>
            <w:noWrap w:val="0"/>
            <w:vAlign w:val="center"/>
          </w:tcPr>
          <w:p w14:paraId="65085A88">
            <w:pPr>
              <w:adjustRightInd w:val="0"/>
              <w:snapToGrid w:val="0"/>
              <w:jc w:val="center"/>
              <w:rPr>
                <w:rFonts w:eastAsia="宋体"/>
                <w:sz w:val="21"/>
                <w:szCs w:val="21"/>
              </w:rPr>
            </w:pPr>
            <w:r>
              <w:rPr>
                <w:rFonts w:eastAsia="宋体"/>
                <w:sz w:val="21"/>
                <w:szCs w:val="21"/>
              </w:rPr>
              <w:t>序号</w:t>
            </w:r>
          </w:p>
        </w:tc>
        <w:tc>
          <w:tcPr>
            <w:tcW w:w="388" w:type="pct"/>
            <w:vMerge w:val="restart"/>
            <w:noWrap w:val="0"/>
            <w:vAlign w:val="center"/>
          </w:tcPr>
          <w:p w14:paraId="1DE9ED42">
            <w:pPr>
              <w:adjustRightInd w:val="0"/>
              <w:snapToGrid w:val="0"/>
              <w:jc w:val="center"/>
              <w:rPr>
                <w:rFonts w:eastAsia="宋体"/>
                <w:sz w:val="21"/>
                <w:szCs w:val="21"/>
              </w:rPr>
            </w:pPr>
            <w:r>
              <w:rPr>
                <w:rFonts w:hint="eastAsia" w:eastAsia="宋体"/>
                <w:sz w:val="21"/>
                <w:szCs w:val="21"/>
              </w:rPr>
              <w:t>危险</w:t>
            </w:r>
            <w:r>
              <w:rPr>
                <w:rFonts w:eastAsia="宋体"/>
                <w:sz w:val="21"/>
                <w:szCs w:val="21"/>
              </w:rPr>
              <w:t>物质名称</w:t>
            </w:r>
          </w:p>
        </w:tc>
        <w:tc>
          <w:tcPr>
            <w:tcW w:w="794" w:type="pct"/>
            <w:vMerge w:val="restart"/>
            <w:noWrap w:val="0"/>
            <w:vAlign w:val="center"/>
          </w:tcPr>
          <w:p w14:paraId="4F61E6FF">
            <w:pPr>
              <w:adjustRightInd w:val="0"/>
              <w:snapToGrid w:val="0"/>
              <w:jc w:val="center"/>
              <w:rPr>
                <w:rFonts w:eastAsia="宋体"/>
                <w:sz w:val="21"/>
                <w:szCs w:val="21"/>
              </w:rPr>
            </w:pPr>
            <w:r>
              <w:rPr>
                <w:rFonts w:eastAsia="宋体"/>
                <w:sz w:val="21"/>
                <w:szCs w:val="21"/>
              </w:rPr>
              <w:t>分布位置</w:t>
            </w:r>
          </w:p>
        </w:tc>
        <w:tc>
          <w:tcPr>
            <w:tcW w:w="596" w:type="pct"/>
            <w:vMerge w:val="restart"/>
            <w:noWrap w:val="0"/>
            <w:vAlign w:val="center"/>
          </w:tcPr>
          <w:p w14:paraId="0D0A3C28">
            <w:pPr>
              <w:adjustRightInd w:val="0"/>
              <w:snapToGrid w:val="0"/>
              <w:jc w:val="center"/>
              <w:rPr>
                <w:rFonts w:eastAsia="宋体"/>
                <w:sz w:val="21"/>
                <w:szCs w:val="21"/>
              </w:rPr>
            </w:pPr>
            <w:r>
              <w:rPr>
                <w:rFonts w:eastAsia="宋体"/>
                <w:sz w:val="21"/>
                <w:szCs w:val="21"/>
              </w:rPr>
              <w:t>CAS 号</w:t>
            </w:r>
          </w:p>
        </w:tc>
        <w:tc>
          <w:tcPr>
            <w:tcW w:w="1887" w:type="pct"/>
            <w:gridSpan w:val="4"/>
            <w:noWrap w:val="0"/>
            <w:vAlign w:val="center"/>
          </w:tcPr>
          <w:p w14:paraId="17CD0F29">
            <w:pPr>
              <w:adjustRightInd w:val="0"/>
              <w:snapToGrid w:val="0"/>
              <w:jc w:val="center"/>
              <w:rPr>
                <w:rFonts w:eastAsia="宋体"/>
                <w:sz w:val="21"/>
                <w:szCs w:val="21"/>
              </w:rPr>
            </w:pPr>
            <w:r>
              <w:rPr>
                <w:rFonts w:eastAsia="宋体"/>
                <w:sz w:val="21"/>
                <w:szCs w:val="21"/>
              </w:rPr>
              <w:t>理化特性</w:t>
            </w:r>
          </w:p>
        </w:tc>
        <w:tc>
          <w:tcPr>
            <w:tcW w:w="1001" w:type="pct"/>
            <w:vMerge w:val="restart"/>
            <w:noWrap w:val="0"/>
            <w:vAlign w:val="center"/>
          </w:tcPr>
          <w:p w14:paraId="0B96C349">
            <w:pPr>
              <w:adjustRightInd w:val="0"/>
              <w:snapToGrid w:val="0"/>
              <w:jc w:val="center"/>
              <w:rPr>
                <w:rFonts w:eastAsia="宋体"/>
                <w:sz w:val="21"/>
                <w:szCs w:val="21"/>
              </w:rPr>
            </w:pPr>
            <w:r>
              <w:rPr>
                <w:rFonts w:eastAsia="宋体"/>
                <w:sz w:val="21"/>
                <w:szCs w:val="21"/>
              </w:rPr>
              <w:t>危险性类别</w:t>
            </w:r>
          </w:p>
        </w:tc>
      </w:tr>
      <w:tr w14:paraId="672B6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1" w:type="pct"/>
            <w:vMerge w:val="continue"/>
            <w:tcBorders>
              <w:top w:val="nil"/>
            </w:tcBorders>
            <w:noWrap w:val="0"/>
            <w:vAlign w:val="center"/>
          </w:tcPr>
          <w:p w14:paraId="2A54480A">
            <w:pPr>
              <w:adjustRightInd w:val="0"/>
              <w:snapToGrid w:val="0"/>
              <w:jc w:val="center"/>
              <w:rPr>
                <w:rFonts w:eastAsia="宋体"/>
                <w:sz w:val="21"/>
                <w:szCs w:val="21"/>
              </w:rPr>
            </w:pPr>
          </w:p>
        </w:tc>
        <w:tc>
          <w:tcPr>
            <w:tcW w:w="388" w:type="pct"/>
            <w:vMerge w:val="continue"/>
            <w:tcBorders>
              <w:top w:val="nil"/>
            </w:tcBorders>
            <w:noWrap w:val="0"/>
            <w:vAlign w:val="center"/>
          </w:tcPr>
          <w:p w14:paraId="0971F3B5">
            <w:pPr>
              <w:adjustRightInd w:val="0"/>
              <w:snapToGrid w:val="0"/>
              <w:jc w:val="center"/>
              <w:rPr>
                <w:rFonts w:eastAsia="宋体"/>
                <w:sz w:val="21"/>
                <w:szCs w:val="21"/>
              </w:rPr>
            </w:pPr>
          </w:p>
        </w:tc>
        <w:tc>
          <w:tcPr>
            <w:tcW w:w="794" w:type="pct"/>
            <w:vMerge w:val="continue"/>
            <w:tcBorders>
              <w:top w:val="nil"/>
            </w:tcBorders>
            <w:noWrap w:val="0"/>
            <w:vAlign w:val="center"/>
          </w:tcPr>
          <w:p w14:paraId="33DB73E6">
            <w:pPr>
              <w:adjustRightInd w:val="0"/>
              <w:snapToGrid w:val="0"/>
              <w:jc w:val="center"/>
              <w:rPr>
                <w:rFonts w:eastAsia="宋体"/>
                <w:sz w:val="21"/>
                <w:szCs w:val="21"/>
              </w:rPr>
            </w:pPr>
          </w:p>
        </w:tc>
        <w:tc>
          <w:tcPr>
            <w:tcW w:w="596" w:type="pct"/>
            <w:vMerge w:val="continue"/>
            <w:tcBorders>
              <w:top w:val="nil"/>
            </w:tcBorders>
            <w:noWrap w:val="0"/>
            <w:vAlign w:val="center"/>
          </w:tcPr>
          <w:p w14:paraId="2FB9B503">
            <w:pPr>
              <w:adjustRightInd w:val="0"/>
              <w:snapToGrid w:val="0"/>
              <w:jc w:val="center"/>
              <w:rPr>
                <w:rFonts w:eastAsia="宋体"/>
                <w:sz w:val="21"/>
                <w:szCs w:val="21"/>
              </w:rPr>
            </w:pPr>
          </w:p>
        </w:tc>
        <w:tc>
          <w:tcPr>
            <w:tcW w:w="289" w:type="pct"/>
            <w:noWrap w:val="0"/>
            <w:vAlign w:val="center"/>
          </w:tcPr>
          <w:p w14:paraId="30E0C77E">
            <w:pPr>
              <w:pStyle w:val="82"/>
              <w:adjustRightInd w:val="0"/>
              <w:snapToGrid w:val="0"/>
              <w:jc w:val="center"/>
              <w:rPr>
                <w:rFonts w:ascii="Times New Roman" w:hAnsi="Times New Roman"/>
                <w:kern w:val="2"/>
                <w:sz w:val="21"/>
                <w:szCs w:val="21"/>
                <w:lang w:eastAsia="zh-CN"/>
              </w:rPr>
            </w:pPr>
            <w:r>
              <w:rPr>
                <w:rFonts w:ascii="Times New Roman" w:hAnsi="Times New Roman"/>
                <w:kern w:val="2"/>
                <w:sz w:val="21"/>
                <w:szCs w:val="21"/>
                <w:lang w:eastAsia="zh-CN"/>
              </w:rPr>
              <w:t>相态</w:t>
            </w:r>
          </w:p>
        </w:tc>
        <w:tc>
          <w:tcPr>
            <w:tcW w:w="471" w:type="pct"/>
            <w:noWrap w:val="0"/>
            <w:vAlign w:val="center"/>
          </w:tcPr>
          <w:p w14:paraId="21BA5CE8">
            <w:pPr>
              <w:pStyle w:val="82"/>
              <w:adjustRightInd w:val="0"/>
              <w:snapToGrid w:val="0"/>
              <w:jc w:val="center"/>
              <w:rPr>
                <w:rFonts w:ascii="Times New Roman" w:hAnsi="Times New Roman"/>
                <w:kern w:val="2"/>
                <w:sz w:val="21"/>
                <w:szCs w:val="21"/>
                <w:lang w:eastAsia="zh-CN"/>
              </w:rPr>
            </w:pPr>
            <w:r>
              <w:rPr>
                <w:rFonts w:ascii="Times New Roman" w:hAnsi="Times New Roman"/>
                <w:kern w:val="2"/>
                <w:sz w:val="21"/>
                <w:szCs w:val="21"/>
                <w:lang w:eastAsia="zh-CN"/>
              </w:rPr>
              <w:t>闪点</w:t>
            </w:r>
            <w:r>
              <w:rPr>
                <w:rFonts w:hint="eastAsia" w:ascii="Times New Roman" w:hAnsi="Times New Roman"/>
                <w:kern w:val="2"/>
                <w:sz w:val="21"/>
                <w:szCs w:val="21"/>
                <w:lang w:eastAsia="zh-CN"/>
              </w:rPr>
              <w:t>（℃）</w:t>
            </w:r>
          </w:p>
        </w:tc>
        <w:tc>
          <w:tcPr>
            <w:tcW w:w="480" w:type="pct"/>
            <w:noWrap w:val="0"/>
            <w:vAlign w:val="center"/>
          </w:tcPr>
          <w:p w14:paraId="67437568">
            <w:pPr>
              <w:pStyle w:val="82"/>
              <w:adjustRightInd w:val="0"/>
              <w:snapToGrid w:val="0"/>
              <w:jc w:val="center"/>
              <w:rPr>
                <w:rFonts w:ascii="Times New Roman" w:hAnsi="Times New Roman"/>
                <w:kern w:val="2"/>
                <w:sz w:val="21"/>
                <w:szCs w:val="21"/>
                <w:lang w:eastAsia="zh-CN"/>
              </w:rPr>
            </w:pPr>
            <w:r>
              <w:rPr>
                <w:rFonts w:ascii="Times New Roman" w:hAnsi="Times New Roman"/>
                <w:kern w:val="2"/>
                <w:sz w:val="21"/>
                <w:szCs w:val="21"/>
                <w:lang w:eastAsia="zh-CN"/>
              </w:rPr>
              <w:t>沸点</w:t>
            </w:r>
          </w:p>
          <w:p w14:paraId="2F85C11E">
            <w:pPr>
              <w:pStyle w:val="82"/>
              <w:adjustRightInd w:val="0"/>
              <w:snapToGrid w:val="0"/>
              <w:jc w:val="center"/>
              <w:rPr>
                <w:rFonts w:ascii="Times New Roman" w:hAnsi="Times New Roman"/>
                <w:kern w:val="2"/>
                <w:sz w:val="21"/>
                <w:szCs w:val="21"/>
                <w:lang w:eastAsia="zh-CN"/>
              </w:rPr>
            </w:pPr>
            <w:r>
              <w:rPr>
                <w:rFonts w:ascii="Times New Roman" w:hAnsi="Times New Roman"/>
                <w:kern w:val="2"/>
                <w:sz w:val="21"/>
                <w:szCs w:val="21"/>
                <w:lang w:eastAsia="zh-CN"/>
              </w:rPr>
              <w:t>(</w:t>
            </w:r>
            <w:r>
              <w:rPr>
                <w:rFonts w:hint="eastAsia" w:ascii="Times New Roman" w:hAnsi="Times New Roman"/>
                <w:kern w:val="2"/>
                <w:sz w:val="21"/>
                <w:szCs w:val="21"/>
                <w:lang w:eastAsia="zh-CN"/>
              </w:rPr>
              <w:t>℃</w:t>
            </w:r>
            <w:r>
              <w:rPr>
                <w:rFonts w:ascii="Times New Roman" w:hAnsi="Times New Roman"/>
                <w:kern w:val="2"/>
                <w:sz w:val="21"/>
                <w:szCs w:val="21"/>
                <w:lang w:eastAsia="zh-CN"/>
              </w:rPr>
              <w:t>)</w:t>
            </w:r>
          </w:p>
        </w:tc>
        <w:tc>
          <w:tcPr>
            <w:tcW w:w="645" w:type="pct"/>
            <w:noWrap w:val="0"/>
            <w:vAlign w:val="center"/>
          </w:tcPr>
          <w:p w14:paraId="67D5C689">
            <w:pPr>
              <w:pStyle w:val="82"/>
              <w:adjustRightInd w:val="0"/>
              <w:snapToGrid w:val="0"/>
              <w:jc w:val="center"/>
              <w:rPr>
                <w:rFonts w:ascii="Times New Roman" w:hAnsi="Times New Roman"/>
                <w:kern w:val="2"/>
                <w:sz w:val="21"/>
                <w:szCs w:val="21"/>
                <w:lang w:eastAsia="zh-CN"/>
              </w:rPr>
            </w:pPr>
            <w:r>
              <w:rPr>
                <w:rFonts w:ascii="Times New Roman" w:hAnsi="Times New Roman"/>
                <w:kern w:val="2"/>
                <w:sz w:val="21"/>
                <w:szCs w:val="21"/>
                <w:lang w:eastAsia="zh-CN"/>
              </w:rPr>
              <w:t>爆炸极限</w:t>
            </w:r>
            <w:r>
              <w:rPr>
                <w:rFonts w:hint="eastAsia" w:ascii="Times New Roman" w:hAnsi="Times New Roman"/>
                <w:kern w:val="2"/>
                <w:sz w:val="21"/>
                <w:szCs w:val="21"/>
                <w:lang w:eastAsia="zh-CN"/>
              </w:rPr>
              <w:t>（</w:t>
            </w:r>
            <w:r>
              <w:rPr>
                <w:rFonts w:ascii="Times New Roman" w:hAnsi="Times New Roman"/>
                <w:kern w:val="2"/>
                <w:sz w:val="21"/>
                <w:szCs w:val="21"/>
                <w:lang w:eastAsia="zh-CN"/>
              </w:rPr>
              <w:t>体积%</w:t>
            </w:r>
            <w:r>
              <w:rPr>
                <w:rFonts w:hint="eastAsia" w:ascii="Times New Roman" w:hAnsi="Times New Roman"/>
                <w:kern w:val="2"/>
                <w:sz w:val="21"/>
                <w:szCs w:val="21"/>
                <w:lang w:eastAsia="zh-CN"/>
              </w:rPr>
              <w:t>）</w:t>
            </w:r>
          </w:p>
        </w:tc>
        <w:tc>
          <w:tcPr>
            <w:tcW w:w="1001" w:type="pct"/>
            <w:vMerge w:val="continue"/>
            <w:noWrap w:val="0"/>
            <w:vAlign w:val="center"/>
          </w:tcPr>
          <w:p w14:paraId="2AB09DAF">
            <w:pPr>
              <w:adjustRightInd w:val="0"/>
              <w:snapToGrid w:val="0"/>
              <w:jc w:val="center"/>
              <w:rPr>
                <w:rFonts w:eastAsia="宋体"/>
                <w:sz w:val="21"/>
                <w:szCs w:val="21"/>
              </w:rPr>
            </w:pPr>
          </w:p>
        </w:tc>
      </w:tr>
      <w:tr w14:paraId="75B3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331" w:type="pct"/>
            <w:noWrap w:val="0"/>
            <w:vAlign w:val="center"/>
          </w:tcPr>
          <w:p w14:paraId="62E75EF3">
            <w:pPr>
              <w:adjustRightInd w:val="0"/>
              <w:snapToGrid w:val="0"/>
              <w:jc w:val="center"/>
              <w:rPr>
                <w:rFonts w:hint="eastAsia" w:eastAsia="宋体"/>
                <w:sz w:val="21"/>
                <w:szCs w:val="21"/>
                <w:lang w:eastAsia="zh-CN"/>
              </w:rPr>
            </w:pPr>
            <w:r>
              <w:rPr>
                <w:rFonts w:hint="eastAsia" w:eastAsia="宋体"/>
                <w:sz w:val="21"/>
                <w:szCs w:val="21"/>
                <w:lang w:val="en-US" w:eastAsia="zh-CN"/>
              </w:rPr>
              <w:t>1</w:t>
            </w:r>
          </w:p>
        </w:tc>
        <w:tc>
          <w:tcPr>
            <w:tcW w:w="388" w:type="pct"/>
            <w:noWrap w:val="0"/>
            <w:vAlign w:val="center"/>
          </w:tcPr>
          <w:p w14:paraId="155336B7">
            <w:pPr>
              <w:adjustRightInd w:val="0"/>
              <w:snapToGrid w:val="0"/>
              <w:jc w:val="center"/>
              <w:rPr>
                <w:rFonts w:eastAsia="宋体"/>
                <w:sz w:val="21"/>
                <w:szCs w:val="21"/>
              </w:rPr>
            </w:pPr>
            <w:r>
              <w:rPr>
                <w:rFonts w:hint="eastAsia" w:ascii="宋体" w:eastAsia="宋体"/>
                <w:sz w:val="21"/>
                <w:szCs w:val="21"/>
              </w:rPr>
              <w:t>醋酸</w:t>
            </w:r>
          </w:p>
        </w:tc>
        <w:tc>
          <w:tcPr>
            <w:tcW w:w="794" w:type="pct"/>
            <w:noWrap w:val="0"/>
            <w:vAlign w:val="center"/>
          </w:tcPr>
          <w:p w14:paraId="73B4CBF9">
            <w:pPr>
              <w:adjustRightInd w:val="0"/>
              <w:snapToGrid w:val="0"/>
              <w:jc w:val="center"/>
              <w:rPr>
                <w:rFonts w:hint="default" w:eastAsia="宋体"/>
                <w:sz w:val="21"/>
                <w:szCs w:val="21"/>
                <w:lang w:val="en-US" w:eastAsia="zh-CN"/>
              </w:rPr>
            </w:pPr>
            <w:r>
              <w:rPr>
                <w:rFonts w:hint="eastAsia" w:eastAsia="宋体"/>
                <w:sz w:val="21"/>
                <w:szCs w:val="21"/>
              </w:rPr>
              <w:t>装置区</w:t>
            </w:r>
            <w:r>
              <w:rPr>
                <w:rFonts w:hint="eastAsia" w:eastAsia="宋体"/>
                <w:sz w:val="21"/>
                <w:szCs w:val="21"/>
                <w:lang w:eastAsia="zh-CN"/>
              </w:rPr>
              <w:t>、</w:t>
            </w:r>
            <w:r>
              <w:rPr>
                <w:rFonts w:hint="eastAsia" w:eastAsia="宋体"/>
                <w:sz w:val="21"/>
                <w:szCs w:val="21"/>
                <w:lang w:val="en-US" w:eastAsia="zh-CN"/>
              </w:rPr>
              <w:t>罐区</w:t>
            </w:r>
          </w:p>
        </w:tc>
        <w:tc>
          <w:tcPr>
            <w:tcW w:w="596" w:type="pct"/>
            <w:noWrap w:val="0"/>
            <w:vAlign w:val="center"/>
          </w:tcPr>
          <w:p w14:paraId="3511B4BE">
            <w:pPr>
              <w:adjustRightInd w:val="0"/>
              <w:snapToGrid w:val="0"/>
              <w:jc w:val="center"/>
              <w:rPr>
                <w:rFonts w:eastAsia="宋体"/>
                <w:sz w:val="21"/>
                <w:szCs w:val="21"/>
              </w:rPr>
            </w:pPr>
            <w:r>
              <w:rPr>
                <w:sz w:val="21"/>
                <w:szCs w:val="21"/>
              </w:rPr>
              <w:t>64-19-7</w:t>
            </w:r>
          </w:p>
        </w:tc>
        <w:tc>
          <w:tcPr>
            <w:tcW w:w="289" w:type="pct"/>
            <w:noWrap w:val="0"/>
            <w:vAlign w:val="center"/>
          </w:tcPr>
          <w:p w14:paraId="15C9B808">
            <w:pPr>
              <w:adjustRightInd w:val="0"/>
              <w:snapToGrid w:val="0"/>
              <w:jc w:val="center"/>
              <w:rPr>
                <w:rFonts w:eastAsia="宋体"/>
                <w:sz w:val="21"/>
                <w:szCs w:val="21"/>
              </w:rPr>
            </w:pPr>
            <w:r>
              <w:rPr>
                <w:rFonts w:hint="eastAsia" w:ascii="宋体" w:eastAsia="宋体"/>
                <w:sz w:val="21"/>
                <w:szCs w:val="21"/>
              </w:rPr>
              <w:t>液</w:t>
            </w:r>
          </w:p>
        </w:tc>
        <w:tc>
          <w:tcPr>
            <w:tcW w:w="471" w:type="pct"/>
            <w:noWrap w:val="0"/>
            <w:vAlign w:val="center"/>
          </w:tcPr>
          <w:p w14:paraId="68B1F000">
            <w:pPr>
              <w:adjustRightInd w:val="0"/>
              <w:snapToGrid w:val="0"/>
              <w:jc w:val="center"/>
              <w:rPr>
                <w:rFonts w:eastAsia="宋体"/>
                <w:sz w:val="21"/>
                <w:szCs w:val="21"/>
              </w:rPr>
            </w:pPr>
            <w:r>
              <w:rPr>
                <w:sz w:val="21"/>
                <w:szCs w:val="21"/>
              </w:rPr>
              <w:t>39</w:t>
            </w:r>
          </w:p>
        </w:tc>
        <w:tc>
          <w:tcPr>
            <w:tcW w:w="480" w:type="pct"/>
            <w:noWrap w:val="0"/>
            <w:vAlign w:val="center"/>
          </w:tcPr>
          <w:p w14:paraId="3928B730">
            <w:pPr>
              <w:adjustRightInd w:val="0"/>
              <w:snapToGrid w:val="0"/>
              <w:jc w:val="center"/>
              <w:rPr>
                <w:rFonts w:eastAsia="宋体"/>
                <w:sz w:val="21"/>
                <w:szCs w:val="21"/>
              </w:rPr>
            </w:pPr>
            <w:r>
              <w:rPr>
                <w:sz w:val="21"/>
                <w:szCs w:val="21"/>
              </w:rPr>
              <w:t>118.1</w:t>
            </w:r>
          </w:p>
        </w:tc>
        <w:tc>
          <w:tcPr>
            <w:tcW w:w="645" w:type="pct"/>
            <w:noWrap w:val="0"/>
            <w:vAlign w:val="center"/>
          </w:tcPr>
          <w:p w14:paraId="63AB7661">
            <w:pPr>
              <w:adjustRightInd w:val="0"/>
              <w:snapToGrid w:val="0"/>
              <w:jc w:val="center"/>
              <w:rPr>
                <w:rFonts w:eastAsia="宋体"/>
                <w:sz w:val="21"/>
                <w:szCs w:val="21"/>
              </w:rPr>
            </w:pPr>
            <w:r>
              <w:rPr>
                <w:sz w:val="21"/>
                <w:szCs w:val="21"/>
              </w:rPr>
              <w:t>4.0~17.0</w:t>
            </w:r>
          </w:p>
        </w:tc>
        <w:tc>
          <w:tcPr>
            <w:tcW w:w="1001" w:type="pct"/>
            <w:noWrap w:val="0"/>
            <w:vAlign w:val="center"/>
          </w:tcPr>
          <w:p w14:paraId="5DC96139">
            <w:pPr>
              <w:adjustRightInd w:val="0"/>
              <w:snapToGrid w:val="0"/>
              <w:jc w:val="left"/>
              <w:rPr>
                <w:rFonts w:eastAsia="宋体"/>
                <w:sz w:val="21"/>
                <w:szCs w:val="21"/>
              </w:rPr>
            </w:pPr>
            <w:r>
              <w:rPr>
                <w:rFonts w:hint="eastAsia" w:eastAsia="宋体"/>
                <w:sz w:val="21"/>
                <w:szCs w:val="21"/>
              </w:rPr>
              <w:t>易燃液体，</w:t>
            </w:r>
            <w:r>
              <w:rPr>
                <w:rFonts w:eastAsia="宋体"/>
                <w:sz w:val="21"/>
                <w:szCs w:val="21"/>
              </w:rPr>
              <w:t xml:space="preserve"> </w:t>
            </w:r>
            <w:r>
              <w:rPr>
                <w:rFonts w:hint="eastAsia" w:eastAsia="宋体"/>
                <w:sz w:val="21"/>
                <w:szCs w:val="21"/>
              </w:rPr>
              <w:t> 酸性腐蚀品</w:t>
            </w:r>
          </w:p>
        </w:tc>
      </w:tr>
      <w:tr w14:paraId="34C6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1" w:type="pct"/>
            <w:noWrap w:val="0"/>
            <w:vAlign w:val="center"/>
          </w:tcPr>
          <w:p w14:paraId="308B95AB">
            <w:pPr>
              <w:adjustRightInd w:val="0"/>
              <w:snapToGrid w:val="0"/>
              <w:jc w:val="center"/>
              <w:rPr>
                <w:rFonts w:hint="eastAsia" w:eastAsia="宋体"/>
                <w:sz w:val="21"/>
                <w:szCs w:val="21"/>
                <w:lang w:val="en-US" w:eastAsia="zh-CN"/>
              </w:rPr>
            </w:pPr>
            <w:r>
              <w:rPr>
                <w:rFonts w:hint="eastAsia" w:eastAsia="宋体"/>
                <w:sz w:val="21"/>
                <w:szCs w:val="21"/>
                <w:lang w:val="en-US" w:eastAsia="zh-CN"/>
              </w:rPr>
              <w:t>2</w:t>
            </w:r>
          </w:p>
        </w:tc>
        <w:tc>
          <w:tcPr>
            <w:tcW w:w="388" w:type="pct"/>
            <w:noWrap w:val="0"/>
            <w:vAlign w:val="center"/>
          </w:tcPr>
          <w:p w14:paraId="5E2DFD71">
            <w:pPr>
              <w:adjustRightInd w:val="0"/>
              <w:snapToGrid w:val="0"/>
              <w:jc w:val="center"/>
              <w:rPr>
                <w:rFonts w:hint="eastAsia" w:ascii="宋体" w:eastAsia="宋体"/>
                <w:sz w:val="21"/>
                <w:szCs w:val="21"/>
                <w:lang w:val="en-US" w:eastAsia="zh-CN"/>
              </w:rPr>
            </w:pPr>
            <w:r>
              <w:rPr>
                <w:rFonts w:hint="eastAsia" w:ascii="宋体" w:eastAsia="宋体"/>
                <w:sz w:val="21"/>
                <w:szCs w:val="21"/>
                <w:lang w:val="en-US" w:eastAsia="zh-CN"/>
              </w:rPr>
              <w:t>丙酸</w:t>
            </w:r>
          </w:p>
        </w:tc>
        <w:tc>
          <w:tcPr>
            <w:tcW w:w="794" w:type="pct"/>
            <w:noWrap w:val="0"/>
            <w:vAlign w:val="center"/>
          </w:tcPr>
          <w:p w14:paraId="2659E7F1">
            <w:pPr>
              <w:adjustRightInd w:val="0"/>
              <w:snapToGrid w:val="0"/>
              <w:jc w:val="center"/>
              <w:rPr>
                <w:rFonts w:hint="eastAsia" w:eastAsia="宋体"/>
                <w:sz w:val="21"/>
                <w:szCs w:val="21"/>
                <w:lang w:val="en-US" w:eastAsia="zh-CN"/>
              </w:rPr>
            </w:pPr>
            <w:r>
              <w:rPr>
                <w:rFonts w:hint="eastAsia" w:eastAsia="宋体"/>
                <w:sz w:val="21"/>
                <w:szCs w:val="21"/>
                <w:lang w:val="en-US" w:eastAsia="zh-CN"/>
              </w:rPr>
              <w:t>罐区</w:t>
            </w:r>
          </w:p>
        </w:tc>
        <w:tc>
          <w:tcPr>
            <w:tcW w:w="596" w:type="pct"/>
            <w:noWrap w:val="0"/>
            <w:vAlign w:val="center"/>
          </w:tcPr>
          <w:p w14:paraId="1C24A0E2">
            <w:pPr>
              <w:adjustRightInd w:val="0"/>
              <w:snapToGrid w:val="0"/>
              <w:jc w:val="center"/>
              <w:rPr>
                <w:rFonts w:hint="default" w:eastAsia="宋体"/>
                <w:sz w:val="21"/>
                <w:szCs w:val="21"/>
                <w:lang w:val="en-US" w:eastAsia="zh-CN"/>
              </w:rPr>
            </w:pPr>
            <w:r>
              <w:rPr>
                <w:rFonts w:hint="eastAsia"/>
                <w:sz w:val="21"/>
                <w:szCs w:val="21"/>
                <w:lang w:val="en-US" w:eastAsia="zh-CN"/>
              </w:rPr>
              <w:t>79-09-4</w:t>
            </w:r>
          </w:p>
        </w:tc>
        <w:tc>
          <w:tcPr>
            <w:tcW w:w="289" w:type="pct"/>
            <w:noWrap w:val="0"/>
            <w:vAlign w:val="center"/>
          </w:tcPr>
          <w:p w14:paraId="5E091E33">
            <w:pPr>
              <w:adjustRightInd w:val="0"/>
              <w:snapToGrid w:val="0"/>
              <w:jc w:val="center"/>
              <w:rPr>
                <w:rFonts w:hint="eastAsia" w:ascii="宋体" w:eastAsia="宋体"/>
                <w:sz w:val="21"/>
                <w:szCs w:val="21"/>
                <w:lang w:val="en-US" w:eastAsia="zh-CN"/>
              </w:rPr>
            </w:pPr>
            <w:r>
              <w:rPr>
                <w:rFonts w:hint="eastAsia" w:ascii="宋体" w:eastAsia="宋体"/>
                <w:sz w:val="21"/>
                <w:szCs w:val="21"/>
                <w:lang w:val="en-US" w:eastAsia="zh-CN"/>
              </w:rPr>
              <w:t>液</w:t>
            </w:r>
          </w:p>
        </w:tc>
        <w:tc>
          <w:tcPr>
            <w:tcW w:w="471" w:type="pct"/>
            <w:noWrap w:val="0"/>
            <w:vAlign w:val="center"/>
          </w:tcPr>
          <w:p w14:paraId="59D82EAE">
            <w:pPr>
              <w:adjustRightInd w:val="0"/>
              <w:snapToGrid w:val="0"/>
              <w:jc w:val="center"/>
              <w:rPr>
                <w:rFonts w:hint="default" w:eastAsia="宋体"/>
                <w:sz w:val="21"/>
                <w:szCs w:val="21"/>
                <w:lang w:val="en-US" w:eastAsia="zh-CN"/>
              </w:rPr>
            </w:pPr>
            <w:r>
              <w:rPr>
                <w:rFonts w:hint="eastAsia"/>
                <w:sz w:val="21"/>
                <w:szCs w:val="21"/>
                <w:lang w:val="en-US" w:eastAsia="zh-CN"/>
              </w:rPr>
              <w:t>52</w:t>
            </w:r>
          </w:p>
        </w:tc>
        <w:tc>
          <w:tcPr>
            <w:tcW w:w="480" w:type="pct"/>
            <w:noWrap w:val="0"/>
            <w:vAlign w:val="center"/>
          </w:tcPr>
          <w:p w14:paraId="10935EE0">
            <w:pPr>
              <w:adjustRightInd w:val="0"/>
              <w:snapToGrid w:val="0"/>
              <w:jc w:val="center"/>
              <w:rPr>
                <w:rFonts w:hint="default" w:eastAsia="宋体"/>
                <w:sz w:val="21"/>
                <w:szCs w:val="21"/>
                <w:lang w:val="en-US" w:eastAsia="zh-CN"/>
              </w:rPr>
            </w:pPr>
            <w:r>
              <w:rPr>
                <w:rFonts w:hint="eastAsia"/>
                <w:sz w:val="21"/>
                <w:szCs w:val="21"/>
                <w:lang w:val="en-US" w:eastAsia="zh-CN"/>
              </w:rPr>
              <w:t>140.7</w:t>
            </w:r>
          </w:p>
        </w:tc>
        <w:tc>
          <w:tcPr>
            <w:tcW w:w="645" w:type="pct"/>
            <w:noWrap w:val="0"/>
            <w:vAlign w:val="center"/>
          </w:tcPr>
          <w:p w14:paraId="72A0D450">
            <w:pPr>
              <w:adjustRightInd w:val="0"/>
              <w:snapToGrid w:val="0"/>
              <w:jc w:val="center"/>
              <w:rPr>
                <w:rFonts w:hint="default" w:eastAsia="宋体"/>
                <w:sz w:val="21"/>
                <w:szCs w:val="21"/>
                <w:lang w:val="en-US" w:eastAsia="zh-CN"/>
              </w:rPr>
            </w:pPr>
            <w:r>
              <w:rPr>
                <w:rFonts w:hint="eastAsia"/>
                <w:sz w:val="21"/>
                <w:szCs w:val="21"/>
                <w:lang w:val="en-US" w:eastAsia="zh-CN"/>
              </w:rPr>
              <w:t>2.9~12.1</w:t>
            </w:r>
          </w:p>
        </w:tc>
        <w:tc>
          <w:tcPr>
            <w:tcW w:w="1001" w:type="pct"/>
            <w:noWrap w:val="0"/>
            <w:vAlign w:val="center"/>
          </w:tcPr>
          <w:p w14:paraId="03A6E189">
            <w:pPr>
              <w:adjustRightInd w:val="0"/>
              <w:snapToGrid w:val="0"/>
              <w:jc w:val="left"/>
              <w:rPr>
                <w:rFonts w:hint="eastAsia" w:eastAsia="宋体"/>
                <w:sz w:val="21"/>
                <w:szCs w:val="21"/>
              </w:rPr>
            </w:pPr>
            <w:r>
              <w:rPr>
                <w:rFonts w:hint="eastAsia" w:eastAsia="宋体"/>
                <w:sz w:val="21"/>
                <w:szCs w:val="21"/>
              </w:rPr>
              <w:t>酸性腐蚀品</w:t>
            </w:r>
          </w:p>
        </w:tc>
      </w:tr>
      <w:tr w14:paraId="29A12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1" w:type="pct"/>
            <w:noWrap w:val="0"/>
            <w:vAlign w:val="center"/>
          </w:tcPr>
          <w:p w14:paraId="17DB9CF4">
            <w:pPr>
              <w:adjustRightInd w:val="0"/>
              <w:snapToGrid w:val="0"/>
              <w:jc w:val="center"/>
              <w:rPr>
                <w:rFonts w:hint="eastAsia" w:eastAsia="宋体"/>
                <w:sz w:val="21"/>
                <w:szCs w:val="21"/>
                <w:u w:val="single"/>
                <w:lang w:val="en-US" w:eastAsia="zh-CN"/>
              </w:rPr>
            </w:pPr>
            <w:r>
              <w:rPr>
                <w:rFonts w:hint="eastAsia" w:eastAsia="宋体"/>
                <w:sz w:val="21"/>
                <w:szCs w:val="21"/>
                <w:u w:val="single"/>
                <w:lang w:val="en-US" w:eastAsia="zh-CN"/>
              </w:rPr>
              <w:t>3</w:t>
            </w:r>
          </w:p>
        </w:tc>
        <w:tc>
          <w:tcPr>
            <w:tcW w:w="388" w:type="pct"/>
            <w:noWrap w:val="0"/>
            <w:vAlign w:val="center"/>
          </w:tcPr>
          <w:p w14:paraId="13D7371D">
            <w:pPr>
              <w:adjustRightInd w:val="0"/>
              <w:snapToGrid w:val="0"/>
              <w:jc w:val="center"/>
              <w:rPr>
                <w:rFonts w:hint="default" w:ascii="宋体" w:eastAsia="宋体"/>
                <w:sz w:val="21"/>
                <w:szCs w:val="21"/>
                <w:u w:val="single"/>
                <w:lang w:val="en-US" w:eastAsia="zh-CN"/>
              </w:rPr>
            </w:pPr>
            <w:r>
              <w:rPr>
                <w:rFonts w:hint="eastAsia" w:ascii="宋体"/>
                <w:sz w:val="21"/>
                <w:szCs w:val="21"/>
                <w:u w:val="single"/>
                <w:lang w:val="en-US" w:eastAsia="zh-CN"/>
              </w:rPr>
              <w:t>废液</w:t>
            </w:r>
          </w:p>
        </w:tc>
        <w:tc>
          <w:tcPr>
            <w:tcW w:w="794" w:type="pct"/>
            <w:noWrap w:val="0"/>
            <w:vAlign w:val="center"/>
          </w:tcPr>
          <w:p w14:paraId="3FA8FB29">
            <w:pPr>
              <w:adjustRightInd w:val="0"/>
              <w:snapToGrid w:val="0"/>
              <w:jc w:val="center"/>
              <w:rPr>
                <w:rFonts w:hint="default" w:eastAsia="宋体"/>
                <w:sz w:val="21"/>
                <w:szCs w:val="21"/>
                <w:u w:val="single"/>
                <w:lang w:val="en-US" w:eastAsia="zh-CN"/>
              </w:rPr>
            </w:pPr>
            <w:r>
              <w:rPr>
                <w:rFonts w:hint="eastAsia" w:eastAsia="宋体"/>
                <w:sz w:val="21"/>
                <w:szCs w:val="21"/>
                <w:u w:val="single"/>
                <w:lang w:val="en-US" w:eastAsia="zh-CN"/>
              </w:rPr>
              <w:t>罐区</w:t>
            </w:r>
          </w:p>
        </w:tc>
        <w:tc>
          <w:tcPr>
            <w:tcW w:w="596" w:type="pct"/>
            <w:noWrap w:val="0"/>
            <w:vAlign w:val="center"/>
          </w:tcPr>
          <w:p w14:paraId="7DAFEB13">
            <w:pPr>
              <w:adjustRightInd w:val="0"/>
              <w:snapToGrid w:val="0"/>
              <w:jc w:val="center"/>
              <w:rPr>
                <w:rFonts w:hint="default"/>
                <w:sz w:val="21"/>
                <w:szCs w:val="21"/>
                <w:u w:val="single"/>
                <w:lang w:val="en-US" w:eastAsia="zh-CN"/>
              </w:rPr>
            </w:pPr>
            <w:r>
              <w:rPr>
                <w:rFonts w:hint="eastAsia"/>
                <w:sz w:val="21"/>
                <w:szCs w:val="21"/>
                <w:u w:val="single"/>
                <w:lang w:val="en-US" w:eastAsia="zh-CN"/>
              </w:rPr>
              <w:t>/</w:t>
            </w:r>
          </w:p>
        </w:tc>
        <w:tc>
          <w:tcPr>
            <w:tcW w:w="289" w:type="pct"/>
            <w:shd w:val="clear" w:color="auto" w:fill="auto"/>
            <w:noWrap w:val="0"/>
            <w:vAlign w:val="center"/>
          </w:tcPr>
          <w:p w14:paraId="4835CF1A">
            <w:pPr>
              <w:adjustRightInd w:val="0"/>
              <w:snapToGrid w:val="0"/>
              <w:jc w:val="center"/>
              <w:rPr>
                <w:rFonts w:hint="eastAsia" w:ascii="Times New Roman" w:hAnsi="Times New Roman" w:eastAsia="宋体" w:cs="Times New Roman"/>
                <w:kern w:val="2"/>
                <w:sz w:val="21"/>
                <w:szCs w:val="21"/>
                <w:u w:val="single"/>
                <w:lang w:val="en-US" w:eastAsia="zh-CN" w:bidi="ar-SA"/>
              </w:rPr>
            </w:pPr>
            <w:r>
              <w:rPr>
                <w:rFonts w:hint="eastAsia" w:ascii="宋体" w:eastAsia="宋体"/>
                <w:sz w:val="21"/>
                <w:szCs w:val="21"/>
                <w:u w:val="single"/>
              </w:rPr>
              <w:t>液</w:t>
            </w:r>
          </w:p>
        </w:tc>
        <w:tc>
          <w:tcPr>
            <w:tcW w:w="471" w:type="pct"/>
            <w:noWrap w:val="0"/>
            <w:vAlign w:val="center"/>
          </w:tcPr>
          <w:p w14:paraId="230B957C">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w:t>
            </w:r>
          </w:p>
        </w:tc>
        <w:tc>
          <w:tcPr>
            <w:tcW w:w="480" w:type="pct"/>
            <w:noWrap w:val="0"/>
            <w:vAlign w:val="center"/>
          </w:tcPr>
          <w:p w14:paraId="2797A3C7">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w:t>
            </w:r>
          </w:p>
        </w:tc>
        <w:tc>
          <w:tcPr>
            <w:tcW w:w="645" w:type="pct"/>
            <w:noWrap w:val="0"/>
            <w:vAlign w:val="center"/>
          </w:tcPr>
          <w:p w14:paraId="0A09FC26">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w:t>
            </w:r>
          </w:p>
        </w:tc>
        <w:tc>
          <w:tcPr>
            <w:tcW w:w="1001" w:type="pct"/>
            <w:noWrap w:val="0"/>
            <w:vAlign w:val="center"/>
          </w:tcPr>
          <w:p w14:paraId="095B9204">
            <w:pPr>
              <w:adjustRightInd w:val="0"/>
              <w:snapToGrid w:val="0"/>
              <w:jc w:val="left"/>
              <w:rPr>
                <w:rFonts w:hint="eastAsia" w:eastAsia="宋体"/>
                <w:sz w:val="21"/>
                <w:szCs w:val="21"/>
                <w:u w:val="single"/>
              </w:rPr>
            </w:pPr>
            <w:r>
              <w:rPr>
                <w:rFonts w:hint="eastAsia"/>
                <w:sz w:val="21"/>
                <w:szCs w:val="21"/>
                <w:u w:val="single"/>
                <w:lang w:val="en-US" w:eastAsia="zh-CN"/>
              </w:rPr>
              <w:t>废液中含丁酸、戊酸等</w:t>
            </w:r>
            <w:r>
              <w:rPr>
                <w:rFonts w:hint="eastAsia" w:eastAsia="宋体"/>
                <w:sz w:val="21"/>
                <w:szCs w:val="21"/>
                <w:u w:val="single"/>
              </w:rPr>
              <w:t>遇明火、高热可燃</w:t>
            </w:r>
          </w:p>
        </w:tc>
      </w:tr>
    </w:tbl>
    <w:p w14:paraId="145A5734">
      <w:pPr>
        <w:widowControl/>
        <w:spacing w:line="500" w:lineRule="exact"/>
        <w:ind w:firstLine="482" w:firstLineChars="200"/>
        <w:jc w:val="left"/>
        <w:rPr>
          <w:b/>
          <w:kern w:val="0"/>
          <w:sz w:val="24"/>
        </w:rPr>
      </w:pPr>
      <w:r>
        <w:rPr>
          <w:b/>
          <w:kern w:val="0"/>
          <w:sz w:val="24"/>
        </w:rPr>
        <w:t>二、生产系统危险性识别</w:t>
      </w:r>
    </w:p>
    <w:p w14:paraId="37F2DD26">
      <w:pPr>
        <w:widowControl/>
        <w:spacing w:line="500" w:lineRule="exact"/>
        <w:ind w:firstLine="480" w:firstLineChars="200"/>
        <w:rPr>
          <w:rFonts w:hint="default" w:eastAsia="宋体"/>
          <w:kern w:val="0"/>
          <w:sz w:val="24"/>
          <w:lang w:val="en-US" w:eastAsia="zh-CN"/>
        </w:rPr>
      </w:pPr>
      <w:r>
        <w:rPr>
          <w:rFonts w:hint="eastAsia"/>
          <w:kern w:val="0"/>
          <w:sz w:val="24"/>
          <w:lang w:val="en-US" w:eastAsia="zh-CN"/>
        </w:rPr>
        <w:t>1、生产装置</w:t>
      </w:r>
    </w:p>
    <w:p w14:paraId="3439501C">
      <w:pPr>
        <w:widowControl/>
        <w:spacing w:line="500" w:lineRule="exact"/>
        <w:ind w:firstLine="480" w:firstLineChars="200"/>
        <w:rPr>
          <w:kern w:val="0"/>
          <w:sz w:val="24"/>
        </w:rPr>
      </w:pPr>
      <w:r>
        <w:rPr>
          <w:kern w:val="0"/>
          <w:sz w:val="24"/>
        </w:rPr>
        <w:t>项目生产工艺技术先进，自动化程度高，合成路线设计技术系自主研发， 生产设施成熟可靠。主要新增</w:t>
      </w:r>
      <w:r>
        <w:rPr>
          <w:rFonts w:hint="eastAsia"/>
          <w:kern w:val="0"/>
          <w:sz w:val="24"/>
          <w:lang w:val="en-US" w:eastAsia="zh-CN"/>
        </w:rPr>
        <w:t>醋酸分离装置</w:t>
      </w:r>
      <w:r>
        <w:rPr>
          <w:kern w:val="0"/>
          <w:sz w:val="24"/>
        </w:rPr>
        <w:t>。生产过程中涉及高转移与移动的机械，各种电器以及各种污染防治设备，因此在生产过程中存在的主要设施风险因素有：原辅材料泄漏设施事故导致污染物超标排放，电气伤害、机械伤害等。项目生产运行过程中</w:t>
      </w:r>
      <w:r>
        <w:rPr>
          <w:rFonts w:hint="eastAsia"/>
          <w:kern w:val="0"/>
          <w:sz w:val="24"/>
          <w:lang w:val="en-US" w:eastAsia="zh-CN"/>
        </w:rPr>
        <w:t>醋酸分离装置</w:t>
      </w:r>
      <w:r>
        <w:rPr>
          <w:kern w:val="0"/>
          <w:sz w:val="24"/>
        </w:rPr>
        <w:t>潜在的危险性较大，其危险分析性见表</w:t>
      </w:r>
      <w:r>
        <w:rPr>
          <w:rFonts w:hint="eastAsia"/>
          <w:kern w:val="0"/>
          <w:sz w:val="24"/>
        </w:rPr>
        <w:t>5.1-</w:t>
      </w:r>
      <w:r>
        <w:rPr>
          <w:rFonts w:hint="eastAsia"/>
          <w:kern w:val="0"/>
          <w:sz w:val="24"/>
          <w:lang w:val="en-US" w:eastAsia="zh-CN"/>
        </w:rPr>
        <w:t>2</w:t>
      </w:r>
      <w:r>
        <w:rPr>
          <w:kern w:val="0"/>
          <w:sz w:val="24"/>
        </w:rPr>
        <w:t>。</w:t>
      </w:r>
    </w:p>
    <w:p w14:paraId="727D5C83">
      <w:pPr>
        <w:keepNext/>
        <w:keepLines/>
        <w:widowControl/>
        <w:tabs>
          <w:tab w:val="left" w:pos="795"/>
        </w:tabs>
        <w:spacing w:line="500" w:lineRule="exact"/>
        <w:ind w:left="795"/>
        <w:jc w:val="center"/>
        <w:outlineLvl w:val="3"/>
        <w:rPr>
          <w:b/>
          <w:kern w:val="0"/>
          <w:sz w:val="24"/>
        </w:rPr>
      </w:pPr>
      <w:r>
        <w:rPr>
          <w:rFonts w:hint="eastAsia"/>
          <w:b/>
          <w:kern w:val="0"/>
          <w:sz w:val="24"/>
        </w:rPr>
        <w:t>表5.1-</w:t>
      </w:r>
      <w:r>
        <w:rPr>
          <w:rFonts w:hint="eastAsia"/>
          <w:b/>
          <w:kern w:val="0"/>
          <w:sz w:val="24"/>
          <w:lang w:val="en-US" w:eastAsia="zh-CN"/>
        </w:rPr>
        <w:t>2</w:t>
      </w:r>
      <w:r>
        <w:rPr>
          <w:rFonts w:hint="eastAsia"/>
          <w:b/>
          <w:kern w:val="0"/>
          <w:sz w:val="24"/>
        </w:rPr>
        <w:t>项目生产装置潜在危险性分析一览表</w:t>
      </w:r>
    </w:p>
    <w:tbl>
      <w:tblPr>
        <w:tblStyle w:val="2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291"/>
        <w:gridCol w:w="1291"/>
        <w:gridCol w:w="1296"/>
        <w:gridCol w:w="1300"/>
        <w:gridCol w:w="1300"/>
        <w:gridCol w:w="1291"/>
        <w:gridCol w:w="1291"/>
      </w:tblGrid>
      <w:tr w14:paraId="46A08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712" w:type="pct"/>
            <w:tcBorders>
              <w:tl2br w:val="nil"/>
              <w:tr2bl w:val="nil"/>
            </w:tcBorders>
            <w:noWrap w:val="0"/>
            <w:vAlign w:val="center"/>
          </w:tcPr>
          <w:p w14:paraId="0563A96C">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装置</w:t>
            </w:r>
          </w:p>
        </w:tc>
        <w:tc>
          <w:tcPr>
            <w:tcW w:w="712" w:type="pct"/>
            <w:tcBorders>
              <w:tl2br w:val="nil"/>
              <w:tr2bl w:val="nil"/>
            </w:tcBorders>
            <w:noWrap w:val="0"/>
            <w:vAlign w:val="center"/>
          </w:tcPr>
          <w:p w14:paraId="67A2FFDD">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物料名称</w:t>
            </w:r>
          </w:p>
        </w:tc>
        <w:tc>
          <w:tcPr>
            <w:tcW w:w="715" w:type="pct"/>
            <w:tcBorders>
              <w:tl2br w:val="nil"/>
              <w:tr2bl w:val="nil"/>
            </w:tcBorders>
            <w:noWrap w:val="0"/>
            <w:vAlign w:val="center"/>
          </w:tcPr>
          <w:p w14:paraId="305DBB1A">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形态</w:t>
            </w:r>
          </w:p>
        </w:tc>
        <w:tc>
          <w:tcPr>
            <w:tcW w:w="717" w:type="pct"/>
            <w:tcBorders>
              <w:tl2br w:val="nil"/>
              <w:tr2bl w:val="nil"/>
            </w:tcBorders>
            <w:noWrap w:val="0"/>
            <w:vAlign w:val="center"/>
          </w:tcPr>
          <w:p w14:paraId="671519CF">
            <w:pPr>
              <w:adjustRightInd w:val="0"/>
              <w:snapToGrid w:val="0"/>
              <w:jc w:val="center"/>
              <w:rPr>
                <w:rFonts w:hint="eastAsia" w:ascii="宋体" w:hAnsi="宋体" w:eastAsia="宋体" w:cs="宋体"/>
                <w:sz w:val="21"/>
                <w:szCs w:val="21"/>
              </w:rPr>
            </w:pPr>
            <w:r>
              <w:rPr>
                <w:rFonts w:eastAsia="宋体"/>
                <w:sz w:val="21"/>
                <w:szCs w:val="21"/>
              </w:rPr>
              <w:t>危险性</w:t>
            </w:r>
          </w:p>
        </w:tc>
        <w:tc>
          <w:tcPr>
            <w:tcW w:w="717" w:type="pct"/>
            <w:tcBorders>
              <w:tl2br w:val="nil"/>
              <w:tr2bl w:val="nil"/>
            </w:tcBorders>
            <w:noWrap w:val="0"/>
            <w:vAlign w:val="center"/>
          </w:tcPr>
          <w:p w14:paraId="2AD938BF">
            <w:pPr>
              <w:adjustRightInd w:val="0"/>
              <w:snapToGrid w:val="0"/>
              <w:jc w:val="center"/>
              <w:rPr>
                <w:rFonts w:hint="eastAsia" w:ascii="宋体" w:hAnsi="宋体" w:eastAsia="宋体" w:cs="宋体"/>
                <w:sz w:val="21"/>
                <w:szCs w:val="21"/>
              </w:rPr>
            </w:pPr>
            <w:r>
              <w:rPr>
                <w:rFonts w:eastAsia="宋体"/>
                <w:sz w:val="21"/>
                <w:szCs w:val="21"/>
              </w:rPr>
              <w:t>触发因素</w:t>
            </w:r>
          </w:p>
        </w:tc>
        <w:tc>
          <w:tcPr>
            <w:tcW w:w="712" w:type="pct"/>
            <w:tcBorders>
              <w:tl2br w:val="nil"/>
              <w:tr2bl w:val="nil"/>
            </w:tcBorders>
            <w:noWrap w:val="0"/>
            <w:vAlign w:val="center"/>
          </w:tcPr>
          <w:p w14:paraId="52A47A10">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最大贮存量（</w:t>
            </w:r>
            <w:r>
              <w:rPr>
                <w:rFonts w:eastAsia="宋体"/>
                <w:kern w:val="0"/>
                <w:sz w:val="21"/>
                <w:szCs w:val="21"/>
                <w:lang w:bidi="ar"/>
              </w:rPr>
              <w:t>t</w:t>
            </w:r>
            <w:r>
              <w:rPr>
                <w:rFonts w:hint="eastAsia" w:eastAsia="宋体"/>
                <w:kern w:val="0"/>
                <w:sz w:val="21"/>
                <w:szCs w:val="21"/>
                <w:lang w:bidi="ar"/>
              </w:rPr>
              <w:t>）</w:t>
            </w:r>
          </w:p>
        </w:tc>
        <w:tc>
          <w:tcPr>
            <w:tcW w:w="712" w:type="pct"/>
            <w:tcBorders>
              <w:tl2br w:val="nil"/>
              <w:tr2bl w:val="nil"/>
            </w:tcBorders>
            <w:noWrap w:val="0"/>
            <w:vAlign w:val="center"/>
          </w:tcPr>
          <w:p w14:paraId="178DDB83">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bidi="ar"/>
              </w:rPr>
              <w:t>危险物质</w:t>
            </w:r>
            <w:r>
              <w:rPr>
                <w:rFonts w:eastAsia="宋体"/>
                <w:kern w:val="0"/>
                <w:sz w:val="21"/>
                <w:szCs w:val="21"/>
                <w:lang w:bidi="ar"/>
              </w:rPr>
              <w:t xml:space="preserve"> Q </w:t>
            </w:r>
            <w:r>
              <w:rPr>
                <w:rFonts w:hint="eastAsia" w:ascii="宋体" w:hAnsi="宋体" w:eastAsia="宋体" w:cs="宋体"/>
                <w:kern w:val="0"/>
                <w:sz w:val="21"/>
                <w:szCs w:val="21"/>
                <w:lang w:bidi="ar"/>
              </w:rPr>
              <w:t>值</w:t>
            </w:r>
          </w:p>
        </w:tc>
      </w:tr>
      <w:tr w14:paraId="6BAD2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712" w:type="pct"/>
            <w:tcBorders>
              <w:tl2br w:val="nil"/>
              <w:tr2bl w:val="nil"/>
            </w:tcBorders>
            <w:noWrap w:val="0"/>
            <w:vAlign w:val="center"/>
          </w:tcPr>
          <w:p w14:paraId="1FAC52BD">
            <w:pPr>
              <w:widowControl/>
              <w:jc w:val="center"/>
              <w:textAlignment w:val="center"/>
              <w:rPr>
                <w:rFonts w:hint="eastAsia" w:ascii="宋体" w:hAnsi="宋体" w:eastAsia="宋体" w:cs="宋体"/>
                <w:sz w:val="21"/>
                <w:szCs w:val="21"/>
              </w:rPr>
            </w:pPr>
            <w:r>
              <w:rPr>
                <w:rFonts w:hint="eastAsia" w:eastAsia="宋体"/>
                <w:kern w:val="0"/>
                <w:sz w:val="21"/>
                <w:szCs w:val="21"/>
                <w:lang w:bidi="ar"/>
              </w:rPr>
              <w:t>醋酸</w:t>
            </w:r>
            <w:r>
              <w:rPr>
                <w:rFonts w:hint="eastAsia" w:eastAsia="宋体"/>
                <w:kern w:val="0"/>
                <w:sz w:val="21"/>
                <w:szCs w:val="21"/>
                <w:lang w:val="en-US" w:eastAsia="zh-CN" w:bidi="ar"/>
              </w:rPr>
              <w:t>分离</w:t>
            </w:r>
            <w:r>
              <w:rPr>
                <w:rFonts w:hint="eastAsia" w:eastAsia="宋体"/>
                <w:kern w:val="0"/>
                <w:sz w:val="21"/>
                <w:szCs w:val="21"/>
                <w:lang w:bidi="ar"/>
              </w:rPr>
              <w:t>装置</w:t>
            </w:r>
          </w:p>
        </w:tc>
        <w:tc>
          <w:tcPr>
            <w:tcW w:w="712" w:type="pct"/>
            <w:tcBorders>
              <w:tl2br w:val="nil"/>
              <w:tr2bl w:val="nil"/>
            </w:tcBorders>
            <w:shd w:val="clear" w:color="auto" w:fill="auto"/>
            <w:noWrap w:val="0"/>
            <w:vAlign w:val="center"/>
          </w:tcPr>
          <w:p w14:paraId="721A7B55">
            <w:pPr>
              <w:widowControl/>
              <w:jc w:val="center"/>
              <w:textAlignment w:val="center"/>
              <w:rPr>
                <w:rFonts w:ascii="宋体" w:hAnsi="宋体" w:eastAsia="宋体" w:cs="宋体"/>
                <w:kern w:val="2"/>
                <w:sz w:val="21"/>
                <w:szCs w:val="21"/>
                <w:lang w:val="en-US" w:eastAsia="zh-CN" w:bidi="ar-SA"/>
              </w:rPr>
            </w:pPr>
            <w:r>
              <w:rPr>
                <w:rFonts w:hint="eastAsia" w:ascii="宋体" w:eastAsia="宋体"/>
                <w:sz w:val="21"/>
              </w:rPr>
              <w:t>醋酸</w:t>
            </w:r>
          </w:p>
        </w:tc>
        <w:tc>
          <w:tcPr>
            <w:tcW w:w="715" w:type="pct"/>
            <w:tcBorders>
              <w:tl2br w:val="nil"/>
              <w:tr2bl w:val="nil"/>
            </w:tcBorders>
            <w:shd w:val="clear" w:color="auto" w:fill="auto"/>
            <w:noWrap w:val="0"/>
            <w:vAlign w:val="center"/>
          </w:tcPr>
          <w:p w14:paraId="047CFEBF">
            <w:pPr>
              <w:widowControl/>
              <w:jc w:val="center"/>
              <w:textAlignment w:val="center"/>
              <w:rPr>
                <w:rFonts w:hint="eastAsia" w:ascii="宋体" w:hAnsi="宋体" w:eastAsia="宋体" w:cs="宋体"/>
                <w:kern w:val="2"/>
                <w:sz w:val="21"/>
                <w:szCs w:val="21"/>
                <w:lang w:val="en-US" w:eastAsia="zh-CN" w:bidi="ar-SA"/>
              </w:rPr>
            </w:pPr>
            <w:r>
              <w:rPr>
                <w:rFonts w:hint="eastAsia" w:ascii="宋体" w:eastAsia="宋体"/>
                <w:sz w:val="21"/>
              </w:rPr>
              <w:t>液态</w:t>
            </w:r>
          </w:p>
        </w:tc>
        <w:tc>
          <w:tcPr>
            <w:tcW w:w="717" w:type="pct"/>
            <w:tcBorders>
              <w:tl2br w:val="nil"/>
              <w:tr2bl w:val="nil"/>
            </w:tcBorders>
            <w:noWrap w:val="0"/>
            <w:vAlign w:val="center"/>
          </w:tcPr>
          <w:p w14:paraId="265786D9">
            <w:pPr>
              <w:adjustRightInd w:val="0"/>
              <w:snapToGrid w:val="0"/>
              <w:jc w:val="center"/>
              <w:rPr>
                <w:rFonts w:hint="eastAsia" w:ascii="宋体" w:hAnsi="宋体" w:eastAsia="宋体" w:cs="宋体"/>
                <w:sz w:val="21"/>
                <w:szCs w:val="21"/>
              </w:rPr>
            </w:pPr>
            <w:r>
              <w:rPr>
                <w:rFonts w:eastAsia="宋体"/>
                <w:sz w:val="21"/>
                <w:szCs w:val="21"/>
              </w:rPr>
              <w:t>爆炸、火灾</w:t>
            </w:r>
            <w:r>
              <w:rPr>
                <w:rFonts w:hint="eastAsia" w:eastAsia="宋体"/>
                <w:sz w:val="21"/>
                <w:szCs w:val="21"/>
              </w:rPr>
              <w:t>、</w:t>
            </w:r>
            <w:r>
              <w:rPr>
                <w:rFonts w:eastAsia="宋体"/>
                <w:sz w:val="21"/>
                <w:szCs w:val="21"/>
              </w:rPr>
              <w:t>气体泄漏</w:t>
            </w:r>
          </w:p>
        </w:tc>
        <w:tc>
          <w:tcPr>
            <w:tcW w:w="717" w:type="pct"/>
            <w:tcBorders>
              <w:tl2br w:val="nil"/>
              <w:tr2bl w:val="nil"/>
            </w:tcBorders>
            <w:noWrap w:val="0"/>
            <w:vAlign w:val="center"/>
          </w:tcPr>
          <w:p w14:paraId="0015F05B">
            <w:pPr>
              <w:adjustRightInd w:val="0"/>
              <w:snapToGrid w:val="0"/>
              <w:jc w:val="center"/>
              <w:rPr>
                <w:rFonts w:eastAsia="宋体"/>
                <w:sz w:val="21"/>
                <w:szCs w:val="21"/>
              </w:rPr>
            </w:pPr>
            <w:r>
              <w:rPr>
                <w:rFonts w:eastAsia="宋体"/>
                <w:sz w:val="21"/>
                <w:szCs w:val="21"/>
              </w:rPr>
              <w:t>材质老化、密封损坏、误操作</w:t>
            </w:r>
          </w:p>
        </w:tc>
        <w:tc>
          <w:tcPr>
            <w:tcW w:w="712" w:type="pct"/>
            <w:tcBorders>
              <w:tl2br w:val="nil"/>
              <w:tr2bl w:val="nil"/>
            </w:tcBorders>
            <w:noWrap w:val="0"/>
            <w:vAlign w:val="center"/>
          </w:tcPr>
          <w:p w14:paraId="3E75A0CE">
            <w:pPr>
              <w:widowControl/>
              <w:jc w:val="center"/>
              <w:textAlignment w:val="bottom"/>
              <w:rPr>
                <w:rFonts w:hint="default" w:eastAsia="宋体"/>
                <w:sz w:val="21"/>
                <w:szCs w:val="21"/>
                <w:lang w:val="en-US" w:eastAsia="zh-CN"/>
              </w:rPr>
            </w:pPr>
            <w:r>
              <w:rPr>
                <w:rFonts w:hint="eastAsia" w:eastAsia="宋体"/>
                <w:sz w:val="21"/>
                <w:szCs w:val="21"/>
                <w:lang w:val="en-US" w:eastAsia="zh-CN"/>
              </w:rPr>
              <w:t>1.32</w:t>
            </w:r>
          </w:p>
        </w:tc>
        <w:tc>
          <w:tcPr>
            <w:tcW w:w="712" w:type="pct"/>
            <w:tcBorders>
              <w:tl2br w:val="nil"/>
              <w:tr2bl w:val="nil"/>
            </w:tcBorders>
            <w:noWrap w:val="0"/>
            <w:vAlign w:val="center"/>
          </w:tcPr>
          <w:p w14:paraId="6483D2CB">
            <w:pPr>
              <w:widowControl/>
              <w:jc w:val="center"/>
              <w:textAlignment w:val="bottom"/>
              <w:rPr>
                <w:rFonts w:hint="default" w:eastAsia="宋体"/>
                <w:sz w:val="21"/>
                <w:szCs w:val="21"/>
                <w:lang w:val="en-US" w:eastAsia="zh-CN"/>
              </w:rPr>
            </w:pPr>
            <w:r>
              <w:rPr>
                <w:rFonts w:hint="eastAsia" w:eastAsia="宋体"/>
                <w:sz w:val="21"/>
                <w:szCs w:val="21"/>
                <w:lang w:val="en-US" w:eastAsia="zh-CN"/>
              </w:rPr>
              <w:t>0.132</w:t>
            </w:r>
          </w:p>
        </w:tc>
      </w:tr>
    </w:tbl>
    <w:p w14:paraId="29DD0E0B">
      <w:pPr>
        <w:widowControl/>
        <w:spacing w:line="500" w:lineRule="exact"/>
        <w:ind w:firstLine="520" w:firstLineChars="200"/>
        <w:jc w:val="left"/>
        <w:rPr>
          <w:rFonts w:hint="eastAsia"/>
          <w:spacing w:val="10"/>
          <w:sz w:val="24"/>
          <w:lang w:val="en-US" w:bidi="zh-CN"/>
        </w:rPr>
      </w:pPr>
      <w:r>
        <w:rPr>
          <w:rFonts w:hint="eastAsia"/>
          <w:spacing w:val="10"/>
          <w:sz w:val="24"/>
          <w:lang w:val="en-US" w:bidi="zh-CN"/>
        </w:rPr>
        <w:t>2、储运设施</w:t>
      </w:r>
    </w:p>
    <w:p w14:paraId="2F2DFD7D">
      <w:pPr>
        <w:pStyle w:val="84"/>
        <w:spacing w:line="500" w:lineRule="exact"/>
        <w:ind w:firstLineChars="0"/>
        <w:rPr>
          <w:rFonts w:hint="eastAsia"/>
          <w:spacing w:val="10"/>
          <w:sz w:val="24"/>
          <w:lang w:bidi="zh-CN"/>
        </w:rPr>
      </w:pPr>
      <w:r>
        <w:rPr>
          <w:rFonts w:ascii="Times New Roman" w:hAnsi="Times New Roman" w:cs="Times New Roman"/>
          <w:spacing w:val="10"/>
          <w:szCs w:val="24"/>
        </w:rPr>
        <w:t>项目</w:t>
      </w:r>
      <w:r>
        <w:rPr>
          <w:rFonts w:hint="eastAsia" w:ascii="Times New Roman" w:hAnsi="Times New Roman" w:cs="Times New Roman"/>
          <w:spacing w:val="10"/>
          <w:szCs w:val="24"/>
        </w:rPr>
        <w:t>涉及的储罐包括醋酸中间罐，</w:t>
      </w:r>
      <w:r>
        <w:rPr>
          <w:rFonts w:hint="eastAsia" w:ascii="Times New Roman" w:hAnsi="Times New Roman" w:cs="Times New Roman"/>
          <w:spacing w:val="10"/>
          <w:szCs w:val="24"/>
          <w:lang w:val="en-US" w:eastAsia="zh-CN"/>
        </w:rPr>
        <w:t>丙酸储罐、废液储罐</w:t>
      </w:r>
      <w:r>
        <w:rPr>
          <w:rFonts w:hint="eastAsia" w:ascii="Times New Roman" w:hAnsi="Times New Roman" w:cs="Times New Roman"/>
          <w:spacing w:val="10"/>
          <w:szCs w:val="24"/>
        </w:rPr>
        <w:t>。</w:t>
      </w:r>
      <w:r>
        <w:rPr>
          <w:rFonts w:hint="eastAsia"/>
          <w:spacing w:val="10"/>
          <w:sz w:val="24"/>
          <w:lang w:bidi="zh-CN"/>
        </w:rPr>
        <w:t>储罐主要参数见下表。</w:t>
      </w:r>
    </w:p>
    <w:p w14:paraId="0B021FF7">
      <w:pPr>
        <w:pStyle w:val="84"/>
        <w:spacing w:line="500" w:lineRule="exact"/>
        <w:ind w:firstLineChars="0"/>
        <w:rPr>
          <w:rFonts w:hint="eastAsia"/>
          <w:spacing w:val="10"/>
          <w:sz w:val="24"/>
          <w:lang w:bidi="zh-CN"/>
        </w:rPr>
      </w:pPr>
    </w:p>
    <w:p w14:paraId="5F5D2BB5">
      <w:pPr>
        <w:keepNext/>
        <w:keepLines/>
        <w:widowControl/>
        <w:tabs>
          <w:tab w:val="left" w:pos="795"/>
        </w:tabs>
        <w:spacing w:line="500" w:lineRule="exact"/>
        <w:ind w:left="795"/>
        <w:jc w:val="center"/>
        <w:outlineLvl w:val="3"/>
        <w:rPr>
          <w:b/>
          <w:kern w:val="0"/>
          <w:sz w:val="24"/>
        </w:rPr>
      </w:pPr>
      <w:r>
        <w:rPr>
          <w:rFonts w:hint="eastAsia"/>
          <w:b/>
          <w:kern w:val="0"/>
          <w:sz w:val="24"/>
        </w:rPr>
        <w:t>表5.1-</w:t>
      </w:r>
      <w:r>
        <w:rPr>
          <w:rFonts w:hint="eastAsia"/>
          <w:b/>
          <w:kern w:val="0"/>
          <w:sz w:val="24"/>
          <w:lang w:val="en-US" w:eastAsia="zh-CN"/>
        </w:rPr>
        <w:t>3</w:t>
      </w:r>
      <w:r>
        <w:rPr>
          <w:rFonts w:hint="eastAsia"/>
          <w:b/>
          <w:kern w:val="0"/>
          <w:sz w:val="24"/>
        </w:rPr>
        <w:t>储罐主要参一览表</w:t>
      </w:r>
    </w:p>
    <w:tbl>
      <w:tblPr>
        <w:tblStyle w:val="85"/>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47"/>
        <w:gridCol w:w="5563"/>
        <w:gridCol w:w="1650"/>
      </w:tblGrid>
      <w:tr w14:paraId="31146D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64" w:type="dxa"/>
            <w:vAlign w:val="center"/>
          </w:tcPr>
          <w:p w14:paraId="56D52A72">
            <w:pPr>
              <w:adjustRightInd w:val="0"/>
              <w:snapToGrid w:val="0"/>
              <w:jc w:val="center"/>
              <w:rPr>
                <w:rFonts w:ascii="Times New Roman" w:hAnsi="Times New Roman" w:cs="Times New Roman"/>
                <w:b/>
                <w:kern w:val="0"/>
                <w:sz w:val="24"/>
              </w:rPr>
            </w:pPr>
            <w:r>
              <w:rPr>
                <w:rFonts w:ascii="Times New Roman" w:hAnsi="Times New Roman" w:cs="Times New Roman"/>
                <w:kern w:val="0"/>
                <w:szCs w:val="21"/>
                <w:lang w:val="zh-CN" w:bidi="zh-CN"/>
              </w:rPr>
              <w:t>设备名称</w:t>
            </w:r>
          </w:p>
        </w:tc>
        <w:tc>
          <w:tcPr>
            <w:tcW w:w="4711" w:type="dxa"/>
            <w:vAlign w:val="center"/>
          </w:tcPr>
          <w:p w14:paraId="0A4F0E71">
            <w:pPr>
              <w:adjustRightInd w:val="0"/>
              <w:snapToGrid w:val="0"/>
              <w:jc w:val="center"/>
              <w:rPr>
                <w:rFonts w:ascii="Times New Roman" w:hAnsi="Times New Roman" w:cs="Times New Roman"/>
                <w:b/>
                <w:kern w:val="0"/>
                <w:sz w:val="24"/>
              </w:rPr>
            </w:pPr>
            <w:r>
              <w:rPr>
                <w:rFonts w:ascii="Times New Roman" w:hAnsi="Times New Roman" w:cs="Times New Roman"/>
                <w:kern w:val="0"/>
                <w:szCs w:val="21"/>
                <w:lang w:val="zh-CN" w:bidi="zh-CN"/>
              </w:rPr>
              <w:t>规格参数</w:t>
            </w:r>
          </w:p>
        </w:tc>
        <w:tc>
          <w:tcPr>
            <w:tcW w:w="1397" w:type="dxa"/>
            <w:vAlign w:val="center"/>
          </w:tcPr>
          <w:p w14:paraId="45B6036E">
            <w:pPr>
              <w:adjustRightInd w:val="0"/>
              <w:snapToGrid w:val="0"/>
              <w:jc w:val="center"/>
              <w:rPr>
                <w:rFonts w:ascii="Times New Roman" w:hAnsi="Times New Roman" w:cs="Times New Roman"/>
                <w:b/>
                <w:kern w:val="0"/>
                <w:sz w:val="24"/>
              </w:rPr>
            </w:pPr>
            <w:r>
              <w:rPr>
                <w:rFonts w:hint="eastAsia" w:ascii="Times New Roman" w:hAnsi="Times New Roman" w:cs="Times New Roman"/>
                <w:kern w:val="0"/>
                <w:szCs w:val="21"/>
                <w:lang w:val="en-US" w:bidi="zh-CN"/>
              </w:rPr>
              <w:t>数量</w:t>
            </w:r>
          </w:p>
        </w:tc>
      </w:tr>
      <w:tr w14:paraId="27E8EB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64" w:type="dxa"/>
            <w:vAlign w:val="center"/>
          </w:tcPr>
          <w:p w14:paraId="0E12E943">
            <w:pPr>
              <w:adjustRightInd w:val="0"/>
              <w:snapToGrid w:val="0"/>
              <w:jc w:val="center"/>
              <w:rPr>
                <w:rFonts w:hint="default" w:ascii="Times New Roman" w:hAnsi="Times New Roman" w:cs="Times New Roman"/>
                <w:b/>
                <w:kern w:val="0"/>
                <w:sz w:val="24"/>
                <w:lang w:val="en-US"/>
              </w:rPr>
            </w:pPr>
            <w:r>
              <w:rPr>
                <w:rFonts w:hint="eastAsia" w:ascii="Times New Roman" w:hAnsi="Times New Roman" w:cs="Times New Roman"/>
                <w:kern w:val="0"/>
                <w:szCs w:val="21"/>
                <w:lang w:val="en-US" w:bidi="zh-CN"/>
              </w:rPr>
              <w:t>醋酸中间罐</w:t>
            </w:r>
          </w:p>
        </w:tc>
        <w:tc>
          <w:tcPr>
            <w:tcW w:w="4711" w:type="dxa"/>
            <w:vAlign w:val="center"/>
          </w:tcPr>
          <w:p w14:paraId="71092B65">
            <w:pPr>
              <w:autoSpaceDE w:val="0"/>
              <w:autoSpaceDN w:val="0"/>
              <w:adjustRightInd w:val="0"/>
              <w:snapToGrid w:val="0"/>
              <w:jc w:val="center"/>
              <w:rPr>
                <w:rFonts w:ascii="Times New Roman" w:hAnsi="Times New Roman" w:cs="Times New Roman"/>
                <w:kern w:val="0"/>
                <w:szCs w:val="21"/>
                <w:lang w:val="zh-CN" w:bidi="zh-CN"/>
              </w:rPr>
            </w:pPr>
            <w:r>
              <w:rPr>
                <w:rFonts w:ascii="Times New Roman" w:hAnsi="Times New Roman" w:cs="Times New Roman"/>
                <w:kern w:val="0"/>
                <w:szCs w:val="21"/>
                <w:lang w:val="zh-CN" w:bidi="zh-CN"/>
              </w:rPr>
              <w:t>V=</w:t>
            </w:r>
            <w:r>
              <w:rPr>
                <w:rFonts w:hint="eastAsia" w:ascii="Times New Roman" w:hAnsi="Times New Roman" w:cs="Times New Roman"/>
                <w:kern w:val="0"/>
                <w:szCs w:val="21"/>
                <w:lang w:val="en-US" w:bidi="zh-CN"/>
              </w:rPr>
              <w:t>1000</w:t>
            </w:r>
            <w:r>
              <w:rPr>
                <w:rFonts w:ascii="Times New Roman" w:hAnsi="Times New Roman" w:cs="Times New Roman"/>
                <w:kern w:val="0"/>
                <w:szCs w:val="21"/>
                <w:lang w:val="zh-CN" w:bidi="zh-CN"/>
              </w:rPr>
              <w:t>m³，立式；设计温度：常温；工作温度：常温</w:t>
            </w:r>
          </w:p>
        </w:tc>
        <w:tc>
          <w:tcPr>
            <w:tcW w:w="1397" w:type="dxa"/>
            <w:vAlign w:val="center"/>
          </w:tcPr>
          <w:p w14:paraId="1795A29C">
            <w:pPr>
              <w:adjustRightInd w:val="0"/>
              <w:snapToGrid w:val="0"/>
              <w:jc w:val="center"/>
              <w:rPr>
                <w:rFonts w:ascii="Times New Roman" w:hAnsi="Times New Roman" w:cs="Times New Roman"/>
                <w:b/>
                <w:kern w:val="0"/>
                <w:sz w:val="24"/>
              </w:rPr>
            </w:pPr>
            <w:r>
              <w:rPr>
                <w:rFonts w:hint="eastAsia" w:ascii="Times New Roman" w:hAnsi="Times New Roman" w:cs="Times New Roman"/>
                <w:kern w:val="0"/>
                <w:szCs w:val="21"/>
                <w:lang w:val="en-US" w:bidi="zh-CN"/>
              </w:rPr>
              <w:t>4</w:t>
            </w:r>
          </w:p>
        </w:tc>
      </w:tr>
      <w:tr w14:paraId="7D7753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64" w:type="dxa"/>
            <w:vAlign w:val="center"/>
          </w:tcPr>
          <w:p w14:paraId="7A08AC1F">
            <w:pPr>
              <w:adjustRightInd w:val="0"/>
              <w:snapToGrid w:val="0"/>
              <w:jc w:val="center"/>
              <w:rPr>
                <w:rFonts w:hint="default" w:ascii="Times New Roman" w:hAnsi="Times New Roman" w:cs="Times New Roman"/>
                <w:kern w:val="0"/>
                <w:szCs w:val="21"/>
                <w:lang w:val="en-US" w:bidi="zh-CN"/>
              </w:rPr>
            </w:pPr>
            <w:r>
              <w:rPr>
                <w:rFonts w:hint="eastAsia" w:ascii="Times New Roman" w:hAnsi="Times New Roman" w:cs="Times New Roman"/>
                <w:kern w:val="0"/>
                <w:szCs w:val="21"/>
                <w:lang w:val="en-US" w:bidi="zh-CN"/>
              </w:rPr>
              <w:t>丙酸缓冲罐</w:t>
            </w:r>
          </w:p>
        </w:tc>
        <w:tc>
          <w:tcPr>
            <w:tcW w:w="4711" w:type="dxa"/>
            <w:vAlign w:val="center"/>
          </w:tcPr>
          <w:p w14:paraId="1A503A8C">
            <w:pPr>
              <w:autoSpaceDE w:val="0"/>
              <w:autoSpaceDN w:val="0"/>
              <w:adjustRightInd w:val="0"/>
              <w:snapToGrid w:val="0"/>
              <w:jc w:val="center"/>
              <w:rPr>
                <w:rFonts w:hint="default" w:ascii="Times New Roman" w:hAnsi="Times New Roman" w:cs="Times New Roman"/>
                <w:kern w:val="0"/>
                <w:szCs w:val="21"/>
                <w:vertAlign w:val="baseline"/>
                <w:lang w:val="en-US" w:bidi="zh-CN"/>
              </w:rPr>
            </w:pPr>
            <w:r>
              <w:rPr>
                <w:rFonts w:hint="eastAsia"/>
                <w:szCs w:val="21"/>
                <w:u w:val="none"/>
                <w:lang w:val="en-US" w:eastAsia="zh-CN"/>
              </w:rPr>
              <w:t>固定顶，氮封储罐，容积为50m</w:t>
            </w:r>
            <w:r>
              <w:rPr>
                <w:rFonts w:hint="eastAsia"/>
                <w:szCs w:val="21"/>
                <w:u w:val="none"/>
                <w:vertAlign w:val="superscript"/>
                <w:lang w:val="en-US" w:eastAsia="zh-CN"/>
              </w:rPr>
              <w:t>3</w:t>
            </w:r>
            <w:r>
              <w:rPr>
                <w:rFonts w:hint="eastAsia"/>
                <w:szCs w:val="21"/>
                <w:u w:val="none"/>
                <w:vertAlign w:val="baseline"/>
                <w:lang w:val="en-US" w:eastAsia="zh-CN"/>
              </w:rPr>
              <w:t>，常温常压贮存</w:t>
            </w:r>
          </w:p>
        </w:tc>
        <w:tc>
          <w:tcPr>
            <w:tcW w:w="1397" w:type="dxa"/>
            <w:vAlign w:val="center"/>
          </w:tcPr>
          <w:p w14:paraId="288E0FE4">
            <w:pPr>
              <w:adjustRightInd w:val="0"/>
              <w:snapToGrid w:val="0"/>
              <w:jc w:val="center"/>
              <w:rPr>
                <w:rFonts w:hint="default" w:ascii="Times New Roman" w:hAnsi="Times New Roman" w:cs="Times New Roman"/>
                <w:kern w:val="0"/>
                <w:szCs w:val="21"/>
                <w:lang w:val="en-US" w:bidi="zh-CN"/>
              </w:rPr>
            </w:pPr>
            <w:r>
              <w:rPr>
                <w:rFonts w:hint="eastAsia" w:ascii="Times New Roman" w:hAnsi="Times New Roman" w:cs="Times New Roman"/>
                <w:kern w:val="0"/>
                <w:szCs w:val="21"/>
                <w:lang w:val="en-US" w:bidi="zh-CN"/>
              </w:rPr>
              <w:t>1</w:t>
            </w:r>
          </w:p>
        </w:tc>
      </w:tr>
      <w:tr w14:paraId="79D51A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564" w:type="dxa"/>
            <w:vAlign w:val="center"/>
          </w:tcPr>
          <w:p w14:paraId="6544DB4D">
            <w:pPr>
              <w:adjustRightInd w:val="0"/>
              <w:snapToGrid w:val="0"/>
              <w:jc w:val="center"/>
              <w:rPr>
                <w:rFonts w:hint="default" w:ascii="Times New Roman" w:hAnsi="Times New Roman" w:cs="Times New Roman"/>
                <w:kern w:val="0"/>
                <w:szCs w:val="21"/>
                <w:lang w:val="en-US" w:bidi="zh-CN"/>
              </w:rPr>
            </w:pPr>
            <w:r>
              <w:rPr>
                <w:rFonts w:hint="eastAsia" w:ascii="Times New Roman" w:hAnsi="Times New Roman" w:cs="Times New Roman"/>
                <w:kern w:val="0"/>
                <w:szCs w:val="21"/>
                <w:lang w:val="en-US" w:bidi="zh-CN"/>
              </w:rPr>
              <w:t>废液罐</w:t>
            </w:r>
          </w:p>
        </w:tc>
        <w:tc>
          <w:tcPr>
            <w:tcW w:w="4711" w:type="dxa"/>
            <w:vAlign w:val="center"/>
          </w:tcPr>
          <w:p w14:paraId="132BD613">
            <w:pPr>
              <w:autoSpaceDE w:val="0"/>
              <w:autoSpaceDN w:val="0"/>
              <w:adjustRightInd w:val="0"/>
              <w:snapToGrid w:val="0"/>
              <w:jc w:val="center"/>
              <w:rPr>
                <w:rFonts w:ascii="Times New Roman" w:hAnsi="Times New Roman" w:cs="Times New Roman"/>
                <w:kern w:val="0"/>
                <w:szCs w:val="21"/>
                <w:lang w:val="zh-CN" w:bidi="zh-CN"/>
              </w:rPr>
            </w:pPr>
            <w:r>
              <w:rPr>
                <w:rFonts w:hint="eastAsia"/>
                <w:szCs w:val="21"/>
                <w:u w:val="none"/>
                <w:lang w:val="en-US" w:eastAsia="zh-CN"/>
              </w:rPr>
              <w:t>固定顶，氮封储罐，容积为50m</w:t>
            </w:r>
            <w:r>
              <w:rPr>
                <w:rFonts w:hint="eastAsia"/>
                <w:szCs w:val="21"/>
                <w:u w:val="none"/>
                <w:vertAlign w:val="superscript"/>
                <w:lang w:val="en-US" w:eastAsia="zh-CN"/>
              </w:rPr>
              <w:t>3</w:t>
            </w:r>
            <w:r>
              <w:rPr>
                <w:rFonts w:hint="eastAsia"/>
                <w:szCs w:val="21"/>
                <w:u w:val="none"/>
                <w:vertAlign w:val="baseline"/>
                <w:lang w:val="en-US" w:eastAsia="zh-CN"/>
              </w:rPr>
              <w:t>，常温常压贮存</w:t>
            </w:r>
          </w:p>
        </w:tc>
        <w:tc>
          <w:tcPr>
            <w:tcW w:w="1397" w:type="dxa"/>
            <w:vAlign w:val="center"/>
          </w:tcPr>
          <w:p w14:paraId="049B6C1B">
            <w:pPr>
              <w:adjustRightInd w:val="0"/>
              <w:snapToGrid w:val="0"/>
              <w:jc w:val="center"/>
              <w:rPr>
                <w:rFonts w:hint="default" w:ascii="Times New Roman" w:hAnsi="Times New Roman" w:cs="Times New Roman"/>
                <w:kern w:val="0"/>
                <w:szCs w:val="21"/>
                <w:lang w:val="en-US" w:bidi="zh-CN"/>
              </w:rPr>
            </w:pPr>
            <w:r>
              <w:rPr>
                <w:rFonts w:hint="eastAsia" w:ascii="Times New Roman" w:hAnsi="Times New Roman" w:cs="Times New Roman"/>
                <w:kern w:val="0"/>
                <w:szCs w:val="21"/>
                <w:lang w:val="en-US" w:bidi="zh-CN"/>
              </w:rPr>
              <w:t>1</w:t>
            </w:r>
          </w:p>
        </w:tc>
      </w:tr>
    </w:tbl>
    <w:p w14:paraId="78570CFC">
      <w:pPr>
        <w:widowControl/>
        <w:spacing w:line="500" w:lineRule="exact"/>
        <w:ind w:firstLine="520" w:firstLineChars="200"/>
        <w:jc w:val="left"/>
        <w:rPr>
          <w:rFonts w:hint="eastAsia"/>
          <w:spacing w:val="10"/>
          <w:sz w:val="24"/>
          <w:lang w:val="en-US" w:bidi="zh-CN"/>
        </w:rPr>
      </w:pPr>
      <w:r>
        <w:rPr>
          <w:rFonts w:hint="eastAsia"/>
          <w:spacing w:val="10"/>
          <w:sz w:val="24"/>
          <w:lang w:val="en-US" w:bidi="zh-CN"/>
        </w:rPr>
        <w:t>3、公用工程</w:t>
      </w:r>
    </w:p>
    <w:p w14:paraId="40FCE90D">
      <w:pPr>
        <w:widowControl/>
        <w:spacing w:line="500" w:lineRule="exact"/>
        <w:ind w:firstLine="520" w:firstLineChars="200"/>
        <w:jc w:val="left"/>
        <w:rPr>
          <w:rFonts w:hint="default"/>
          <w:spacing w:val="10"/>
          <w:sz w:val="24"/>
          <w:lang w:val="en-US" w:bidi="zh-CN"/>
        </w:rPr>
      </w:pPr>
      <w:r>
        <w:rPr>
          <w:rFonts w:hint="default"/>
          <w:spacing w:val="10"/>
          <w:sz w:val="24"/>
          <w:lang w:val="en-US" w:bidi="zh-CN"/>
        </w:rPr>
        <w:t>项目的给水、供电、供气均由现有工程对项目进行配额，原辅材料和产品的输送采用公路、水运和管道输送等方式。物料运输过程可能出现的危险因素主要是泄漏、火灾、爆炸。在运输过程中，交通事故、储罐破损、误操作等可能造成物料泄漏至大气、水体或陆域，造成重大环境灾害；或引起火灾与爆炸。其中，交通事故是造成上述物料运输途中出现风险事故的最常见因素。</w:t>
      </w:r>
    </w:p>
    <w:p w14:paraId="62A443E2">
      <w:pPr>
        <w:widowControl/>
        <w:spacing w:line="500" w:lineRule="exact"/>
        <w:ind w:firstLine="520" w:firstLineChars="200"/>
        <w:jc w:val="left"/>
        <w:rPr>
          <w:rFonts w:hint="default"/>
          <w:spacing w:val="10"/>
          <w:sz w:val="24"/>
          <w:lang w:val="en-US" w:bidi="zh-CN"/>
        </w:rPr>
      </w:pPr>
      <w:r>
        <w:rPr>
          <w:rFonts w:hint="default"/>
          <w:spacing w:val="10"/>
          <w:sz w:val="24"/>
          <w:lang w:val="en-US" w:bidi="zh-CN"/>
        </w:rPr>
        <w:t>上述运输均委托有运输资质的专业单位承运，运输过程的环境风险及防范措施由承运单位进行识别及实施预防措施，不在本项目范围内。</w:t>
      </w:r>
    </w:p>
    <w:p w14:paraId="38644873">
      <w:pPr>
        <w:widowControl/>
        <w:spacing w:line="500" w:lineRule="exact"/>
        <w:ind w:firstLine="520" w:firstLineChars="200"/>
        <w:jc w:val="left"/>
        <w:rPr>
          <w:rFonts w:hint="default"/>
          <w:spacing w:val="10"/>
          <w:sz w:val="24"/>
          <w:lang w:val="en-US" w:bidi="zh-CN"/>
        </w:rPr>
      </w:pPr>
      <w:r>
        <w:rPr>
          <w:rFonts w:hint="default"/>
          <w:spacing w:val="10"/>
          <w:sz w:val="24"/>
          <w:lang w:val="en-US" w:bidi="zh-CN"/>
        </w:rPr>
        <w:t>场区外配套相关管线依托现有管道工程，主要输送醋酸等物料，已由其他项目进行评价，不在本项目识别范围内。</w:t>
      </w:r>
    </w:p>
    <w:p w14:paraId="6F18EE3E">
      <w:pPr>
        <w:widowControl/>
        <w:spacing w:line="500" w:lineRule="exact"/>
        <w:ind w:firstLine="520" w:firstLineChars="200"/>
        <w:jc w:val="left"/>
        <w:rPr>
          <w:rFonts w:hint="eastAsia"/>
          <w:spacing w:val="10"/>
          <w:sz w:val="24"/>
          <w:lang w:val="en-US" w:bidi="zh-CN"/>
        </w:rPr>
      </w:pPr>
      <w:r>
        <w:rPr>
          <w:rFonts w:hint="eastAsia"/>
          <w:spacing w:val="10"/>
          <w:sz w:val="24"/>
          <w:lang w:val="en-US" w:bidi="zh-CN"/>
        </w:rPr>
        <w:t>4、重点风险源</w:t>
      </w:r>
    </w:p>
    <w:p w14:paraId="244B1E6B">
      <w:pPr>
        <w:widowControl/>
        <w:spacing w:line="500" w:lineRule="exact"/>
        <w:ind w:firstLine="520" w:firstLineChars="200"/>
        <w:jc w:val="left"/>
        <w:rPr>
          <w:rFonts w:hint="default"/>
          <w:spacing w:val="10"/>
          <w:sz w:val="24"/>
          <w:lang w:val="en-US" w:bidi="zh-CN"/>
        </w:rPr>
      </w:pPr>
      <w:r>
        <w:rPr>
          <w:rFonts w:hint="default"/>
          <w:spacing w:val="10"/>
          <w:sz w:val="24"/>
          <w:lang w:val="en-US" w:bidi="zh-CN"/>
        </w:rPr>
        <w:t>本次评价采用直接判定法确定重点风险源。属于风险导则附录C高风险生产工艺的装置区，以及附录B所列危险物质超过临界量的单元，直接判定为重点风险源。因此，项目的醋酸</w:t>
      </w:r>
      <w:r>
        <w:rPr>
          <w:rFonts w:hint="eastAsia"/>
          <w:spacing w:val="10"/>
          <w:sz w:val="24"/>
          <w:lang w:val="en-US" w:bidi="zh-CN"/>
        </w:rPr>
        <w:t>中间罐、废液罐</w:t>
      </w:r>
      <w:r>
        <w:rPr>
          <w:rFonts w:hint="default"/>
          <w:spacing w:val="10"/>
          <w:sz w:val="24"/>
          <w:lang w:val="en-US" w:bidi="zh-CN"/>
        </w:rPr>
        <w:t>为重点风险源。</w:t>
      </w:r>
    </w:p>
    <w:p w14:paraId="511432CA">
      <w:pPr>
        <w:keepNext/>
        <w:keepLines/>
        <w:widowControl/>
        <w:tabs>
          <w:tab w:val="left" w:pos="795"/>
        </w:tabs>
        <w:spacing w:line="500" w:lineRule="exact"/>
        <w:ind w:left="795"/>
        <w:jc w:val="center"/>
        <w:outlineLvl w:val="3"/>
        <w:rPr>
          <w:rFonts w:hint="default"/>
          <w:spacing w:val="10"/>
          <w:sz w:val="24"/>
          <w:lang w:val="en-US" w:bidi="zh-CN"/>
        </w:rPr>
      </w:pPr>
      <w:r>
        <w:rPr>
          <w:rFonts w:hint="eastAsia"/>
          <w:b/>
          <w:kern w:val="0"/>
          <w:sz w:val="24"/>
          <w:lang w:val="en-US"/>
        </w:rPr>
        <w:t>表</w:t>
      </w:r>
      <w:r>
        <w:rPr>
          <w:rFonts w:hint="eastAsia"/>
          <w:b/>
          <w:kern w:val="0"/>
          <w:sz w:val="24"/>
          <w:lang w:val="en-US" w:eastAsia="zh-CN"/>
        </w:rPr>
        <w:t>5.1-4</w:t>
      </w:r>
      <w:r>
        <w:rPr>
          <w:rFonts w:hint="eastAsia"/>
          <w:b/>
          <w:kern w:val="0"/>
          <w:sz w:val="24"/>
          <w:lang w:val="en-US"/>
        </w:rPr>
        <w:t xml:space="preserve"> 重点风险源识别</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080"/>
        <w:gridCol w:w="1500"/>
        <w:gridCol w:w="1447"/>
        <w:gridCol w:w="1266"/>
        <w:gridCol w:w="2271"/>
      </w:tblGrid>
      <w:tr w14:paraId="6A29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tcBorders>
              <w:top w:val="single" w:color="auto" w:sz="4" w:space="0"/>
              <w:left w:val="single" w:color="auto" w:sz="4" w:space="0"/>
              <w:bottom w:val="single" w:color="auto" w:sz="4" w:space="0"/>
              <w:right w:val="single" w:color="auto" w:sz="4" w:space="0"/>
            </w:tcBorders>
            <w:noWrap w:val="0"/>
            <w:vAlign w:val="center"/>
          </w:tcPr>
          <w:p w14:paraId="6D752028">
            <w:pPr>
              <w:pStyle w:val="88"/>
              <w:spacing w:line="240" w:lineRule="exact"/>
              <w:ind w:firstLine="0" w:firstLineChars="0"/>
              <w:jc w:val="center"/>
              <w:rPr>
                <w:rFonts w:hint="eastAsia" w:eastAsia="宋体"/>
                <w:sz w:val="21"/>
                <w:szCs w:val="21"/>
                <w:lang w:eastAsia="zh-CN"/>
              </w:rPr>
            </w:pPr>
            <w:r>
              <w:rPr>
                <w:rFonts w:hint="eastAsia"/>
                <w:sz w:val="21"/>
                <w:szCs w:val="21"/>
                <w:lang w:val="en-US" w:eastAsia="zh-CN"/>
              </w:rPr>
              <w:t>储罐</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71984E8F">
            <w:pPr>
              <w:pStyle w:val="88"/>
              <w:spacing w:line="240" w:lineRule="exact"/>
              <w:ind w:firstLine="0" w:firstLineChars="0"/>
              <w:jc w:val="center"/>
              <w:rPr>
                <w:sz w:val="21"/>
                <w:szCs w:val="21"/>
              </w:rPr>
            </w:pPr>
            <w:r>
              <w:rPr>
                <w:sz w:val="21"/>
                <w:szCs w:val="21"/>
              </w:rPr>
              <w:t>物料名称</w:t>
            </w:r>
          </w:p>
        </w:tc>
        <w:tc>
          <w:tcPr>
            <w:tcW w:w="828" w:type="pct"/>
            <w:tcBorders>
              <w:top w:val="single" w:color="auto" w:sz="4" w:space="0"/>
              <w:left w:val="single" w:color="auto" w:sz="4" w:space="0"/>
              <w:bottom w:val="single" w:color="auto" w:sz="4" w:space="0"/>
              <w:right w:val="single" w:color="auto" w:sz="4" w:space="0"/>
            </w:tcBorders>
            <w:noWrap w:val="0"/>
            <w:vAlign w:val="center"/>
          </w:tcPr>
          <w:p w14:paraId="3DD62776">
            <w:pPr>
              <w:pStyle w:val="88"/>
              <w:spacing w:line="240" w:lineRule="exact"/>
              <w:ind w:firstLine="0" w:firstLineChars="0"/>
              <w:jc w:val="center"/>
              <w:rPr>
                <w:sz w:val="21"/>
                <w:szCs w:val="21"/>
              </w:rPr>
            </w:pPr>
            <w:r>
              <w:rPr>
                <w:sz w:val="21"/>
                <w:szCs w:val="21"/>
              </w:rPr>
              <w:t>形态</w:t>
            </w:r>
          </w:p>
        </w:tc>
        <w:tc>
          <w:tcPr>
            <w:tcW w:w="799" w:type="pct"/>
            <w:tcBorders>
              <w:top w:val="single" w:color="auto" w:sz="4" w:space="0"/>
              <w:left w:val="single" w:color="auto" w:sz="4" w:space="0"/>
              <w:bottom w:val="single" w:color="auto" w:sz="4" w:space="0"/>
              <w:right w:val="single" w:color="auto" w:sz="4" w:space="0"/>
            </w:tcBorders>
            <w:noWrap w:val="0"/>
            <w:vAlign w:val="center"/>
          </w:tcPr>
          <w:p w14:paraId="1334EFB8">
            <w:pPr>
              <w:pStyle w:val="88"/>
              <w:spacing w:line="240" w:lineRule="exact"/>
              <w:ind w:firstLine="0" w:firstLineChars="0"/>
              <w:jc w:val="center"/>
              <w:rPr>
                <w:sz w:val="21"/>
                <w:szCs w:val="21"/>
              </w:rPr>
            </w:pPr>
            <w:r>
              <w:rPr>
                <w:sz w:val="21"/>
                <w:szCs w:val="21"/>
              </w:rPr>
              <w:t>最大贮存量</w:t>
            </w:r>
            <w:r>
              <w:rPr>
                <w:rFonts w:hint="eastAsia"/>
                <w:sz w:val="21"/>
                <w:szCs w:val="21"/>
              </w:rPr>
              <w:t>（</w:t>
            </w:r>
            <w:r>
              <w:rPr>
                <w:sz w:val="21"/>
                <w:szCs w:val="21"/>
              </w:rPr>
              <w:t>t</w:t>
            </w:r>
            <w:r>
              <w:rPr>
                <w:rFonts w:hint="eastAsia"/>
                <w:sz w:val="21"/>
                <w:szCs w:val="21"/>
              </w:rPr>
              <w:t>）</w:t>
            </w:r>
          </w:p>
        </w:tc>
        <w:tc>
          <w:tcPr>
            <w:tcW w:w="699" w:type="pct"/>
            <w:tcBorders>
              <w:top w:val="single" w:color="auto" w:sz="4" w:space="0"/>
              <w:left w:val="single" w:color="auto" w:sz="4" w:space="0"/>
              <w:bottom w:val="single" w:color="auto" w:sz="4" w:space="0"/>
              <w:right w:val="single" w:color="auto" w:sz="4" w:space="0"/>
            </w:tcBorders>
            <w:noWrap w:val="0"/>
            <w:vAlign w:val="center"/>
          </w:tcPr>
          <w:p w14:paraId="41B6E938">
            <w:pPr>
              <w:pStyle w:val="88"/>
              <w:spacing w:line="240" w:lineRule="exact"/>
              <w:ind w:firstLine="0" w:firstLineChars="0"/>
              <w:jc w:val="center"/>
              <w:rPr>
                <w:sz w:val="21"/>
                <w:szCs w:val="21"/>
              </w:rPr>
            </w:pPr>
            <w:r>
              <w:rPr>
                <w:sz w:val="21"/>
                <w:szCs w:val="21"/>
              </w:rPr>
              <w:t>临界量</w:t>
            </w:r>
          </w:p>
        </w:tc>
        <w:tc>
          <w:tcPr>
            <w:tcW w:w="1254" w:type="pct"/>
            <w:tcBorders>
              <w:top w:val="single" w:color="auto" w:sz="4" w:space="0"/>
              <w:left w:val="single" w:color="auto" w:sz="4" w:space="0"/>
              <w:bottom w:val="single" w:color="auto" w:sz="4" w:space="0"/>
              <w:right w:val="single" w:color="auto" w:sz="4" w:space="0"/>
            </w:tcBorders>
            <w:noWrap w:val="0"/>
            <w:vAlign w:val="center"/>
          </w:tcPr>
          <w:p w14:paraId="0471CA1D">
            <w:pPr>
              <w:pStyle w:val="88"/>
              <w:spacing w:line="240" w:lineRule="exact"/>
              <w:ind w:firstLine="0" w:firstLineChars="0"/>
              <w:jc w:val="center"/>
              <w:rPr>
                <w:sz w:val="21"/>
                <w:szCs w:val="21"/>
              </w:rPr>
            </w:pPr>
            <w:r>
              <w:rPr>
                <w:sz w:val="21"/>
                <w:szCs w:val="21"/>
              </w:rPr>
              <w:t>重点风险源辨识结果</w:t>
            </w:r>
          </w:p>
        </w:tc>
      </w:tr>
      <w:tr w14:paraId="1D04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tcBorders>
              <w:top w:val="single" w:color="auto" w:sz="4" w:space="0"/>
              <w:left w:val="single" w:color="auto" w:sz="4" w:space="0"/>
              <w:bottom w:val="single" w:color="auto" w:sz="4" w:space="0"/>
              <w:right w:val="single" w:color="auto" w:sz="4" w:space="0"/>
            </w:tcBorders>
            <w:noWrap w:val="0"/>
            <w:vAlign w:val="center"/>
          </w:tcPr>
          <w:p w14:paraId="0B503C52">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醋酸中间罐</w:t>
            </w:r>
          </w:p>
        </w:tc>
        <w:tc>
          <w:tcPr>
            <w:tcW w:w="5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796589">
            <w:pPr>
              <w:pStyle w:val="88"/>
              <w:spacing w:line="240" w:lineRule="exact"/>
              <w:ind w:firstLine="0" w:firstLineChars="0"/>
              <w:jc w:val="center"/>
              <w:rPr>
                <w:rFonts w:ascii="Times New Roman" w:hAnsi="Times New Roman" w:eastAsia="宋体" w:cs="Times New Roman"/>
                <w:kern w:val="2"/>
                <w:sz w:val="21"/>
                <w:szCs w:val="21"/>
                <w:lang w:val="en-US" w:eastAsia="zh-CN" w:bidi="ar-SA"/>
              </w:rPr>
            </w:pPr>
            <w:r>
              <w:rPr>
                <w:rFonts w:hint="eastAsia"/>
                <w:sz w:val="21"/>
                <w:szCs w:val="21"/>
              </w:rPr>
              <w:t>醋酸</w:t>
            </w:r>
          </w:p>
        </w:tc>
        <w:tc>
          <w:tcPr>
            <w:tcW w:w="82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9D077C">
            <w:pPr>
              <w:pStyle w:val="88"/>
              <w:spacing w:line="240" w:lineRule="exact"/>
              <w:ind w:firstLine="0" w:firstLineChars="0"/>
              <w:jc w:val="center"/>
              <w:rPr>
                <w:rFonts w:ascii="Times New Roman" w:hAnsi="Times New Roman" w:eastAsia="宋体" w:cs="Times New Roman"/>
                <w:kern w:val="2"/>
                <w:sz w:val="21"/>
                <w:szCs w:val="21"/>
                <w:lang w:val="en-US" w:eastAsia="zh-CN" w:bidi="ar-SA"/>
              </w:rPr>
            </w:pPr>
            <w:r>
              <w:rPr>
                <w:rFonts w:hint="eastAsia"/>
                <w:sz w:val="21"/>
                <w:szCs w:val="21"/>
              </w:rPr>
              <w:t>液态</w:t>
            </w:r>
          </w:p>
        </w:tc>
        <w:tc>
          <w:tcPr>
            <w:tcW w:w="7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703140">
            <w:pPr>
              <w:pStyle w:val="88"/>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1600</w:t>
            </w:r>
          </w:p>
        </w:tc>
        <w:tc>
          <w:tcPr>
            <w:tcW w:w="6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890680">
            <w:pPr>
              <w:pStyle w:val="88"/>
              <w:spacing w:line="240" w:lineRule="exact"/>
              <w:ind w:firstLine="0" w:firstLineChars="0"/>
              <w:jc w:val="center"/>
              <w:rPr>
                <w:rFonts w:ascii="Times New Roman" w:hAnsi="Times New Roman" w:eastAsia="宋体" w:cs="Times New Roman"/>
                <w:kern w:val="2"/>
                <w:sz w:val="21"/>
                <w:szCs w:val="21"/>
                <w:lang w:val="en-US" w:eastAsia="zh-CN" w:bidi="ar-SA"/>
              </w:rPr>
            </w:pPr>
            <w:r>
              <w:rPr>
                <w:sz w:val="21"/>
                <w:szCs w:val="21"/>
              </w:rPr>
              <w:t>10</w:t>
            </w:r>
          </w:p>
        </w:tc>
        <w:tc>
          <w:tcPr>
            <w:tcW w:w="1254" w:type="pct"/>
            <w:tcBorders>
              <w:top w:val="single" w:color="auto" w:sz="4" w:space="0"/>
              <w:left w:val="single" w:color="auto" w:sz="4" w:space="0"/>
              <w:bottom w:val="single" w:color="auto" w:sz="4" w:space="0"/>
              <w:right w:val="single" w:color="auto" w:sz="4" w:space="0"/>
            </w:tcBorders>
            <w:noWrap w:val="0"/>
            <w:vAlign w:val="center"/>
          </w:tcPr>
          <w:p w14:paraId="492D74B9">
            <w:pPr>
              <w:pStyle w:val="88"/>
              <w:spacing w:line="240" w:lineRule="exact"/>
              <w:ind w:firstLine="0" w:firstLineChars="0"/>
              <w:jc w:val="center"/>
              <w:rPr>
                <w:sz w:val="21"/>
                <w:szCs w:val="21"/>
              </w:rPr>
            </w:pPr>
            <w:r>
              <w:rPr>
                <w:sz w:val="21"/>
                <w:szCs w:val="21"/>
              </w:rPr>
              <w:t>重点风险源</w:t>
            </w:r>
          </w:p>
        </w:tc>
      </w:tr>
      <w:tr w14:paraId="1E36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tcBorders>
              <w:top w:val="single" w:color="auto" w:sz="4" w:space="0"/>
              <w:left w:val="single" w:color="auto" w:sz="4" w:space="0"/>
              <w:bottom w:val="single" w:color="auto" w:sz="4" w:space="0"/>
              <w:right w:val="single" w:color="auto" w:sz="4" w:space="0"/>
            </w:tcBorders>
            <w:noWrap w:val="0"/>
            <w:vAlign w:val="center"/>
          </w:tcPr>
          <w:p w14:paraId="76F14104">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废液罐</w:t>
            </w:r>
          </w:p>
        </w:tc>
        <w:tc>
          <w:tcPr>
            <w:tcW w:w="5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F6A6C5">
            <w:pPr>
              <w:pStyle w:val="88"/>
              <w:spacing w:line="240" w:lineRule="exact"/>
              <w:ind w:firstLine="0" w:firstLineChars="0"/>
              <w:jc w:val="center"/>
              <w:rPr>
                <w:rFonts w:hint="eastAsia" w:eastAsia="宋体"/>
                <w:sz w:val="21"/>
                <w:szCs w:val="21"/>
                <w:u w:val="single"/>
                <w:lang w:val="en-US" w:eastAsia="zh-CN"/>
              </w:rPr>
            </w:pPr>
            <w:r>
              <w:rPr>
                <w:rFonts w:hint="eastAsia"/>
                <w:sz w:val="21"/>
                <w:szCs w:val="21"/>
                <w:u w:val="single"/>
                <w:lang w:val="en-US" w:eastAsia="zh-CN"/>
              </w:rPr>
              <w:t>废液</w:t>
            </w:r>
          </w:p>
        </w:tc>
        <w:tc>
          <w:tcPr>
            <w:tcW w:w="82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8380D7">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液态</w:t>
            </w:r>
          </w:p>
        </w:tc>
        <w:tc>
          <w:tcPr>
            <w:tcW w:w="7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D74D83">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42.5</w:t>
            </w:r>
          </w:p>
        </w:tc>
        <w:tc>
          <w:tcPr>
            <w:tcW w:w="6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3C84FE">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10</w:t>
            </w:r>
          </w:p>
        </w:tc>
        <w:tc>
          <w:tcPr>
            <w:tcW w:w="1254" w:type="pct"/>
            <w:tcBorders>
              <w:top w:val="single" w:color="auto" w:sz="4" w:space="0"/>
              <w:left w:val="single" w:color="auto" w:sz="4" w:space="0"/>
              <w:bottom w:val="single" w:color="auto" w:sz="4" w:space="0"/>
              <w:right w:val="single" w:color="auto" w:sz="4" w:space="0"/>
            </w:tcBorders>
            <w:noWrap w:val="0"/>
            <w:vAlign w:val="center"/>
          </w:tcPr>
          <w:p w14:paraId="0507F4CE">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重点风险源</w:t>
            </w:r>
          </w:p>
        </w:tc>
      </w:tr>
    </w:tbl>
    <w:p w14:paraId="729F31AE">
      <w:pPr>
        <w:widowControl/>
        <w:spacing w:line="500" w:lineRule="exact"/>
        <w:ind w:firstLine="482" w:firstLineChars="200"/>
        <w:jc w:val="left"/>
        <w:rPr>
          <w:rFonts w:hint="default"/>
          <w:spacing w:val="10"/>
          <w:sz w:val="24"/>
          <w:lang w:val="en-US" w:bidi="zh-CN"/>
        </w:rPr>
      </w:pPr>
      <w:r>
        <w:rPr>
          <w:rFonts w:hint="eastAsia"/>
          <w:b/>
          <w:kern w:val="0"/>
          <w:sz w:val="24"/>
          <w:lang w:val="en-US" w:eastAsia="zh-CN"/>
        </w:rPr>
        <w:t>三、</w:t>
      </w:r>
      <w:r>
        <w:rPr>
          <w:rFonts w:hint="default"/>
          <w:b/>
          <w:kern w:val="0"/>
          <w:sz w:val="24"/>
          <w:lang w:val="en-US"/>
        </w:rPr>
        <w:t>环境风险类型及危害分析</w:t>
      </w:r>
    </w:p>
    <w:p w14:paraId="59342D6C">
      <w:pPr>
        <w:widowControl/>
        <w:spacing w:line="500" w:lineRule="exact"/>
        <w:ind w:firstLine="520" w:firstLineChars="200"/>
        <w:jc w:val="left"/>
        <w:rPr>
          <w:rFonts w:hint="default"/>
          <w:spacing w:val="10"/>
          <w:sz w:val="24"/>
          <w:lang w:val="en-US" w:bidi="zh-CN"/>
        </w:rPr>
      </w:pPr>
      <w:r>
        <w:rPr>
          <w:rFonts w:hint="default"/>
          <w:spacing w:val="10"/>
          <w:sz w:val="24"/>
          <w:lang w:val="en-US" w:bidi="zh-CN"/>
        </w:rPr>
        <w:t>根据项目风险源位置、涉及风险物质的实际情况，分析可能引发或次生风险事件的情景。详见表</w:t>
      </w:r>
      <w:r>
        <w:rPr>
          <w:rFonts w:hint="eastAsia"/>
          <w:spacing w:val="10"/>
          <w:sz w:val="24"/>
          <w:lang w:val="en-US" w:bidi="zh-CN"/>
        </w:rPr>
        <w:t>5.1-5</w:t>
      </w:r>
      <w:r>
        <w:rPr>
          <w:rFonts w:hint="default"/>
          <w:spacing w:val="10"/>
          <w:sz w:val="24"/>
          <w:lang w:val="en-US" w:bidi="zh-CN"/>
        </w:rPr>
        <w:t>。</w:t>
      </w:r>
    </w:p>
    <w:p w14:paraId="76515658">
      <w:pPr>
        <w:widowControl/>
        <w:spacing w:line="500" w:lineRule="exact"/>
        <w:ind w:firstLine="520" w:firstLineChars="200"/>
        <w:jc w:val="left"/>
        <w:rPr>
          <w:rFonts w:hint="default"/>
          <w:spacing w:val="10"/>
          <w:sz w:val="24"/>
          <w:lang w:val="en-US" w:bidi="zh-CN"/>
        </w:rPr>
      </w:pPr>
    </w:p>
    <w:p w14:paraId="40E09DB4">
      <w:pPr>
        <w:keepNext/>
        <w:keepLines/>
        <w:widowControl/>
        <w:tabs>
          <w:tab w:val="left" w:pos="795"/>
        </w:tabs>
        <w:spacing w:line="500" w:lineRule="exact"/>
        <w:ind w:left="795"/>
        <w:jc w:val="center"/>
        <w:outlineLvl w:val="3"/>
        <w:rPr>
          <w:rFonts w:hint="default"/>
          <w:spacing w:val="10"/>
          <w:sz w:val="24"/>
          <w:lang w:val="en-US" w:bidi="zh-CN"/>
        </w:rPr>
      </w:pPr>
      <w:r>
        <w:rPr>
          <w:rFonts w:hint="eastAsia"/>
          <w:b/>
          <w:kern w:val="0"/>
          <w:sz w:val="24"/>
          <w:lang w:val="en-US"/>
        </w:rPr>
        <w:t>表5.1-5 可能发生的环境风险事故</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1"/>
        <w:gridCol w:w="2097"/>
        <w:gridCol w:w="2797"/>
        <w:gridCol w:w="2955"/>
      </w:tblGrid>
      <w:tr w14:paraId="21A0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8" w:type="pct"/>
            <w:noWrap w:val="0"/>
            <w:vAlign w:val="center"/>
          </w:tcPr>
          <w:p w14:paraId="5C16F0F6">
            <w:pPr>
              <w:pStyle w:val="88"/>
              <w:spacing w:line="240" w:lineRule="exact"/>
              <w:ind w:firstLine="0" w:firstLineChars="0"/>
              <w:jc w:val="center"/>
              <w:rPr>
                <w:sz w:val="21"/>
                <w:szCs w:val="21"/>
              </w:rPr>
            </w:pPr>
            <w:r>
              <w:rPr>
                <w:rFonts w:hint="eastAsia"/>
                <w:sz w:val="21"/>
                <w:szCs w:val="21"/>
              </w:rPr>
              <w:t>突发事故</w:t>
            </w:r>
          </w:p>
        </w:tc>
        <w:tc>
          <w:tcPr>
            <w:tcW w:w="1157" w:type="pct"/>
            <w:noWrap w:val="0"/>
            <w:vAlign w:val="center"/>
          </w:tcPr>
          <w:p w14:paraId="11BD68B5">
            <w:pPr>
              <w:pStyle w:val="88"/>
              <w:spacing w:line="240" w:lineRule="exact"/>
              <w:ind w:firstLine="0" w:firstLineChars="0"/>
              <w:jc w:val="center"/>
              <w:rPr>
                <w:sz w:val="21"/>
                <w:szCs w:val="21"/>
              </w:rPr>
            </w:pPr>
            <w:r>
              <w:rPr>
                <w:rFonts w:hint="eastAsia"/>
                <w:sz w:val="21"/>
                <w:szCs w:val="21"/>
              </w:rPr>
              <w:t>风险类型</w:t>
            </w:r>
          </w:p>
        </w:tc>
        <w:tc>
          <w:tcPr>
            <w:tcW w:w="1543" w:type="pct"/>
            <w:noWrap w:val="0"/>
            <w:vAlign w:val="center"/>
          </w:tcPr>
          <w:p w14:paraId="30779BC2">
            <w:pPr>
              <w:pStyle w:val="88"/>
              <w:spacing w:line="240" w:lineRule="exact"/>
              <w:ind w:firstLine="0" w:firstLineChars="0"/>
              <w:jc w:val="center"/>
              <w:rPr>
                <w:sz w:val="21"/>
                <w:szCs w:val="21"/>
              </w:rPr>
            </w:pPr>
            <w:r>
              <w:rPr>
                <w:rFonts w:hint="eastAsia"/>
                <w:sz w:val="21"/>
                <w:szCs w:val="21"/>
              </w:rPr>
              <w:t>发生原因</w:t>
            </w:r>
          </w:p>
        </w:tc>
        <w:tc>
          <w:tcPr>
            <w:tcW w:w="1630" w:type="pct"/>
            <w:noWrap w:val="0"/>
            <w:vAlign w:val="center"/>
          </w:tcPr>
          <w:p w14:paraId="78C72634">
            <w:pPr>
              <w:pStyle w:val="88"/>
              <w:spacing w:line="240" w:lineRule="exact"/>
              <w:ind w:firstLine="0" w:firstLineChars="0"/>
              <w:jc w:val="center"/>
              <w:rPr>
                <w:sz w:val="21"/>
                <w:szCs w:val="21"/>
              </w:rPr>
            </w:pPr>
            <w:r>
              <w:rPr>
                <w:sz w:val="21"/>
                <w:szCs w:val="21"/>
              </w:rPr>
              <w:t>危险物质向环境转移</w:t>
            </w:r>
          </w:p>
          <w:p w14:paraId="01908C4C">
            <w:pPr>
              <w:pStyle w:val="88"/>
              <w:spacing w:line="240" w:lineRule="exact"/>
              <w:ind w:firstLine="0" w:firstLineChars="0"/>
              <w:jc w:val="center"/>
              <w:rPr>
                <w:sz w:val="21"/>
                <w:szCs w:val="21"/>
              </w:rPr>
            </w:pPr>
            <w:r>
              <w:rPr>
                <w:sz w:val="21"/>
                <w:szCs w:val="21"/>
              </w:rPr>
              <w:t>的可能途径</w:t>
            </w:r>
          </w:p>
        </w:tc>
      </w:tr>
      <w:tr w14:paraId="675D1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8" w:type="pct"/>
            <w:noWrap w:val="0"/>
            <w:vAlign w:val="center"/>
          </w:tcPr>
          <w:p w14:paraId="08AD084F">
            <w:pPr>
              <w:pStyle w:val="88"/>
              <w:spacing w:line="240" w:lineRule="exact"/>
              <w:ind w:left="0" w:leftChars="0" w:right="0" w:rightChars="0" w:firstLine="0" w:firstLineChars="0"/>
              <w:jc w:val="center"/>
              <w:rPr>
                <w:sz w:val="21"/>
                <w:szCs w:val="21"/>
              </w:rPr>
            </w:pPr>
            <w:r>
              <w:rPr>
                <w:rFonts w:hint="eastAsia"/>
                <w:sz w:val="21"/>
                <w:szCs w:val="21"/>
              </w:rPr>
              <w:t>危险物质泄漏</w:t>
            </w:r>
            <w:r>
              <w:rPr>
                <w:sz w:val="21"/>
                <w:szCs w:val="21"/>
              </w:rPr>
              <w:t>事故</w:t>
            </w:r>
          </w:p>
        </w:tc>
        <w:tc>
          <w:tcPr>
            <w:tcW w:w="1157" w:type="pct"/>
            <w:noWrap w:val="0"/>
            <w:vAlign w:val="center"/>
          </w:tcPr>
          <w:p w14:paraId="300032B5">
            <w:pPr>
              <w:pStyle w:val="88"/>
              <w:spacing w:line="240" w:lineRule="exact"/>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醋酸中间罐</w:t>
            </w:r>
            <w:r>
              <w:rPr>
                <w:rFonts w:hint="eastAsia"/>
                <w:sz w:val="21"/>
                <w:szCs w:val="21"/>
              </w:rPr>
              <w:t>醋酸泄漏</w:t>
            </w:r>
            <w:r>
              <w:rPr>
                <w:rFonts w:hint="eastAsia"/>
                <w:sz w:val="21"/>
                <w:szCs w:val="21"/>
                <w:lang w:eastAsia="zh-CN"/>
              </w:rPr>
              <w:t>、</w:t>
            </w:r>
            <w:r>
              <w:rPr>
                <w:rFonts w:hint="eastAsia"/>
                <w:sz w:val="21"/>
                <w:szCs w:val="21"/>
                <w:u w:val="single"/>
                <w:lang w:val="en-US" w:eastAsia="zh-CN"/>
              </w:rPr>
              <w:t>废液罐废液泄漏</w:t>
            </w:r>
          </w:p>
        </w:tc>
        <w:tc>
          <w:tcPr>
            <w:tcW w:w="1543" w:type="pct"/>
            <w:noWrap w:val="0"/>
            <w:vAlign w:val="center"/>
          </w:tcPr>
          <w:p w14:paraId="3E8B7414">
            <w:pPr>
              <w:pStyle w:val="88"/>
              <w:spacing w:line="240" w:lineRule="exact"/>
              <w:ind w:left="0" w:leftChars="0" w:right="0" w:rightChars="0" w:firstLine="0" w:firstLineChars="0"/>
              <w:jc w:val="center"/>
              <w:rPr>
                <w:sz w:val="21"/>
                <w:szCs w:val="21"/>
              </w:rPr>
            </w:pPr>
            <w:r>
              <w:rPr>
                <w:rFonts w:hint="eastAsia"/>
                <w:sz w:val="21"/>
                <w:szCs w:val="21"/>
              </w:rPr>
              <w:t>①</w:t>
            </w:r>
            <w:r>
              <w:rPr>
                <w:sz w:val="21"/>
                <w:szCs w:val="21"/>
              </w:rPr>
              <w:t>生产过程各工艺系统和设备故障，或储罐损坏</w:t>
            </w:r>
            <w:r>
              <w:rPr>
                <w:rFonts w:hint="eastAsia"/>
                <w:sz w:val="21"/>
                <w:szCs w:val="21"/>
              </w:rPr>
              <w:t>泄漏</w:t>
            </w:r>
            <w:r>
              <w:rPr>
                <w:sz w:val="21"/>
                <w:szCs w:val="21"/>
              </w:rPr>
              <w:t>；</w:t>
            </w:r>
            <w:r>
              <w:rPr>
                <w:rFonts w:hint="eastAsia"/>
                <w:sz w:val="21"/>
                <w:szCs w:val="21"/>
              </w:rPr>
              <w:t>②</w:t>
            </w:r>
            <w:r>
              <w:rPr>
                <w:sz w:val="21"/>
                <w:szCs w:val="21"/>
              </w:rPr>
              <w:t>管道密封性损坏引发</w:t>
            </w:r>
            <w:r>
              <w:rPr>
                <w:rFonts w:hint="eastAsia"/>
                <w:sz w:val="21"/>
                <w:szCs w:val="21"/>
              </w:rPr>
              <w:t>泄漏</w:t>
            </w:r>
            <w:r>
              <w:rPr>
                <w:sz w:val="21"/>
                <w:szCs w:val="21"/>
              </w:rPr>
              <w:t>。</w:t>
            </w:r>
          </w:p>
        </w:tc>
        <w:tc>
          <w:tcPr>
            <w:tcW w:w="1630" w:type="pct"/>
            <w:noWrap w:val="0"/>
            <w:vAlign w:val="center"/>
          </w:tcPr>
          <w:p w14:paraId="69090AEF">
            <w:pPr>
              <w:pStyle w:val="88"/>
              <w:spacing w:line="240" w:lineRule="exact"/>
              <w:ind w:firstLine="0" w:firstLineChars="0"/>
              <w:rPr>
                <w:sz w:val="21"/>
                <w:szCs w:val="21"/>
              </w:rPr>
            </w:pPr>
            <w:r>
              <w:rPr>
                <w:rFonts w:hint="eastAsia"/>
                <w:sz w:val="21"/>
                <w:szCs w:val="21"/>
              </w:rPr>
              <w:t>①物质挥发</w:t>
            </w:r>
            <w:r>
              <w:rPr>
                <w:sz w:val="21"/>
                <w:szCs w:val="21"/>
              </w:rPr>
              <w:t>对厂区或周围大气环境质量产生不利影响；</w:t>
            </w:r>
            <w:r>
              <w:rPr>
                <w:rFonts w:hint="eastAsia"/>
                <w:sz w:val="21"/>
                <w:szCs w:val="21"/>
              </w:rPr>
              <w:t>②液体</w:t>
            </w:r>
            <w:r>
              <w:rPr>
                <w:sz w:val="21"/>
                <w:szCs w:val="21"/>
              </w:rPr>
              <w:t>泄漏物料</w:t>
            </w:r>
            <w:r>
              <w:rPr>
                <w:rFonts w:hint="eastAsia"/>
                <w:sz w:val="21"/>
                <w:szCs w:val="21"/>
              </w:rPr>
              <w:t>在</w:t>
            </w:r>
            <w:r>
              <w:rPr>
                <w:sz w:val="21"/>
                <w:szCs w:val="21"/>
              </w:rPr>
              <w:t>三级防控下被截留在</w:t>
            </w:r>
            <w:r>
              <w:rPr>
                <w:rFonts w:hint="eastAsia"/>
                <w:sz w:val="21"/>
                <w:szCs w:val="21"/>
              </w:rPr>
              <w:t>厂区</w:t>
            </w:r>
            <w:r>
              <w:rPr>
                <w:sz w:val="21"/>
                <w:szCs w:val="21"/>
              </w:rPr>
              <w:t>内，不向外扩散，</w:t>
            </w:r>
            <w:r>
              <w:rPr>
                <w:rFonts w:hint="eastAsia"/>
                <w:sz w:val="21"/>
                <w:szCs w:val="21"/>
              </w:rPr>
              <w:t>且能够快速清理，</w:t>
            </w:r>
            <w:r>
              <w:rPr>
                <w:sz w:val="21"/>
                <w:szCs w:val="21"/>
              </w:rPr>
              <w:t>对</w:t>
            </w:r>
            <w:r>
              <w:rPr>
                <w:rFonts w:hint="eastAsia"/>
                <w:sz w:val="21"/>
                <w:szCs w:val="21"/>
              </w:rPr>
              <w:t>地表水、地下水、土壤等</w:t>
            </w:r>
            <w:r>
              <w:rPr>
                <w:sz w:val="21"/>
                <w:szCs w:val="21"/>
              </w:rPr>
              <w:t>外界影响不大。</w:t>
            </w:r>
          </w:p>
        </w:tc>
      </w:tr>
      <w:tr w14:paraId="5C72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8" w:type="pct"/>
            <w:noWrap w:val="0"/>
            <w:vAlign w:val="center"/>
          </w:tcPr>
          <w:p w14:paraId="3FFD85B3">
            <w:pPr>
              <w:pStyle w:val="88"/>
              <w:spacing w:line="240" w:lineRule="exact"/>
              <w:ind w:left="0" w:leftChars="0" w:right="0" w:rightChars="0" w:firstLine="0" w:firstLineChars="0"/>
              <w:jc w:val="center"/>
              <w:rPr>
                <w:rFonts w:hint="eastAsia"/>
                <w:sz w:val="21"/>
                <w:szCs w:val="21"/>
              </w:rPr>
            </w:pPr>
            <w:r>
              <w:rPr>
                <w:rFonts w:hint="eastAsia"/>
                <w:sz w:val="21"/>
                <w:szCs w:val="21"/>
              </w:rPr>
              <w:t>火灾爆炸次生污染事故</w:t>
            </w:r>
          </w:p>
        </w:tc>
        <w:tc>
          <w:tcPr>
            <w:tcW w:w="1157" w:type="pct"/>
            <w:noWrap w:val="0"/>
            <w:vAlign w:val="center"/>
          </w:tcPr>
          <w:p w14:paraId="3359E311">
            <w:pPr>
              <w:pStyle w:val="88"/>
              <w:spacing w:line="240" w:lineRule="exact"/>
              <w:ind w:left="0" w:leftChars="0" w:right="0" w:rightChars="0" w:firstLine="0" w:firstLineChars="0"/>
              <w:jc w:val="center"/>
              <w:rPr>
                <w:rFonts w:hint="eastAsia"/>
                <w:sz w:val="21"/>
                <w:szCs w:val="21"/>
              </w:rPr>
            </w:pPr>
            <w:r>
              <w:rPr>
                <w:rFonts w:hint="eastAsia"/>
                <w:sz w:val="21"/>
                <w:szCs w:val="21"/>
              </w:rPr>
              <w:t>①火灾爆炸产生的次生污染物污染周边大气；②消防废水排放</w:t>
            </w:r>
          </w:p>
        </w:tc>
        <w:tc>
          <w:tcPr>
            <w:tcW w:w="1543" w:type="pct"/>
            <w:noWrap w:val="0"/>
            <w:vAlign w:val="center"/>
          </w:tcPr>
          <w:p w14:paraId="559F1CED">
            <w:pPr>
              <w:pStyle w:val="88"/>
              <w:spacing w:line="240" w:lineRule="exact"/>
              <w:ind w:left="0" w:leftChars="0" w:right="0" w:rightChars="0" w:firstLine="0" w:firstLineChars="0"/>
              <w:jc w:val="center"/>
              <w:rPr>
                <w:rFonts w:hint="eastAsia"/>
                <w:sz w:val="21"/>
                <w:szCs w:val="21"/>
              </w:rPr>
            </w:pPr>
            <w:r>
              <w:rPr>
                <w:rFonts w:hint="eastAsia"/>
                <w:sz w:val="21"/>
                <w:szCs w:val="21"/>
              </w:rPr>
              <w:t>易燃易爆风险物质发生泄漏后遇明火</w:t>
            </w:r>
          </w:p>
        </w:tc>
        <w:tc>
          <w:tcPr>
            <w:tcW w:w="1630" w:type="pct"/>
            <w:noWrap w:val="0"/>
            <w:vAlign w:val="center"/>
          </w:tcPr>
          <w:p w14:paraId="5BA07DFC">
            <w:pPr>
              <w:pStyle w:val="88"/>
              <w:spacing w:line="240" w:lineRule="exact"/>
              <w:ind w:left="0" w:leftChars="0" w:right="0" w:rightChars="0" w:firstLine="0" w:firstLineChars="0"/>
              <w:jc w:val="center"/>
              <w:rPr>
                <w:rFonts w:hint="eastAsia"/>
                <w:sz w:val="21"/>
                <w:szCs w:val="21"/>
              </w:rPr>
            </w:pPr>
            <w:r>
              <w:rPr>
                <w:rFonts w:hint="eastAsia"/>
                <w:sz w:val="21"/>
                <w:szCs w:val="21"/>
              </w:rPr>
              <w:t>①污染厂区内/厂区周围环境空气质量；</w:t>
            </w:r>
          </w:p>
          <w:p w14:paraId="0D2FF7F4">
            <w:pPr>
              <w:pStyle w:val="88"/>
              <w:spacing w:line="240" w:lineRule="exact"/>
              <w:ind w:left="0" w:leftChars="0" w:right="0" w:rightChars="0" w:firstLine="0" w:firstLineChars="0"/>
              <w:jc w:val="center"/>
              <w:rPr>
                <w:rFonts w:hint="eastAsia"/>
                <w:sz w:val="21"/>
                <w:szCs w:val="21"/>
              </w:rPr>
            </w:pPr>
            <w:r>
              <w:rPr>
                <w:rFonts w:hint="eastAsia"/>
                <w:sz w:val="21"/>
                <w:szCs w:val="21"/>
              </w:rPr>
              <w:t>②消防废水在三级防控下及时收集在消防水池，不向外扩散，对外界影响不大</w:t>
            </w:r>
          </w:p>
        </w:tc>
      </w:tr>
    </w:tbl>
    <w:p w14:paraId="4258508C">
      <w:pPr>
        <w:keepNext/>
        <w:keepLines/>
        <w:widowControl/>
        <w:numPr>
          <w:ilvl w:val="0"/>
          <w:numId w:val="15"/>
        </w:numPr>
        <w:spacing w:before="126" w:after="126" w:line="500" w:lineRule="exact"/>
        <w:jc w:val="left"/>
        <w:outlineLvl w:val="2"/>
        <w:rPr>
          <w:b/>
          <w:bCs/>
          <w:kern w:val="0"/>
          <w:sz w:val="24"/>
        </w:rPr>
      </w:pPr>
      <w:bookmarkStart w:id="61" w:name="_Toc144992670"/>
      <w:bookmarkStart w:id="62" w:name="_Toc22273"/>
      <w:r>
        <w:rPr>
          <w:b/>
          <w:bCs/>
          <w:kern w:val="0"/>
          <w:sz w:val="24"/>
        </w:rPr>
        <w:t>风险识别结果</w:t>
      </w:r>
      <w:bookmarkEnd w:id="61"/>
      <w:bookmarkEnd w:id="62"/>
    </w:p>
    <w:p w14:paraId="1AC68ED0">
      <w:pPr>
        <w:widowControl/>
        <w:spacing w:line="500" w:lineRule="exact"/>
        <w:ind w:firstLine="480" w:firstLineChars="200"/>
        <w:jc w:val="left"/>
        <w:rPr>
          <w:kern w:val="0"/>
          <w:sz w:val="24"/>
        </w:rPr>
      </w:pPr>
      <w:r>
        <w:rPr>
          <w:kern w:val="0"/>
          <w:sz w:val="24"/>
        </w:rPr>
        <w:t>综上分析，项目环境风险识别结果见表5.1-</w:t>
      </w:r>
      <w:r>
        <w:rPr>
          <w:rFonts w:hint="eastAsia"/>
          <w:kern w:val="0"/>
          <w:sz w:val="24"/>
          <w:lang w:val="en-US" w:eastAsia="zh-CN"/>
        </w:rPr>
        <w:t>6</w:t>
      </w:r>
      <w:r>
        <w:rPr>
          <w:kern w:val="0"/>
          <w:sz w:val="24"/>
        </w:rPr>
        <w:t>。</w:t>
      </w:r>
    </w:p>
    <w:p w14:paraId="285FE5E4">
      <w:pPr>
        <w:keepNext/>
        <w:keepLines/>
        <w:widowControl/>
        <w:tabs>
          <w:tab w:val="left" w:pos="795"/>
        </w:tabs>
        <w:spacing w:line="500" w:lineRule="exact"/>
        <w:ind w:left="795"/>
        <w:jc w:val="center"/>
        <w:outlineLvl w:val="3"/>
        <w:rPr>
          <w:b/>
          <w:kern w:val="0"/>
          <w:sz w:val="24"/>
        </w:rPr>
      </w:pPr>
      <w:r>
        <w:rPr>
          <w:b/>
          <w:kern w:val="0"/>
          <w:sz w:val="24"/>
        </w:rPr>
        <w:t>表5.1-</w:t>
      </w:r>
      <w:r>
        <w:rPr>
          <w:rFonts w:hint="eastAsia"/>
          <w:b/>
          <w:kern w:val="0"/>
          <w:sz w:val="24"/>
          <w:lang w:val="en-US" w:eastAsia="zh-CN"/>
        </w:rPr>
        <w:t>6</w:t>
      </w:r>
      <w:r>
        <w:rPr>
          <w:b/>
          <w:kern w:val="0"/>
          <w:sz w:val="24"/>
        </w:rPr>
        <w:t xml:space="preserve">  项目环境风险识别表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3"/>
        <w:gridCol w:w="1085"/>
        <w:gridCol w:w="1092"/>
        <w:gridCol w:w="1491"/>
        <w:gridCol w:w="1221"/>
        <w:gridCol w:w="1085"/>
        <w:gridCol w:w="1052"/>
        <w:gridCol w:w="1531"/>
      </w:tblGrid>
      <w:tr w14:paraId="17F4A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atLeast"/>
        </w:trPr>
        <w:tc>
          <w:tcPr>
            <w:tcW w:w="277" w:type="pct"/>
            <w:tcBorders>
              <w:top w:val="single" w:color="000000" w:sz="4" w:space="0"/>
              <w:left w:val="single" w:color="000000" w:sz="4" w:space="0"/>
              <w:bottom w:val="single" w:color="000000" w:sz="4" w:space="0"/>
              <w:right w:val="single" w:color="000000" w:sz="4" w:space="0"/>
            </w:tcBorders>
            <w:noWrap w:val="0"/>
            <w:vAlign w:val="center"/>
          </w:tcPr>
          <w:p w14:paraId="597030BA">
            <w:pPr>
              <w:pStyle w:val="88"/>
              <w:spacing w:line="240" w:lineRule="exact"/>
              <w:ind w:firstLine="0" w:firstLineChars="0"/>
              <w:jc w:val="center"/>
              <w:rPr>
                <w:sz w:val="21"/>
                <w:szCs w:val="21"/>
              </w:rPr>
            </w:pPr>
            <w:r>
              <w:rPr>
                <w:sz w:val="21"/>
                <w:szCs w:val="21"/>
              </w:rPr>
              <w:t>序号</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14:paraId="077C2F2E">
            <w:pPr>
              <w:pStyle w:val="88"/>
              <w:spacing w:line="240" w:lineRule="exact"/>
              <w:ind w:firstLine="0" w:firstLineChars="0"/>
              <w:jc w:val="center"/>
              <w:rPr>
                <w:sz w:val="21"/>
                <w:szCs w:val="21"/>
              </w:rPr>
            </w:pPr>
            <w:r>
              <w:rPr>
                <w:sz w:val="21"/>
                <w:szCs w:val="21"/>
              </w:rPr>
              <w:t>危险单元</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14:paraId="666F28C9">
            <w:pPr>
              <w:pStyle w:val="88"/>
              <w:spacing w:line="240" w:lineRule="exact"/>
              <w:ind w:firstLine="0" w:firstLineChars="0"/>
              <w:jc w:val="center"/>
              <w:rPr>
                <w:sz w:val="21"/>
                <w:szCs w:val="21"/>
              </w:rPr>
            </w:pPr>
            <w:r>
              <w:rPr>
                <w:sz w:val="21"/>
                <w:szCs w:val="21"/>
              </w:rPr>
              <w:t>风险源</w:t>
            </w:r>
          </w:p>
        </w:tc>
        <w:tc>
          <w:tcPr>
            <w:tcW w:w="822" w:type="pct"/>
            <w:tcBorders>
              <w:top w:val="single" w:color="000000" w:sz="4" w:space="0"/>
              <w:left w:val="single" w:color="000000" w:sz="4" w:space="0"/>
              <w:bottom w:val="single" w:color="000000" w:sz="4" w:space="0"/>
              <w:right w:val="single" w:color="000000" w:sz="4" w:space="0"/>
            </w:tcBorders>
            <w:noWrap w:val="0"/>
            <w:vAlign w:val="center"/>
          </w:tcPr>
          <w:p w14:paraId="7B72E63D">
            <w:pPr>
              <w:pStyle w:val="88"/>
              <w:spacing w:line="240" w:lineRule="exact"/>
              <w:ind w:firstLine="0" w:firstLineChars="0"/>
              <w:jc w:val="center"/>
              <w:rPr>
                <w:sz w:val="21"/>
                <w:szCs w:val="21"/>
              </w:rPr>
            </w:pPr>
            <w:r>
              <w:rPr>
                <w:sz w:val="21"/>
                <w:szCs w:val="21"/>
              </w:rPr>
              <w:t>主要危险物质</w:t>
            </w:r>
          </w:p>
        </w:tc>
        <w:tc>
          <w:tcPr>
            <w:tcW w:w="673" w:type="pct"/>
            <w:tcBorders>
              <w:top w:val="single" w:color="000000" w:sz="4" w:space="0"/>
              <w:left w:val="single" w:color="000000" w:sz="4" w:space="0"/>
              <w:bottom w:val="single" w:color="000000" w:sz="4" w:space="0"/>
              <w:right w:val="single" w:color="000000" w:sz="4" w:space="0"/>
            </w:tcBorders>
            <w:noWrap w:val="0"/>
            <w:vAlign w:val="center"/>
          </w:tcPr>
          <w:p w14:paraId="5674BEEC">
            <w:pPr>
              <w:pStyle w:val="88"/>
              <w:spacing w:line="240" w:lineRule="exact"/>
              <w:ind w:firstLine="0" w:firstLineChars="0"/>
              <w:jc w:val="center"/>
              <w:rPr>
                <w:sz w:val="21"/>
                <w:szCs w:val="21"/>
              </w:rPr>
            </w:pPr>
            <w:r>
              <w:rPr>
                <w:sz w:val="21"/>
                <w:szCs w:val="21"/>
              </w:rPr>
              <w:t>环境风险类型</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14:paraId="66E2AF3A">
            <w:pPr>
              <w:pStyle w:val="88"/>
              <w:spacing w:line="240" w:lineRule="exact"/>
              <w:ind w:firstLine="0" w:firstLineChars="0"/>
              <w:jc w:val="center"/>
              <w:rPr>
                <w:sz w:val="21"/>
                <w:szCs w:val="21"/>
              </w:rPr>
            </w:pPr>
            <w:r>
              <w:rPr>
                <w:sz w:val="21"/>
                <w:szCs w:val="21"/>
              </w:rPr>
              <w:t>环境影响途径</w:t>
            </w:r>
          </w:p>
        </w:tc>
        <w:tc>
          <w:tcPr>
            <w:tcW w:w="580" w:type="pct"/>
            <w:tcBorders>
              <w:top w:val="single" w:color="000000" w:sz="4" w:space="0"/>
              <w:left w:val="single" w:color="000000" w:sz="4" w:space="0"/>
              <w:bottom w:val="single" w:color="000000" w:sz="4" w:space="0"/>
              <w:right w:val="single" w:color="000000" w:sz="4" w:space="0"/>
            </w:tcBorders>
            <w:noWrap w:val="0"/>
            <w:vAlign w:val="center"/>
          </w:tcPr>
          <w:p w14:paraId="78AA6055">
            <w:pPr>
              <w:pStyle w:val="88"/>
              <w:spacing w:line="240" w:lineRule="exact"/>
              <w:ind w:firstLine="0" w:firstLineChars="0"/>
              <w:jc w:val="center"/>
              <w:rPr>
                <w:sz w:val="21"/>
                <w:szCs w:val="21"/>
              </w:rPr>
            </w:pPr>
            <w:r>
              <w:rPr>
                <w:sz w:val="21"/>
                <w:szCs w:val="21"/>
              </w:rPr>
              <w:t>可能受影响的环境敏感目标</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14:paraId="5B2BE605">
            <w:pPr>
              <w:pStyle w:val="88"/>
              <w:spacing w:line="240" w:lineRule="exact"/>
              <w:ind w:firstLine="0" w:firstLineChars="0"/>
              <w:jc w:val="center"/>
              <w:rPr>
                <w:sz w:val="21"/>
                <w:szCs w:val="21"/>
              </w:rPr>
            </w:pPr>
            <w:r>
              <w:rPr>
                <w:sz w:val="21"/>
                <w:szCs w:val="21"/>
              </w:rPr>
              <w:t>备注</w:t>
            </w:r>
          </w:p>
        </w:tc>
      </w:tr>
      <w:tr w14:paraId="5A985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277" w:type="pct"/>
            <w:tcBorders>
              <w:top w:val="single" w:color="000000" w:sz="4" w:space="0"/>
              <w:left w:val="single" w:color="000000" w:sz="4" w:space="0"/>
              <w:bottom w:val="single" w:color="000000" w:sz="4" w:space="0"/>
              <w:right w:val="single" w:color="000000" w:sz="4" w:space="0"/>
            </w:tcBorders>
            <w:noWrap w:val="0"/>
            <w:vAlign w:val="center"/>
          </w:tcPr>
          <w:p w14:paraId="2AECD64B">
            <w:pPr>
              <w:pStyle w:val="88"/>
              <w:spacing w:line="240" w:lineRule="exact"/>
              <w:ind w:firstLine="0" w:firstLineChars="0"/>
              <w:jc w:val="center"/>
              <w:rPr>
                <w:rFonts w:hint="eastAsia"/>
                <w:sz w:val="21"/>
                <w:szCs w:val="21"/>
              </w:rPr>
            </w:pPr>
            <w:r>
              <w:rPr>
                <w:rFonts w:hint="eastAsia"/>
                <w:sz w:val="21"/>
                <w:szCs w:val="21"/>
              </w:rPr>
              <w:t>1</w:t>
            </w:r>
          </w:p>
        </w:tc>
        <w:tc>
          <w:tcPr>
            <w:tcW w:w="598" w:type="pct"/>
            <w:vMerge w:val="restart"/>
            <w:tcBorders>
              <w:top w:val="single" w:color="000000" w:sz="4" w:space="0"/>
              <w:left w:val="single" w:color="000000" w:sz="4" w:space="0"/>
              <w:right w:val="single" w:color="000000" w:sz="4" w:space="0"/>
            </w:tcBorders>
            <w:noWrap w:val="0"/>
            <w:vAlign w:val="center"/>
          </w:tcPr>
          <w:p w14:paraId="3C3219BB">
            <w:pPr>
              <w:pStyle w:val="88"/>
              <w:spacing w:line="240" w:lineRule="exact"/>
              <w:ind w:firstLine="0" w:firstLineChars="0"/>
              <w:jc w:val="center"/>
              <w:rPr>
                <w:rFonts w:hint="eastAsia" w:eastAsia="宋体"/>
                <w:sz w:val="21"/>
                <w:szCs w:val="21"/>
                <w:lang w:eastAsia="zh-CN"/>
              </w:rPr>
            </w:pPr>
            <w:r>
              <w:rPr>
                <w:rFonts w:hint="eastAsia"/>
                <w:sz w:val="21"/>
                <w:szCs w:val="21"/>
                <w:lang w:val="en-US" w:eastAsia="zh-CN"/>
              </w:rPr>
              <w:t>罐区</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14:paraId="20816149">
            <w:pPr>
              <w:pStyle w:val="88"/>
              <w:spacing w:line="240" w:lineRule="exact"/>
              <w:ind w:firstLine="0" w:firstLineChars="0"/>
              <w:jc w:val="center"/>
              <w:rPr>
                <w:rFonts w:hint="eastAsia" w:eastAsia="宋体"/>
                <w:sz w:val="21"/>
                <w:szCs w:val="21"/>
                <w:lang w:eastAsia="zh-CN"/>
              </w:rPr>
            </w:pPr>
            <w:r>
              <w:rPr>
                <w:rFonts w:hint="eastAsia"/>
                <w:sz w:val="21"/>
                <w:szCs w:val="21"/>
              </w:rPr>
              <w:t>醋酸</w:t>
            </w:r>
            <w:r>
              <w:rPr>
                <w:rFonts w:hint="eastAsia"/>
                <w:sz w:val="21"/>
                <w:szCs w:val="21"/>
                <w:lang w:val="en-US" w:eastAsia="zh-CN"/>
              </w:rPr>
              <w:t>中间罐</w:t>
            </w:r>
          </w:p>
        </w:tc>
        <w:tc>
          <w:tcPr>
            <w:tcW w:w="8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90EF3">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醋酸</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43D4F">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泄漏、火灾</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5B4AC">
            <w:pPr>
              <w:pStyle w:val="88"/>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sz w:val="21"/>
                <w:szCs w:val="21"/>
              </w:rPr>
              <w:t>大气</w:t>
            </w:r>
            <w:r>
              <w:rPr>
                <w:rFonts w:hint="eastAsia"/>
                <w:sz w:val="21"/>
                <w:szCs w:val="21"/>
              </w:rPr>
              <w:t>、地下水</w:t>
            </w:r>
            <w:r>
              <w:rPr>
                <w:rFonts w:hint="eastAsia"/>
                <w:sz w:val="21"/>
                <w:szCs w:val="21"/>
                <w:lang w:eastAsia="zh-CN"/>
              </w:rPr>
              <w:t>、</w:t>
            </w:r>
            <w:r>
              <w:rPr>
                <w:rFonts w:hint="eastAsia"/>
                <w:sz w:val="21"/>
                <w:szCs w:val="21"/>
                <w:lang w:val="en-US" w:eastAsia="zh-CN"/>
              </w:rPr>
              <w:t>土壤</w:t>
            </w:r>
          </w:p>
        </w:tc>
        <w:tc>
          <w:tcPr>
            <w:tcW w:w="580" w:type="pct"/>
            <w:tcBorders>
              <w:top w:val="single" w:color="000000" w:sz="4" w:space="0"/>
              <w:left w:val="single" w:color="000000" w:sz="4" w:space="0"/>
              <w:bottom w:val="single" w:color="000000" w:sz="4" w:space="0"/>
              <w:right w:val="single" w:color="000000" w:sz="4" w:space="0"/>
            </w:tcBorders>
            <w:noWrap w:val="0"/>
            <w:vAlign w:val="center"/>
          </w:tcPr>
          <w:p w14:paraId="33F92DDF">
            <w:pPr>
              <w:pStyle w:val="88"/>
              <w:spacing w:line="240" w:lineRule="exact"/>
              <w:ind w:firstLine="0" w:firstLineChars="0"/>
              <w:jc w:val="center"/>
              <w:rPr>
                <w:sz w:val="21"/>
                <w:szCs w:val="21"/>
              </w:rPr>
            </w:pPr>
            <w:r>
              <w:rPr>
                <w:rFonts w:hint="eastAsia"/>
                <w:sz w:val="21"/>
                <w:szCs w:val="21"/>
              </w:rPr>
              <w:t>周边居民、地下水</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14:paraId="64C56209">
            <w:pPr>
              <w:pStyle w:val="88"/>
              <w:spacing w:line="240" w:lineRule="exact"/>
              <w:ind w:firstLine="0" w:firstLineChars="0"/>
              <w:jc w:val="center"/>
              <w:rPr>
                <w:sz w:val="21"/>
                <w:szCs w:val="21"/>
              </w:rPr>
            </w:pPr>
            <w:r>
              <w:rPr>
                <w:sz w:val="21"/>
                <w:szCs w:val="21"/>
              </w:rPr>
              <w:t>重点风险源</w:t>
            </w:r>
          </w:p>
        </w:tc>
      </w:tr>
      <w:tr w14:paraId="49BC2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277" w:type="pct"/>
            <w:tcBorders>
              <w:top w:val="single" w:color="000000" w:sz="4" w:space="0"/>
              <w:left w:val="single" w:color="000000" w:sz="4" w:space="0"/>
              <w:bottom w:val="single" w:color="000000" w:sz="4" w:space="0"/>
              <w:right w:val="single" w:color="000000" w:sz="4" w:space="0"/>
            </w:tcBorders>
            <w:noWrap w:val="0"/>
            <w:vAlign w:val="center"/>
          </w:tcPr>
          <w:p w14:paraId="0CAF6CC3">
            <w:pPr>
              <w:pStyle w:val="88"/>
              <w:spacing w:line="240" w:lineRule="exact"/>
              <w:ind w:firstLine="0" w:firstLineChars="0"/>
              <w:jc w:val="center"/>
              <w:rPr>
                <w:rFonts w:hint="eastAsia" w:eastAsia="宋体"/>
                <w:sz w:val="21"/>
                <w:szCs w:val="21"/>
                <w:lang w:val="en-US" w:eastAsia="zh-CN"/>
              </w:rPr>
            </w:pPr>
            <w:r>
              <w:rPr>
                <w:rFonts w:hint="eastAsia"/>
                <w:sz w:val="21"/>
                <w:szCs w:val="21"/>
                <w:lang w:val="en-US" w:eastAsia="zh-CN"/>
              </w:rPr>
              <w:t>2</w:t>
            </w:r>
          </w:p>
        </w:tc>
        <w:tc>
          <w:tcPr>
            <w:tcW w:w="598" w:type="pct"/>
            <w:vMerge w:val="continue"/>
            <w:tcBorders>
              <w:left w:val="single" w:color="000000" w:sz="4" w:space="0"/>
              <w:right w:val="single" w:color="000000" w:sz="4" w:space="0"/>
            </w:tcBorders>
            <w:noWrap w:val="0"/>
            <w:vAlign w:val="center"/>
          </w:tcPr>
          <w:p w14:paraId="7AA0ED85">
            <w:pPr>
              <w:pStyle w:val="88"/>
              <w:spacing w:line="240" w:lineRule="exact"/>
              <w:ind w:firstLine="0" w:firstLineChars="0"/>
              <w:jc w:val="center"/>
              <w:rPr>
                <w:rFonts w:hint="eastAsia"/>
                <w:sz w:val="21"/>
                <w:szCs w:val="21"/>
              </w:rPr>
            </w:pPr>
          </w:p>
        </w:tc>
        <w:tc>
          <w:tcPr>
            <w:tcW w:w="602" w:type="pct"/>
            <w:tcBorders>
              <w:top w:val="single" w:color="000000" w:sz="4" w:space="0"/>
              <w:left w:val="single" w:color="000000" w:sz="4" w:space="0"/>
              <w:bottom w:val="single" w:color="000000" w:sz="4" w:space="0"/>
              <w:right w:val="single" w:color="000000" w:sz="4" w:space="0"/>
            </w:tcBorders>
            <w:noWrap w:val="0"/>
            <w:vAlign w:val="center"/>
          </w:tcPr>
          <w:p w14:paraId="6AA1300A">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丙酸罐</w:t>
            </w:r>
          </w:p>
        </w:tc>
        <w:tc>
          <w:tcPr>
            <w:tcW w:w="8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3C872">
            <w:pPr>
              <w:pStyle w:val="88"/>
              <w:spacing w:line="240" w:lineRule="exact"/>
              <w:ind w:firstLine="0" w:firstLineChars="0"/>
              <w:jc w:val="center"/>
              <w:rPr>
                <w:rFonts w:hint="eastAsia" w:eastAsia="宋体"/>
                <w:sz w:val="21"/>
                <w:szCs w:val="21"/>
                <w:lang w:val="en-US" w:eastAsia="zh-CN"/>
              </w:rPr>
            </w:pPr>
            <w:r>
              <w:rPr>
                <w:rFonts w:hint="eastAsia"/>
                <w:sz w:val="21"/>
                <w:szCs w:val="21"/>
                <w:lang w:val="en-US" w:eastAsia="zh-CN"/>
              </w:rPr>
              <w:t>丙酸</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D3A1C">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泄漏、火灾</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49DC7">
            <w:pPr>
              <w:pStyle w:val="88"/>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sz w:val="21"/>
                <w:szCs w:val="21"/>
              </w:rPr>
              <w:t>大气</w:t>
            </w:r>
            <w:r>
              <w:rPr>
                <w:rFonts w:hint="eastAsia"/>
                <w:sz w:val="21"/>
                <w:szCs w:val="21"/>
              </w:rPr>
              <w:t>、地下水</w:t>
            </w:r>
            <w:r>
              <w:rPr>
                <w:rFonts w:hint="eastAsia"/>
                <w:sz w:val="21"/>
                <w:szCs w:val="21"/>
                <w:lang w:eastAsia="zh-CN"/>
              </w:rPr>
              <w:t>、</w:t>
            </w:r>
            <w:r>
              <w:rPr>
                <w:rFonts w:hint="eastAsia"/>
                <w:sz w:val="21"/>
                <w:szCs w:val="21"/>
                <w:lang w:val="en-US" w:eastAsia="zh-CN"/>
              </w:rPr>
              <w:t>土壤</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4064B">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周边居民、地下水</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C5B20">
            <w:pPr>
              <w:pStyle w:val="88"/>
              <w:spacing w:line="240" w:lineRule="exact"/>
              <w:ind w:firstLine="0" w:firstLineChars="0"/>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非</w:t>
            </w:r>
            <w:r>
              <w:rPr>
                <w:sz w:val="21"/>
                <w:szCs w:val="21"/>
              </w:rPr>
              <w:t>重点风险源</w:t>
            </w:r>
          </w:p>
        </w:tc>
      </w:tr>
      <w:tr w14:paraId="78525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277" w:type="pct"/>
            <w:tcBorders>
              <w:top w:val="single" w:color="000000" w:sz="4" w:space="0"/>
              <w:left w:val="single" w:color="000000" w:sz="4" w:space="0"/>
              <w:bottom w:val="single" w:color="000000" w:sz="4" w:space="0"/>
              <w:right w:val="single" w:color="000000" w:sz="4" w:space="0"/>
            </w:tcBorders>
            <w:noWrap w:val="0"/>
            <w:vAlign w:val="center"/>
          </w:tcPr>
          <w:p w14:paraId="57E39240">
            <w:pPr>
              <w:pStyle w:val="88"/>
              <w:spacing w:line="240" w:lineRule="exact"/>
              <w:ind w:firstLine="0" w:firstLineChars="0"/>
              <w:jc w:val="center"/>
              <w:rPr>
                <w:rFonts w:hint="eastAsia" w:eastAsia="宋体"/>
                <w:sz w:val="21"/>
                <w:szCs w:val="21"/>
                <w:lang w:val="en-US" w:eastAsia="zh-CN"/>
              </w:rPr>
            </w:pPr>
            <w:r>
              <w:rPr>
                <w:rFonts w:hint="eastAsia"/>
                <w:sz w:val="21"/>
                <w:szCs w:val="21"/>
                <w:lang w:val="en-US" w:eastAsia="zh-CN"/>
              </w:rPr>
              <w:t>3</w:t>
            </w:r>
          </w:p>
        </w:tc>
        <w:tc>
          <w:tcPr>
            <w:tcW w:w="598" w:type="pct"/>
            <w:vMerge w:val="continue"/>
            <w:tcBorders>
              <w:left w:val="single" w:color="000000" w:sz="4" w:space="0"/>
              <w:bottom w:val="single" w:color="000000" w:sz="4" w:space="0"/>
              <w:right w:val="single" w:color="000000" w:sz="4" w:space="0"/>
            </w:tcBorders>
            <w:noWrap w:val="0"/>
            <w:vAlign w:val="center"/>
          </w:tcPr>
          <w:p w14:paraId="58943B99">
            <w:pPr>
              <w:pStyle w:val="88"/>
              <w:spacing w:line="240" w:lineRule="exact"/>
              <w:ind w:firstLine="0" w:firstLineChars="0"/>
              <w:jc w:val="center"/>
              <w:rPr>
                <w:rFonts w:hint="eastAsia"/>
                <w:sz w:val="21"/>
                <w:szCs w:val="21"/>
              </w:rPr>
            </w:pPr>
          </w:p>
        </w:tc>
        <w:tc>
          <w:tcPr>
            <w:tcW w:w="602" w:type="pct"/>
            <w:tcBorders>
              <w:top w:val="single" w:color="000000" w:sz="4" w:space="0"/>
              <w:left w:val="single" w:color="000000" w:sz="4" w:space="0"/>
              <w:bottom w:val="single" w:color="000000" w:sz="4" w:space="0"/>
              <w:right w:val="single" w:color="000000" w:sz="4" w:space="0"/>
            </w:tcBorders>
            <w:noWrap w:val="0"/>
            <w:vAlign w:val="center"/>
          </w:tcPr>
          <w:p w14:paraId="21644F71">
            <w:pPr>
              <w:pStyle w:val="88"/>
              <w:spacing w:line="240" w:lineRule="exact"/>
              <w:ind w:firstLine="0" w:firstLineChars="0"/>
              <w:jc w:val="center"/>
              <w:rPr>
                <w:rFonts w:hint="eastAsia" w:eastAsia="宋体"/>
                <w:sz w:val="21"/>
                <w:szCs w:val="21"/>
                <w:u w:val="single"/>
                <w:lang w:val="en-US" w:eastAsia="zh-CN"/>
              </w:rPr>
            </w:pPr>
            <w:r>
              <w:rPr>
                <w:rFonts w:hint="eastAsia"/>
                <w:sz w:val="21"/>
                <w:szCs w:val="21"/>
                <w:u w:val="single"/>
                <w:lang w:val="en-US" w:eastAsia="zh-CN"/>
              </w:rPr>
              <w:t>废液罐</w:t>
            </w:r>
          </w:p>
        </w:tc>
        <w:tc>
          <w:tcPr>
            <w:tcW w:w="8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9F45D">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丁酸、戊酸、腐蚀金属离子</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4DAE3">
            <w:pPr>
              <w:pStyle w:val="88"/>
              <w:spacing w:line="240" w:lineRule="exact"/>
              <w:ind w:firstLine="0" w:firstLineChars="0"/>
              <w:jc w:val="center"/>
              <w:rPr>
                <w:rFonts w:hint="eastAsia" w:ascii="Times New Roman" w:hAnsi="Times New Roman" w:eastAsia="宋体" w:cs="Times New Roman"/>
                <w:kern w:val="2"/>
                <w:sz w:val="21"/>
                <w:szCs w:val="21"/>
                <w:u w:val="single"/>
                <w:lang w:val="en-US" w:eastAsia="zh-CN" w:bidi="ar-SA"/>
              </w:rPr>
            </w:pPr>
            <w:r>
              <w:rPr>
                <w:sz w:val="21"/>
                <w:szCs w:val="21"/>
                <w:u w:val="single"/>
              </w:rPr>
              <w:t>泄漏、火灾</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5A34C">
            <w:pPr>
              <w:pStyle w:val="88"/>
              <w:spacing w:line="240" w:lineRule="exact"/>
              <w:ind w:firstLine="0" w:firstLineChars="0"/>
              <w:jc w:val="center"/>
              <w:rPr>
                <w:rFonts w:hint="eastAsia" w:ascii="Times New Roman" w:hAnsi="Times New Roman" w:eastAsia="宋体" w:cs="Times New Roman"/>
                <w:kern w:val="2"/>
                <w:sz w:val="21"/>
                <w:szCs w:val="21"/>
                <w:u w:val="single"/>
                <w:lang w:val="en-US" w:eastAsia="zh-CN" w:bidi="ar-SA"/>
              </w:rPr>
            </w:pPr>
            <w:r>
              <w:rPr>
                <w:sz w:val="21"/>
                <w:szCs w:val="21"/>
                <w:u w:val="single"/>
              </w:rPr>
              <w:t>大气</w:t>
            </w:r>
            <w:r>
              <w:rPr>
                <w:rFonts w:hint="eastAsia"/>
                <w:sz w:val="21"/>
                <w:szCs w:val="21"/>
                <w:u w:val="single"/>
              </w:rPr>
              <w:t>、地下水</w:t>
            </w:r>
            <w:r>
              <w:rPr>
                <w:rFonts w:hint="eastAsia"/>
                <w:sz w:val="21"/>
                <w:szCs w:val="21"/>
                <w:u w:val="single"/>
                <w:lang w:eastAsia="zh-CN"/>
              </w:rPr>
              <w:t>、</w:t>
            </w:r>
            <w:r>
              <w:rPr>
                <w:rFonts w:hint="eastAsia"/>
                <w:sz w:val="21"/>
                <w:szCs w:val="21"/>
                <w:u w:val="single"/>
                <w:lang w:val="en-US" w:eastAsia="zh-CN"/>
              </w:rPr>
              <w:t>土壤</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4333C">
            <w:pPr>
              <w:pStyle w:val="88"/>
              <w:spacing w:line="240" w:lineRule="exact"/>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周边居民、地下水</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A92BA">
            <w:pPr>
              <w:pStyle w:val="88"/>
              <w:spacing w:line="240" w:lineRule="exact"/>
              <w:ind w:firstLine="0" w:firstLineChars="0"/>
              <w:jc w:val="center"/>
              <w:rPr>
                <w:rFonts w:ascii="Times New Roman" w:hAnsi="Times New Roman" w:eastAsia="宋体" w:cs="Times New Roman"/>
                <w:kern w:val="2"/>
                <w:sz w:val="21"/>
                <w:szCs w:val="21"/>
                <w:u w:val="single"/>
                <w:lang w:val="en-US" w:eastAsia="zh-CN" w:bidi="ar-SA"/>
              </w:rPr>
            </w:pPr>
            <w:r>
              <w:rPr>
                <w:sz w:val="21"/>
                <w:szCs w:val="21"/>
                <w:u w:val="single"/>
              </w:rPr>
              <w:t>重点风险源</w:t>
            </w:r>
          </w:p>
        </w:tc>
      </w:tr>
      <w:tr w14:paraId="19510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277" w:type="pct"/>
            <w:tcBorders>
              <w:top w:val="single" w:color="000000" w:sz="4" w:space="0"/>
              <w:left w:val="single" w:color="000000" w:sz="4" w:space="0"/>
              <w:right w:val="single" w:color="000000" w:sz="4" w:space="0"/>
            </w:tcBorders>
            <w:noWrap w:val="0"/>
            <w:vAlign w:val="center"/>
          </w:tcPr>
          <w:p w14:paraId="1EEB7270">
            <w:pPr>
              <w:pStyle w:val="88"/>
              <w:spacing w:line="240" w:lineRule="exact"/>
              <w:ind w:firstLine="0" w:firstLineChars="0"/>
              <w:jc w:val="center"/>
              <w:rPr>
                <w:rFonts w:hint="eastAsia" w:eastAsia="宋体"/>
                <w:sz w:val="21"/>
                <w:szCs w:val="21"/>
                <w:lang w:val="en-US" w:eastAsia="zh-CN"/>
              </w:rPr>
            </w:pPr>
            <w:r>
              <w:rPr>
                <w:rFonts w:hint="eastAsia"/>
                <w:sz w:val="21"/>
                <w:szCs w:val="21"/>
                <w:lang w:val="en-US" w:eastAsia="zh-CN"/>
              </w:rPr>
              <w:t>4</w:t>
            </w:r>
          </w:p>
        </w:tc>
        <w:tc>
          <w:tcPr>
            <w:tcW w:w="598" w:type="pct"/>
            <w:tcBorders>
              <w:top w:val="single" w:color="000000" w:sz="4" w:space="0"/>
              <w:left w:val="single" w:color="000000" w:sz="4" w:space="0"/>
              <w:right w:val="single" w:color="000000" w:sz="4" w:space="0"/>
            </w:tcBorders>
            <w:noWrap w:val="0"/>
            <w:vAlign w:val="center"/>
          </w:tcPr>
          <w:p w14:paraId="2E5DD0DF">
            <w:pPr>
              <w:pStyle w:val="88"/>
              <w:spacing w:line="240" w:lineRule="exact"/>
              <w:ind w:firstLine="0" w:firstLineChars="0"/>
              <w:jc w:val="center"/>
              <w:rPr>
                <w:rFonts w:hint="eastAsia" w:eastAsia="宋体"/>
                <w:sz w:val="21"/>
                <w:szCs w:val="21"/>
                <w:lang w:val="en-US" w:eastAsia="zh-CN"/>
              </w:rPr>
            </w:pPr>
            <w:r>
              <w:rPr>
                <w:rFonts w:hint="eastAsia"/>
                <w:sz w:val="21"/>
                <w:szCs w:val="21"/>
                <w:lang w:val="en-US" w:eastAsia="zh-CN"/>
              </w:rPr>
              <w:t>装置区</w:t>
            </w:r>
          </w:p>
        </w:tc>
        <w:tc>
          <w:tcPr>
            <w:tcW w:w="602" w:type="pct"/>
            <w:tcBorders>
              <w:top w:val="single" w:color="000000" w:sz="4" w:space="0"/>
              <w:left w:val="single" w:color="000000" w:sz="4" w:space="0"/>
              <w:right w:val="single" w:color="000000" w:sz="4" w:space="0"/>
            </w:tcBorders>
            <w:noWrap w:val="0"/>
            <w:vAlign w:val="center"/>
          </w:tcPr>
          <w:p w14:paraId="32061EAB">
            <w:pPr>
              <w:pStyle w:val="88"/>
              <w:spacing w:line="240" w:lineRule="exact"/>
              <w:ind w:firstLine="0" w:firstLineChars="0"/>
              <w:jc w:val="center"/>
              <w:rPr>
                <w:rFonts w:hint="default"/>
                <w:sz w:val="21"/>
                <w:szCs w:val="21"/>
                <w:lang w:val="en-US" w:eastAsia="zh-CN"/>
              </w:rPr>
            </w:pPr>
            <w:r>
              <w:rPr>
                <w:rFonts w:hint="eastAsia"/>
                <w:sz w:val="21"/>
                <w:szCs w:val="21"/>
                <w:lang w:val="en-US" w:eastAsia="zh-CN"/>
              </w:rPr>
              <w:t>醋酸分离装置</w:t>
            </w:r>
          </w:p>
        </w:tc>
        <w:tc>
          <w:tcPr>
            <w:tcW w:w="8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E0F5D">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醋酸、丙酸、丁酸、戊酸</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615AA">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sz w:val="21"/>
                <w:szCs w:val="21"/>
              </w:rPr>
              <w:t>泄漏、火灾</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ED496">
            <w:pPr>
              <w:pStyle w:val="88"/>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sz w:val="21"/>
                <w:szCs w:val="21"/>
              </w:rPr>
              <w:t>大气</w:t>
            </w:r>
            <w:r>
              <w:rPr>
                <w:rFonts w:hint="eastAsia"/>
                <w:sz w:val="21"/>
                <w:szCs w:val="21"/>
              </w:rPr>
              <w:t>、地下水</w:t>
            </w:r>
            <w:r>
              <w:rPr>
                <w:rFonts w:hint="eastAsia"/>
                <w:sz w:val="21"/>
                <w:szCs w:val="21"/>
                <w:lang w:eastAsia="zh-CN"/>
              </w:rPr>
              <w:t>、</w:t>
            </w:r>
            <w:r>
              <w:rPr>
                <w:rFonts w:hint="eastAsia"/>
                <w:sz w:val="21"/>
                <w:szCs w:val="21"/>
                <w:lang w:val="en-US" w:eastAsia="zh-CN"/>
              </w:rPr>
              <w:t>土壤</w:t>
            </w:r>
          </w:p>
        </w:tc>
        <w:tc>
          <w:tcPr>
            <w:tcW w:w="580" w:type="pct"/>
            <w:tcBorders>
              <w:top w:val="single" w:color="000000" w:sz="4" w:space="0"/>
              <w:left w:val="single" w:color="000000" w:sz="4" w:space="0"/>
              <w:right w:val="single" w:color="000000" w:sz="4" w:space="0"/>
            </w:tcBorders>
            <w:shd w:val="clear" w:color="auto" w:fill="auto"/>
            <w:noWrap w:val="0"/>
            <w:vAlign w:val="center"/>
          </w:tcPr>
          <w:p w14:paraId="584D63EE">
            <w:pPr>
              <w:pStyle w:val="88"/>
              <w:spacing w:line="240" w:lineRule="exac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rPr>
              <w:t>周边居民、地下水</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939DF">
            <w:pPr>
              <w:pStyle w:val="88"/>
              <w:spacing w:line="240" w:lineRule="exact"/>
              <w:ind w:firstLine="0" w:firstLineChars="0"/>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非</w:t>
            </w:r>
            <w:r>
              <w:rPr>
                <w:sz w:val="21"/>
                <w:szCs w:val="21"/>
              </w:rPr>
              <w:t>重点风险源</w:t>
            </w:r>
          </w:p>
        </w:tc>
      </w:tr>
    </w:tbl>
    <w:p w14:paraId="351EE084">
      <w:pPr>
        <w:keepNext/>
        <w:keepLines/>
        <w:widowControl/>
        <w:numPr>
          <w:ilvl w:val="0"/>
          <w:numId w:val="16"/>
        </w:numPr>
        <w:spacing w:before="210" w:after="210" w:line="500" w:lineRule="exact"/>
        <w:jc w:val="left"/>
        <w:outlineLvl w:val="1"/>
        <w:rPr>
          <w:b/>
          <w:kern w:val="0"/>
          <w:sz w:val="28"/>
          <w:szCs w:val="20"/>
        </w:rPr>
      </w:pPr>
      <w:bookmarkStart w:id="63" w:name="_Toc26138"/>
      <w:bookmarkStart w:id="64" w:name="_Toc27747"/>
      <w:r>
        <w:rPr>
          <w:b/>
          <w:kern w:val="0"/>
          <w:sz w:val="28"/>
          <w:szCs w:val="20"/>
        </w:rPr>
        <w:t>风险事故情形分析</w:t>
      </w:r>
      <w:bookmarkEnd w:id="63"/>
      <w:bookmarkEnd w:id="64"/>
    </w:p>
    <w:p w14:paraId="63A0457A">
      <w:pPr>
        <w:keepNext/>
        <w:keepLines/>
        <w:widowControl/>
        <w:numPr>
          <w:ilvl w:val="0"/>
          <w:numId w:val="17"/>
        </w:numPr>
        <w:spacing w:before="126" w:after="126" w:line="500" w:lineRule="exact"/>
        <w:jc w:val="left"/>
        <w:outlineLvl w:val="2"/>
        <w:rPr>
          <w:b/>
          <w:bCs/>
          <w:kern w:val="0"/>
          <w:sz w:val="24"/>
        </w:rPr>
      </w:pPr>
      <w:bookmarkStart w:id="65" w:name="_Toc18861"/>
      <w:bookmarkStart w:id="66" w:name="_Toc144992672"/>
      <w:r>
        <w:rPr>
          <w:rFonts w:hint="eastAsia"/>
          <w:b/>
          <w:bCs/>
          <w:kern w:val="0"/>
          <w:sz w:val="24"/>
        </w:rPr>
        <w:t>风险事故情形设定原则</w:t>
      </w:r>
      <w:bookmarkEnd w:id="65"/>
    </w:p>
    <w:p w14:paraId="04229D6B">
      <w:pPr>
        <w:widowControl/>
        <w:spacing w:line="500" w:lineRule="exact"/>
        <w:ind w:firstLine="480" w:firstLineChars="200"/>
        <w:jc w:val="left"/>
        <w:rPr>
          <w:kern w:val="0"/>
          <w:sz w:val="24"/>
        </w:rPr>
      </w:pPr>
      <w:r>
        <w:rPr>
          <w:rFonts w:hint="eastAsia"/>
          <w:kern w:val="0"/>
          <w:sz w:val="24"/>
        </w:rPr>
        <w:t>1、同一种危险物质可能有多种环境风险类型。风险事故情形应包括危险物质泄漏，以及火灾、爆炸等引发的伴生/次生污染物排放情形。对不同环境要素产生影响的风险事故情形，应分别进行设定。</w:t>
      </w:r>
    </w:p>
    <w:p w14:paraId="6ACD8AF8">
      <w:pPr>
        <w:widowControl/>
        <w:spacing w:line="500" w:lineRule="exact"/>
        <w:ind w:firstLine="480" w:firstLineChars="200"/>
        <w:jc w:val="left"/>
        <w:rPr>
          <w:kern w:val="0"/>
          <w:sz w:val="24"/>
        </w:rPr>
      </w:pPr>
      <w:r>
        <w:rPr>
          <w:rFonts w:hint="eastAsia"/>
          <w:kern w:val="0"/>
          <w:sz w:val="24"/>
        </w:rPr>
        <w:t>2、对于火灾、爆炸事故，需将事故中未完全燃烧的危险物质在高温下迅速挥发释放至大气，以及燃烧过程中产生的伴生/次生污染物对环境的影响作为风险事故情形设定的内容。</w:t>
      </w:r>
    </w:p>
    <w:p w14:paraId="00926923">
      <w:pPr>
        <w:widowControl/>
        <w:spacing w:line="500" w:lineRule="exact"/>
        <w:ind w:firstLine="480" w:firstLineChars="200"/>
        <w:jc w:val="left"/>
        <w:rPr>
          <w:kern w:val="0"/>
          <w:sz w:val="24"/>
        </w:rPr>
      </w:pPr>
      <w:r>
        <w:rPr>
          <w:rFonts w:hint="eastAsia"/>
          <w:kern w:val="0"/>
          <w:sz w:val="24"/>
        </w:rPr>
        <w:t>3、设定的风险事故情形发生可能性应处于合理的区间，并与经济技术发展水平相适应。一般而言，发生频率小于10</w:t>
      </w:r>
      <w:r>
        <w:rPr>
          <w:rFonts w:hint="eastAsia"/>
          <w:kern w:val="0"/>
          <w:sz w:val="24"/>
          <w:vertAlign w:val="superscript"/>
        </w:rPr>
        <w:t>-6</w:t>
      </w:r>
      <w:r>
        <w:rPr>
          <w:rFonts w:hint="eastAsia"/>
          <w:kern w:val="0"/>
          <w:sz w:val="24"/>
        </w:rPr>
        <w:t>/年的事件是极小概率事件，可作为代表性事故情形中最大可信事故设定的参考。</w:t>
      </w:r>
    </w:p>
    <w:p w14:paraId="2F4D178F">
      <w:pPr>
        <w:widowControl/>
        <w:spacing w:line="500" w:lineRule="exact"/>
        <w:ind w:firstLine="480" w:firstLineChars="200"/>
        <w:jc w:val="left"/>
        <w:rPr>
          <w:rFonts w:hint="eastAsia"/>
          <w:kern w:val="0"/>
          <w:sz w:val="24"/>
        </w:rPr>
      </w:pPr>
      <w:r>
        <w:rPr>
          <w:rFonts w:hint="eastAsia"/>
          <w:kern w:val="0"/>
          <w:sz w:val="24"/>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36199573">
      <w:pPr>
        <w:widowControl/>
        <w:spacing w:line="500" w:lineRule="exact"/>
        <w:ind w:firstLine="480" w:firstLineChars="200"/>
        <w:jc w:val="left"/>
        <w:rPr>
          <w:rFonts w:hint="eastAsia"/>
          <w:kern w:val="0"/>
          <w:sz w:val="24"/>
        </w:rPr>
      </w:pPr>
      <w:r>
        <w:rPr>
          <w:rFonts w:hint="eastAsia"/>
          <w:kern w:val="0"/>
          <w:sz w:val="24"/>
        </w:rPr>
        <w:t>项目的</w:t>
      </w:r>
      <w:r>
        <w:rPr>
          <w:rFonts w:hint="eastAsia"/>
          <w:kern w:val="0"/>
          <w:sz w:val="24"/>
          <w:lang w:val="en-US" w:eastAsia="zh-CN"/>
        </w:rPr>
        <w:t>醋酸中间罐</w:t>
      </w:r>
      <w:r>
        <w:rPr>
          <w:rFonts w:hint="eastAsia"/>
          <w:kern w:val="0"/>
          <w:sz w:val="24"/>
        </w:rPr>
        <w:t>为重点风险源，因此本次环评重点对以上风险源的风险影响进行分析。</w:t>
      </w:r>
    </w:p>
    <w:p w14:paraId="75B0D8A1">
      <w:pPr>
        <w:widowControl/>
        <w:spacing w:line="500" w:lineRule="exact"/>
        <w:ind w:firstLine="480" w:firstLineChars="200"/>
        <w:jc w:val="left"/>
        <w:rPr>
          <w:rFonts w:hint="default" w:ascii="Times New Roman" w:hAnsi="Times New Roman" w:eastAsia="宋体" w:cs="Times New Roman"/>
          <w:kern w:val="0"/>
          <w:sz w:val="24"/>
          <w:u w:val="single"/>
          <w:lang w:eastAsia="zh-CN"/>
        </w:rPr>
      </w:pPr>
      <w:r>
        <w:rPr>
          <w:rFonts w:hint="eastAsia"/>
          <w:kern w:val="0"/>
          <w:sz w:val="24"/>
        </w:rPr>
        <w:t>根据项目特点，以风险识别为基准，结合考虑化工行业主要事故类型及事故诱因发生概率等因素，综合考虑危险物质危害性、使用及储存数量、事故危害后果等因素，确定项目最大可信事故为：</w:t>
      </w:r>
      <w:r>
        <w:rPr>
          <w:rFonts w:hint="eastAsia" w:ascii="宋体" w:hAnsi="宋体" w:eastAsia="宋体" w:cs="宋体"/>
          <w:kern w:val="0"/>
          <w:sz w:val="24"/>
        </w:rPr>
        <w:t>①</w:t>
      </w:r>
      <w:r>
        <w:rPr>
          <w:rFonts w:hint="eastAsia"/>
          <w:kern w:val="0"/>
          <w:sz w:val="24"/>
          <w:lang w:val="en-US" w:eastAsia="zh-CN"/>
        </w:rPr>
        <w:t>醋酸中间罐</w:t>
      </w:r>
      <w:r>
        <w:rPr>
          <w:rFonts w:hint="eastAsia"/>
          <w:kern w:val="0"/>
          <w:sz w:val="24"/>
        </w:rPr>
        <w:t>发生破裂，醋酸发生泄漏，遇明火引发火灾事故、爆炸等引发的伴生/次生污染物CO排放</w:t>
      </w:r>
      <w:r>
        <w:rPr>
          <w:rFonts w:hint="eastAsia"/>
          <w:kern w:val="0"/>
          <w:sz w:val="24"/>
          <w:lang w:eastAsia="zh-CN"/>
        </w:rPr>
        <w:t>；</w:t>
      </w:r>
      <w:r>
        <w:rPr>
          <w:rFonts w:hint="eastAsia" w:ascii="宋体" w:hAnsi="宋体" w:eastAsia="宋体" w:cs="宋体"/>
          <w:kern w:val="0"/>
          <w:sz w:val="24"/>
          <w:u w:val="single"/>
          <w:lang w:eastAsia="zh-CN"/>
        </w:rPr>
        <w:t>②</w:t>
      </w:r>
      <w:r>
        <w:rPr>
          <w:rFonts w:hint="eastAsia" w:ascii="Times New Roman" w:hAnsi="Times New Roman" w:eastAsia="宋体" w:cs="Times New Roman"/>
          <w:kern w:val="0"/>
          <w:sz w:val="24"/>
          <w:u w:val="single"/>
          <w:lang w:val="en-US" w:eastAsia="zh-CN"/>
        </w:rPr>
        <w:t>废液</w:t>
      </w:r>
      <w:r>
        <w:rPr>
          <w:rFonts w:hint="default" w:ascii="Times New Roman" w:hAnsi="Times New Roman" w:eastAsia="宋体" w:cs="Times New Roman"/>
          <w:kern w:val="0"/>
          <w:sz w:val="24"/>
          <w:u w:val="single"/>
          <w:lang w:eastAsia="zh-CN"/>
        </w:rPr>
        <w:t>罐发生破裂，</w:t>
      </w:r>
      <w:r>
        <w:rPr>
          <w:rFonts w:hint="eastAsia" w:ascii="Times New Roman" w:hAnsi="Times New Roman" w:eastAsia="宋体" w:cs="Times New Roman"/>
          <w:kern w:val="0"/>
          <w:sz w:val="24"/>
          <w:u w:val="single"/>
          <w:lang w:val="en-US" w:eastAsia="zh-CN"/>
        </w:rPr>
        <w:t>废液</w:t>
      </w:r>
      <w:r>
        <w:rPr>
          <w:rFonts w:hint="default" w:ascii="Times New Roman" w:hAnsi="Times New Roman" w:eastAsia="宋体" w:cs="Times New Roman"/>
          <w:kern w:val="0"/>
          <w:sz w:val="24"/>
          <w:u w:val="single"/>
          <w:lang w:eastAsia="zh-CN"/>
        </w:rPr>
        <w:t>发生泄漏，遇明火引发火灾事故、爆炸等引发的伴生/次生污染物CO排放</w:t>
      </w:r>
      <w:r>
        <w:rPr>
          <w:rFonts w:hint="eastAsia" w:ascii="Times New Roman" w:hAnsi="Times New Roman" w:eastAsia="宋体" w:cs="Times New Roman"/>
          <w:kern w:val="0"/>
          <w:sz w:val="24"/>
          <w:u w:val="single"/>
          <w:lang w:eastAsia="zh-CN"/>
        </w:rPr>
        <w:t>。</w:t>
      </w:r>
    </w:p>
    <w:bookmarkEnd w:id="66"/>
    <w:p w14:paraId="54C47AC2">
      <w:pPr>
        <w:keepNext/>
        <w:keepLines/>
        <w:widowControl/>
        <w:numPr>
          <w:ilvl w:val="0"/>
          <w:numId w:val="17"/>
        </w:numPr>
        <w:spacing w:before="126" w:after="126" w:line="500" w:lineRule="exact"/>
        <w:jc w:val="left"/>
        <w:outlineLvl w:val="2"/>
        <w:rPr>
          <w:b/>
          <w:bCs/>
          <w:kern w:val="0"/>
          <w:sz w:val="24"/>
        </w:rPr>
      </w:pPr>
      <w:bookmarkStart w:id="67" w:name="_Toc13228"/>
      <w:bookmarkStart w:id="68" w:name="_Toc144992674"/>
      <w:r>
        <w:rPr>
          <w:b/>
          <w:bCs/>
          <w:kern w:val="0"/>
          <w:sz w:val="24"/>
        </w:rPr>
        <w:t>源项分析</w:t>
      </w:r>
      <w:bookmarkEnd w:id="67"/>
      <w:bookmarkEnd w:id="68"/>
    </w:p>
    <w:p w14:paraId="6D972BF5">
      <w:pPr>
        <w:tabs>
          <w:tab w:val="left" w:pos="1618"/>
        </w:tabs>
        <w:autoSpaceDE w:val="0"/>
        <w:autoSpaceDN w:val="0"/>
        <w:spacing w:line="500" w:lineRule="exact"/>
        <w:ind w:firstLine="480" w:firstLineChars="200"/>
        <w:rPr>
          <w:sz w:val="24"/>
          <w:szCs w:val="22"/>
        </w:rPr>
      </w:pPr>
      <w:r>
        <w:rPr>
          <w:rFonts w:hint="eastAsia" w:eastAsia="宋体"/>
          <w:sz w:val="24"/>
          <w:szCs w:val="22"/>
          <w:lang w:bidi="ar"/>
        </w:rPr>
        <w:t>1、</w:t>
      </w:r>
      <w:r>
        <w:rPr>
          <w:rFonts w:eastAsia="宋体"/>
          <w:sz w:val="24"/>
          <w:szCs w:val="22"/>
          <w:lang w:bidi="ar"/>
        </w:rPr>
        <w:t>泄漏量计算</w:t>
      </w:r>
    </w:p>
    <w:p w14:paraId="78CFFEF5">
      <w:pPr>
        <w:autoSpaceDE w:val="0"/>
        <w:autoSpaceDN w:val="0"/>
        <w:spacing w:line="500" w:lineRule="exact"/>
        <w:ind w:firstLine="480"/>
        <w:rPr>
          <w:sz w:val="24"/>
          <w:szCs w:val="24"/>
        </w:rPr>
      </w:pPr>
      <w:r>
        <w:rPr>
          <w:rFonts w:eastAsia="宋体"/>
          <w:sz w:val="24"/>
          <w:szCs w:val="24"/>
          <w:lang w:bidi="ar"/>
        </w:rPr>
        <w:t>液体泄漏速率</w:t>
      </w:r>
      <w:r>
        <w:rPr>
          <w:rFonts w:eastAsia="宋体"/>
          <w:position w:val="2"/>
          <w:sz w:val="24"/>
          <w:szCs w:val="24"/>
          <w:lang w:bidi="ar"/>
        </w:rPr>
        <w:t>Q</w:t>
      </w:r>
      <w:r>
        <w:rPr>
          <w:rFonts w:eastAsia="宋体"/>
          <w:sz w:val="16"/>
          <w:szCs w:val="24"/>
          <w:lang w:bidi="ar"/>
        </w:rPr>
        <w:t>L</w:t>
      </w:r>
      <w:r>
        <w:rPr>
          <w:rFonts w:eastAsia="宋体"/>
          <w:sz w:val="24"/>
          <w:szCs w:val="24"/>
          <w:lang w:bidi="ar"/>
        </w:rPr>
        <w:t>用伯努利方程计算（</w:t>
      </w:r>
      <w:r>
        <w:rPr>
          <w:rFonts w:eastAsia="宋体"/>
          <w:position w:val="2"/>
          <w:sz w:val="24"/>
          <w:szCs w:val="24"/>
          <w:lang w:bidi="ar"/>
        </w:rPr>
        <w:t>限制条件为液体在喷口内不应有急骤蒸发</w:t>
      </w:r>
      <w:r>
        <w:rPr>
          <w:rFonts w:eastAsia="宋体"/>
          <w:sz w:val="24"/>
          <w:szCs w:val="24"/>
          <w:lang w:bidi="ar"/>
        </w:rPr>
        <w:t>）：</w:t>
      </w:r>
    </w:p>
    <w:p w14:paraId="7496F510">
      <w:pPr>
        <w:autoSpaceDE w:val="0"/>
        <w:autoSpaceDN w:val="0"/>
        <w:spacing w:before="158"/>
        <w:ind w:left="1016"/>
        <w:jc w:val="center"/>
        <w:rPr>
          <w:sz w:val="13"/>
          <w:szCs w:val="24"/>
        </w:rPr>
      </w:pPr>
      <w:r>
        <w:rPr>
          <w:rFonts w:eastAsia="宋体"/>
          <w:sz w:val="24"/>
          <w:szCs w:val="24"/>
          <w:lang w:bidi="ar"/>
        </w:rPr>
        <w:drawing>
          <wp:inline distT="0" distB="0" distL="114300" distR="114300">
            <wp:extent cx="2514600" cy="609600"/>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8"/>
                    <a:stretch>
                      <a:fillRect/>
                    </a:stretch>
                  </pic:blipFill>
                  <pic:spPr>
                    <a:xfrm>
                      <a:off x="0" y="0"/>
                      <a:ext cx="2514600" cy="609600"/>
                    </a:xfrm>
                    <a:prstGeom prst="rect">
                      <a:avLst/>
                    </a:prstGeom>
                    <a:noFill/>
                    <a:ln>
                      <a:noFill/>
                    </a:ln>
                  </pic:spPr>
                </pic:pic>
              </a:graphicData>
            </a:graphic>
          </wp:inline>
        </w:drawing>
      </w:r>
    </w:p>
    <w:p w14:paraId="37389143">
      <w:pPr>
        <w:autoSpaceDE w:val="0"/>
        <w:autoSpaceDN w:val="0"/>
        <w:spacing w:line="500" w:lineRule="exact"/>
        <w:ind w:left="116" w:right="395" w:firstLine="480"/>
        <w:rPr>
          <w:position w:val="2"/>
          <w:sz w:val="24"/>
          <w:szCs w:val="24"/>
        </w:rPr>
      </w:pPr>
      <w:r>
        <w:rPr>
          <w:rFonts w:eastAsia="宋体"/>
          <w:position w:val="2"/>
          <w:sz w:val="24"/>
          <w:szCs w:val="24"/>
          <w:lang w:bidi="ar"/>
        </w:rPr>
        <w:t>式中：Q</w:t>
      </w:r>
      <w:r>
        <w:rPr>
          <w:rFonts w:eastAsia="宋体"/>
          <w:sz w:val="16"/>
          <w:szCs w:val="24"/>
          <w:lang w:bidi="ar"/>
        </w:rPr>
        <w:t>L</w:t>
      </w:r>
      <w:r>
        <w:rPr>
          <w:rFonts w:eastAsia="宋体"/>
          <w:position w:val="2"/>
          <w:sz w:val="24"/>
          <w:szCs w:val="24"/>
          <w:lang w:bidi="ar"/>
        </w:rPr>
        <w:t>—液体</w:t>
      </w:r>
      <w:r>
        <w:rPr>
          <w:rFonts w:eastAsia="宋体"/>
          <w:spacing w:val="-19"/>
          <w:sz w:val="24"/>
          <w:szCs w:val="24"/>
          <w:lang w:bidi="ar"/>
        </w:rPr>
        <w:t>泄漏</w:t>
      </w:r>
      <w:r>
        <w:rPr>
          <w:rFonts w:eastAsia="宋体"/>
          <w:position w:val="2"/>
          <w:sz w:val="24"/>
          <w:szCs w:val="24"/>
          <w:lang w:bidi="ar"/>
        </w:rPr>
        <w:t>速度，kg/s；</w:t>
      </w:r>
    </w:p>
    <w:p w14:paraId="36B1F544">
      <w:pPr>
        <w:autoSpaceDE w:val="0"/>
        <w:autoSpaceDN w:val="0"/>
        <w:spacing w:line="500" w:lineRule="exact"/>
        <w:ind w:left="116" w:right="395" w:firstLine="1200" w:firstLineChars="500"/>
        <w:rPr>
          <w:sz w:val="24"/>
          <w:szCs w:val="24"/>
        </w:rPr>
      </w:pPr>
      <w:r>
        <w:rPr>
          <w:rFonts w:eastAsia="宋体"/>
          <w:sz w:val="24"/>
          <w:szCs w:val="24"/>
          <w:lang w:bidi="ar"/>
        </w:rPr>
        <w:t>P—容器内介质压力，Pa；</w:t>
      </w:r>
    </w:p>
    <w:p w14:paraId="6E011282">
      <w:pPr>
        <w:autoSpaceDE w:val="0"/>
        <w:autoSpaceDN w:val="0"/>
        <w:spacing w:line="500" w:lineRule="exact"/>
        <w:ind w:left="116" w:right="395" w:firstLine="1200" w:firstLineChars="500"/>
        <w:rPr>
          <w:sz w:val="24"/>
          <w:szCs w:val="24"/>
        </w:rPr>
      </w:pPr>
      <w:r>
        <w:rPr>
          <w:rFonts w:eastAsia="宋体"/>
          <w:sz w:val="24"/>
          <w:szCs w:val="24"/>
          <w:lang w:bidi="ar"/>
        </w:rPr>
        <w:t>P</w:t>
      </w:r>
      <w:r>
        <w:rPr>
          <w:rFonts w:eastAsia="宋体"/>
          <w:sz w:val="24"/>
          <w:szCs w:val="24"/>
          <w:vertAlign w:val="subscript"/>
          <w:lang w:bidi="ar"/>
        </w:rPr>
        <w:t>0</w:t>
      </w:r>
      <w:r>
        <w:rPr>
          <w:rFonts w:eastAsia="宋体"/>
          <w:sz w:val="24"/>
          <w:szCs w:val="24"/>
          <w:lang w:bidi="ar"/>
        </w:rPr>
        <w:t>—环境压力，Pa；</w:t>
      </w:r>
    </w:p>
    <w:p w14:paraId="22CD52E8">
      <w:pPr>
        <w:autoSpaceDE w:val="0"/>
        <w:autoSpaceDN w:val="0"/>
        <w:spacing w:line="500" w:lineRule="exact"/>
        <w:ind w:right="395" w:firstLine="1320" w:firstLineChars="600"/>
        <w:rPr>
          <w:sz w:val="24"/>
          <w:szCs w:val="24"/>
        </w:rPr>
      </w:pPr>
      <w:r>
        <w:rPr>
          <w:rFonts w:eastAsia="宋体"/>
          <w:sz w:val="22"/>
          <w:szCs w:val="24"/>
          <w:lang w:bidi="ar"/>
        </w:rPr>
        <w:t>ρ</w:t>
      </w:r>
      <w:r>
        <w:rPr>
          <w:rFonts w:eastAsia="宋体"/>
          <w:sz w:val="24"/>
          <w:szCs w:val="24"/>
          <w:lang w:bidi="ar"/>
        </w:rPr>
        <w:t>—泄漏</w:t>
      </w:r>
      <w:r>
        <w:rPr>
          <w:rFonts w:eastAsia="宋体"/>
          <w:spacing w:val="-19"/>
          <w:sz w:val="24"/>
          <w:szCs w:val="24"/>
          <w:lang w:bidi="ar"/>
        </w:rPr>
        <w:t>液体</w:t>
      </w:r>
      <w:r>
        <w:rPr>
          <w:rFonts w:eastAsia="宋体"/>
          <w:sz w:val="24"/>
          <w:szCs w:val="24"/>
          <w:lang w:bidi="ar"/>
        </w:rPr>
        <w:t>密度，kg/m</w:t>
      </w:r>
      <w:r>
        <w:rPr>
          <w:rFonts w:eastAsia="宋体"/>
          <w:sz w:val="24"/>
          <w:szCs w:val="24"/>
          <w:vertAlign w:val="superscript"/>
          <w:lang w:bidi="ar"/>
        </w:rPr>
        <w:t>3</w:t>
      </w:r>
      <w:r>
        <w:rPr>
          <w:rFonts w:eastAsia="宋体"/>
          <w:sz w:val="24"/>
          <w:szCs w:val="24"/>
          <w:lang w:bidi="ar"/>
        </w:rPr>
        <w:t>；</w:t>
      </w:r>
    </w:p>
    <w:p w14:paraId="3A3D7E88">
      <w:pPr>
        <w:autoSpaceDE w:val="0"/>
        <w:autoSpaceDN w:val="0"/>
        <w:spacing w:line="500" w:lineRule="exact"/>
        <w:ind w:left="116" w:right="395" w:firstLine="1200" w:firstLineChars="500"/>
        <w:rPr>
          <w:sz w:val="24"/>
          <w:szCs w:val="24"/>
        </w:rPr>
      </w:pPr>
      <w:r>
        <w:rPr>
          <w:rFonts w:eastAsia="宋体"/>
          <w:sz w:val="24"/>
          <w:szCs w:val="24"/>
          <w:lang w:bidi="ar"/>
        </w:rPr>
        <w:t>g —重力加速度，9.81m/s</w:t>
      </w:r>
      <w:r>
        <w:rPr>
          <w:rFonts w:eastAsia="宋体"/>
          <w:sz w:val="24"/>
          <w:szCs w:val="24"/>
          <w:vertAlign w:val="superscript"/>
          <w:lang w:bidi="ar"/>
        </w:rPr>
        <w:t>-2</w:t>
      </w:r>
      <w:r>
        <w:rPr>
          <w:rFonts w:eastAsia="宋体"/>
          <w:sz w:val="24"/>
          <w:szCs w:val="24"/>
          <w:lang w:bidi="ar"/>
        </w:rPr>
        <w:t>。</w:t>
      </w:r>
    </w:p>
    <w:p w14:paraId="2A999FF7">
      <w:pPr>
        <w:autoSpaceDE w:val="0"/>
        <w:autoSpaceDN w:val="0"/>
        <w:spacing w:line="500" w:lineRule="exact"/>
        <w:ind w:left="116" w:right="395" w:firstLine="1200" w:firstLineChars="500"/>
        <w:rPr>
          <w:sz w:val="24"/>
          <w:szCs w:val="24"/>
        </w:rPr>
      </w:pPr>
      <w:r>
        <w:rPr>
          <w:rFonts w:eastAsia="宋体"/>
          <w:sz w:val="24"/>
          <w:szCs w:val="24"/>
          <w:lang w:bidi="ar"/>
        </w:rPr>
        <w:t>h—裂口</w:t>
      </w:r>
      <w:r>
        <w:rPr>
          <w:rFonts w:eastAsia="宋体"/>
          <w:spacing w:val="-19"/>
          <w:sz w:val="24"/>
          <w:szCs w:val="24"/>
          <w:lang w:bidi="ar"/>
        </w:rPr>
        <w:t>之上</w:t>
      </w:r>
      <w:r>
        <w:rPr>
          <w:rFonts w:eastAsia="宋体"/>
          <w:sz w:val="24"/>
          <w:szCs w:val="24"/>
          <w:lang w:bidi="ar"/>
        </w:rPr>
        <w:t>液位高度，m。</w:t>
      </w:r>
    </w:p>
    <w:p w14:paraId="59E8041F">
      <w:pPr>
        <w:autoSpaceDE w:val="0"/>
        <w:autoSpaceDN w:val="0"/>
        <w:spacing w:line="500" w:lineRule="exact"/>
        <w:ind w:left="116" w:right="395" w:firstLine="1200" w:firstLineChars="500"/>
        <w:rPr>
          <w:sz w:val="24"/>
          <w:szCs w:val="24"/>
        </w:rPr>
      </w:pPr>
      <w:r>
        <w:rPr>
          <w:rFonts w:eastAsia="宋体"/>
          <w:sz w:val="24"/>
          <w:szCs w:val="24"/>
          <w:lang w:bidi="ar"/>
        </w:rPr>
        <w:t>Cd—液体泄漏系数</w:t>
      </w:r>
      <w:r>
        <w:rPr>
          <w:rFonts w:hint="eastAsia"/>
          <w:sz w:val="24"/>
          <w:szCs w:val="24"/>
          <w:lang w:eastAsia="zh-CN" w:bidi="ar"/>
        </w:rPr>
        <w:t>，本次环评选用0.62</w:t>
      </w:r>
      <w:r>
        <w:rPr>
          <w:rFonts w:eastAsia="宋体"/>
          <w:sz w:val="24"/>
          <w:szCs w:val="24"/>
          <w:lang w:bidi="ar"/>
        </w:rPr>
        <w:t>。</w:t>
      </w:r>
    </w:p>
    <w:p w14:paraId="17D0C93C">
      <w:pPr>
        <w:autoSpaceDE w:val="0"/>
        <w:autoSpaceDN w:val="0"/>
        <w:spacing w:line="500" w:lineRule="exact"/>
        <w:ind w:left="116" w:right="395" w:firstLine="1200" w:firstLineChars="500"/>
        <w:rPr>
          <w:rFonts w:hint="eastAsia" w:eastAsia="宋体"/>
          <w:sz w:val="24"/>
          <w:szCs w:val="24"/>
          <w:lang w:bidi="ar"/>
        </w:rPr>
      </w:pPr>
      <w:r>
        <w:rPr>
          <w:rFonts w:eastAsia="宋体"/>
          <w:sz w:val="24"/>
          <w:szCs w:val="24"/>
          <w:lang w:bidi="ar"/>
        </w:rPr>
        <w:t>A—裂口面积，m</w:t>
      </w:r>
      <w:r>
        <w:rPr>
          <w:rFonts w:eastAsia="宋体"/>
          <w:sz w:val="24"/>
          <w:szCs w:val="24"/>
          <w:vertAlign w:val="superscript"/>
          <w:lang w:bidi="ar"/>
        </w:rPr>
        <w:t>2</w:t>
      </w:r>
      <w:r>
        <w:rPr>
          <w:rFonts w:eastAsia="宋体"/>
          <w:sz w:val="24"/>
          <w:szCs w:val="24"/>
          <w:lang w:bidi="ar"/>
        </w:rPr>
        <w:t>；</w:t>
      </w:r>
    </w:p>
    <w:p w14:paraId="4790DDF8">
      <w:pPr>
        <w:tabs>
          <w:tab w:val="left" w:pos="1618"/>
        </w:tabs>
        <w:autoSpaceDE w:val="0"/>
        <w:autoSpaceDN w:val="0"/>
        <w:spacing w:line="500" w:lineRule="exact"/>
        <w:ind w:firstLine="480" w:firstLineChars="200"/>
        <w:rPr>
          <w:rFonts w:hint="eastAsia"/>
          <w:sz w:val="24"/>
          <w:szCs w:val="22"/>
          <w:lang w:val="en-US" w:eastAsia="zh-CN" w:bidi="ar"/>
        </w:rPr>
      </w:pPr>
      <w:r>
        <w:rPr>
          <w:rFonts w:hint="eastAsia" w:eastAsia="宋体"/>
          <w:sz w:val="24"/>
          <w:szCs w:val="22"/>
          <w:lang w:bidi="ar"/>
        </w:rPr>
        <w:t>2、</w:t>
      </w:r>
      <w:r>
        <w:rPr>
          <w:rFonts w:eastAsia="宋体"/>
          <w:sz w:val="24"/>
          <w:szCs w:val="22"/>
          <w:lang w:bidi="ar"/>
        </w:rPr>
        <w:t>泄漏</w:t>
      </w:r>
      <w:r>
        <w:rPr>
          <w:rFonts w:hint="eastAsia"/>
          <w:sz w:val="24"/>
          <w:szCs w:val="22"/>
          <w:lang w:val="en-US" w:eastAsia="zh-CN" w:bidi="ar"/>
        </w:rPr>
        <w:t>后挥发量计算</w:t>
      </w:r>
    </w:p>
    <w:p w14:paraId="2D498365">
      <w:pPr>
        <w:tabs>
          <w:tab w:val="left" w:pos="1618"/>
        </w:tabs>
        <w:autoSpaceDE w:val="0"/>
        <w:autoSpaceDN w:val="0"/>
        <w:spacing w:line="500" w:lineRule="exact"/>
        <w:ind w:firstLine="480" w:firstLineChars="200"/>
        <w:rPr>
          <w:rFonts w:hint="default"/>
          <w:sz w:val="24"/>
          <w:szCs w:val="22"/>
          <w:lang w:val="en-US" w:eastAsia="zh-CN" w:bidi="ar"/>
        </w:rPr>
      </w:pPr>
      <w:r>
        <w:rPr>
          <w:rFonts w:hint="eastAsia"/>
          <w:sz w:val="24"/>
          <w:szCs w:val="22"/>
          <w:lang w:val="en-US" w:eastAsia="zh-CN" w:bidi="ar"/>
        </w:rPr>
        <w:t>醋酸中间罐</w:t>
      </w:r>
      <w:r>
        <w:rPr>
          <w:rFonts w:hint="default"/>
          <w:sz w:val="24"/>
          <w:szCs w:val="22"/>
          <w:lang w:val="en-US" w:eastAsia="zh-CN" w:bidi="ar"/>
        </w:rPr>
        <w:t>是在常温、常压条件下贮存的，发生泄漏时，因物料温度与环境温度基本相同，</w:t>
      </w:r>
      <w:r>
        <w:rPr>
          <w:rFonts w:hint="eastAsia"/>
          <w:sz w:val="24"/>
          <w:szCs w:val="22"/>
          <w:lang w:val="en-US" w:eastAsia="zh-CN" w:bidi="ar"/>
        </w:rPr>
        <w:t>醋酸</w:t>
      </w:r>
      <w:r>
        <w:rPr>
          <w:rFonts w:hint="default"/>
          <w:sz w:val="24"/>
          <w:szCs w:val="22"/>
          <w:lang w:val="en-US" w:eastAsia="zh-CN" w:bidi="ar"/>
        </w:rPr>
        <w:t>沸点为</w:t>
      </w:r>
      <w:r>
        <w:rPr>
          <w:rFonts w:hint="eastAsia"/>
          <w:sz w:val="24"/>
          <w:szCs w:val="22"/>
          <w:lang w:val="en-US" w:eastAsia="zh-CN" w:bidi="ar"/>
        </w:rPr>
        <w:t>118.1</w:t>
      </w:r>
      <w:r>
        <w:rPr>
          <w:rFonts w:hint="default"/>
          <w:sz w:val="24"/>
          <w:szCs w:val="22"/>
          <w:lang w:val="en-US" w:eastAsia="zh-CN" w:bidi="ar"/>
        </w:rPr>
        <w:t>℃，因此通常不会发生闪蒸和热量蒸发，泄漏后在其周围形成液池，而挥发主要原因是液池表面气流运动使液体蒸发，由于泄漏发生后液体流落到混凝土地坪上液面不断扩大，同时不断挥发并扩散转入大气，造成大气污染。质量蒸发速度按下式计算：</w:t>
      </w:r>
    </w:p>
    <w:p w14:paraId="32048042">
      <w:pPr>
        <w:pStyle w:val="89"/>
        <w:spacing w:before="156" w:after="156"/>
        <w:rPr>
          <w:kern w:val="0"/>
          <w:sz w:val="24"/>
          <w:szCs w:val="24"/>
        </w:rPr>
      </w:pPr>
      <w:r>
        <w:rPr>
          <w:kern w:val="0"/>
          <w:sz w:val="24"/>
          <w:szCs w:val="24"/>
        </w:rPr>
        <w:fldChar w:fldCharType="begin"/>
      </w:r>
      <w:r>
        <w:rPr>
          <w:kern w:val="0"/>
          <w:sz w:val="24"/>
          <w:szCs w:val="24"/>
        </w:rPr>
        <w:instrText xml:space="preserve"> INCLUDEPICTURE "K:\\西欧数据恢复803969\\Documents and Settings\\Administrator\\Application Data\\Tencent\\Users\\24320168\\QQ\\WinTemp\\RichOle\\7@O$C41NL@S1F`DBL%%2HAU.png" \* MERGEFORMAT </w:instrText>
      </w:r>
      <w:r>
        <w:rPr>
          <w:kern w:val="0"/>
          <w:sz w:val="24"/>
          <w:szCs w:val="24"/>
        </w:rPr>
        <w:fldChar w:fldCharType="separate"/>
      </w:r>
      <w:r>
        <w:rPr>
          <w:kern w:val="0"/>
          <w:sz w:val="24"/>
          <w:szCs w:val="24"/>
        </w:rPr>
        <w:drawing>
          <wp:inline distT="0" distB="0" distL="114300" distR="114300">
            <wp:extent cx="3729990" cy="295275"/>
            <wp:effectExtent l="0" t="0" r="3810" b="9525"/>
            <wp:docPr id="1" name="图片 2" descr="7@O$C41NL@S1F`DBL%%2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O$C41NL@S1F`DBL%%2HAU"/>
                    <pic:cNvPicPr>
                      <a:picLocks noChangeAspect="1"/>
                    </pic:cNvPicPr>
                  </pic:nvPicPr>
                  <pic:blipFill>
                    <a:blip r:embed="rId29"/>
                    <a:stretch>
                      <a:fillRect/>
                    </a:stretch>
                  </pic:blipFill>
                  <pic:spPr>
                    <a:xfrm>
                      <a:off x="0" y="0"/>
                      <a:ext cx="3729990" cy="295275"/>
                    </a:xfrm>
                    <a:prstGeom prst="rect">
                      <a:avLst/>
                    </a:prstGeom>
                    <a:noFill/>
                    <a:ln>
                      <a:noFill/>
                    </a:ln>
                  </pic:spPr>
                </pic:pic>
              </a:graphicData>
            </a:graphic>
          </wp:inline>
        </w:drawing>
      </w:r>
      <w:r>
        <w:rPr>
          <w:kern w:val="0"/>
          <w:sz w:val="24"/>
          <w:szCs w:val="24"/>
        </w:rPr>
        <w:fldChar w:fldCharType="end"/>
      </w:r>
    </w:p>
    <w:p w14:paraId="13F0DEB6">
      <w:pPr>
        <w:pStyle w:val="89"/>
        <w:snapToGrid w:val="0"/>
        <w:spacing w:before="0" w:beforeLines="0" w:after="0" w:afterLines="0"/>
        <w:rPr>
          <w:color w:val="auto"/>
        </w:rPr>
      </w:pPr>
      <w:r>
        <w:rPr>
          <w:color w:val="auto"/>
        </w:rPr>
        <w:t>式中：Q</w:t>
      </w:r>
      <w:r>
        <w:rPr>
          <w:color w:val="auto"/>
          <w:vertAlign w:val="subscript"/>
        </w:rPr>
        <w:t>3</w:t>
      </w:r>
      <w:r>
        <w:rPr>
          <w:color w:val="auto"/>
        </w:rPr>
        <w:t>—质量蒸发速度，kg/s；</w:t>
      </w:r>
    </w:p>
    <w:p w14:paraId="63A7960C">
      <w:pPr>
        <w:pStyle w:val="89"/>
        <w:snapToGrid w:val="0"/>
        <w:spacing w:before="0" w:beforeLines="0" w:after="0" w:afterLines="0"/>
        <w:ind w:firstLine="1200" w:firstLineChars="500"/>
        <w:rPr>
          <w:color w:val="auto"/>
        </w:rPr>
      </w:pPr>
      <w:r>
        <w:rPr>
          <w:color w:val="auto"/>
        </w:rPr>
        <w:t>α，n—大气稳定度系数</w:t>
      </w:r>
      <w:r>
        <w:rPr>
          <w:rFonts w:hint="eastAsia"/>
          <w:color w:val="auto"/>
          <w:lang w:eastAsia="zh-CN"/>
        </w:rPr>
        <w:t>，</w:t>
      </w:r>
      <w:r>
        <w:rPr>
          <w:color w:val="auto"/>
        </w:rPr>
        <w:t>α</w:t>
      </w:r>
      <w:r>
        <w:rPr>
          <w:rFonts w:hint="eastAsia"/>
          <w:color w:val="auto"/>
          <w:lang w:val="en-US" w:eastAsia="zh-CN"/>
        </w:rPr>
        <w:t>=0.005285，n=0.3</w:t>
      </w:r>
      <w:r>
        <w:rPr>
          <w:color w:val="auto"/>
        </w:rPr>
        <w:t>；</w:t>
      </w:r>
    </w:p>
    <w:p w14:paraId="696B4544">
      <w:pPr>
        <w:pStyle w:val="89"/>
        <w:snapToGrid w:val="0"/>
        <w:spacing w:before="0" w:beforeLines="0" w:after="0" w:afterLines="0"/>
        <w:ind w:firstLine="1200" w:firstLineChars="500"/>
        <w:rPr>
          <w:color w:val="auto"/>
        </w:rPr>
      </w:pPr>
      <w:r>
        <w:rPr>
          <w:color w:val="auto"/>
        </w:rPr>
        <w:t>p—液体表面蒸气压，</w:t>
      </w:r>
      <w:r>
        <w:rPr>
          <w:rFonts w:hint="eastAsia"/>
          <w:color w:val="auto"/>
          <w:lang w:val="en-US" w:eastAsia="zh-CN"/>
        </w:rPr>
        <w:t>1580</w:t>
      </w:r>
      <w:r>
        <w:rPr>
          <w:color w:val="auto"/>
        </w:rPr>
        <w:t>Pa；</w:t>
      </w:r>
    </w:p>
    <w:p w14:paraId="74C0C016">
      <w:pPr>
        <w:pStyle w:val="89"/>
        <w:snapToGrid w:val="0"/>
        <w:spacing w:before="0" w:beforeLines="0" w:after="0" w:afterLines="0"/>
        <w:ind w:firstLine="1200" w:firstLineChars="500"/>
        <w:rPr>
          <w:color w:val="auto"/>
        </w:rPr>
      </w:pPr>
      <w:r>
        <w:rPr>
          <w:color w:val="auto"/>
        </w:rPr>
        <w:t>R—气体常数；J/mol·k；</w:t>
      </w:r>
    </w:p>
    <w:p w14:paraId="4DDA784E">
      <w:pPr>
        <w:pStyle w:val="89"/>
        <w:snapToGrid w:val="0"/>
        <w:spacing w:before="0" w:beforeLines="0" w:after="0" w:afterLines="0"/>
        <w:ind w:firstLine="1200" w:firstLineChars="500"/>
        <w:rPr>
          <w:color w:val="auto"/>
          <w:u w:val="none"/>
        </w:rPr>
      </w:pPr>
      <w:r>
        <w:rPr>
          <w:color w:val="auto"/>
          <w:u w:val="none"/>
        </w:rPr>
        <w:t>T</w:t>
      </w:r>
      <w:r>
        <w:rPr>
          <w:color w:val="auto"/>
          <w:u w:val="none"/>
          <w:vertAlign w:val="subscript"/>
        </w:rPr>
        <w:t>0</w:t>
      </w:r>
      <w:r>
        <w:rPr>
          <w:color w:val="auto"/>
          <w:u w:val="none"/>
        </w:rPr>
        <w:t>—环境温度，k；</w:t>
      </w:r>
    </w:p>
    <w:p w14:paraId="718C3A2C">
      <w:pPr>
        <w:pStyle w:val="89"/>
        <w:snapToGrid w:val="0"/>
        <w:spacing w:before="0" w:beforeLines="0" w:after="0" w:afterLines="0"/>
        <w:ind w:firstLine="1200" w:firstLineChars="500"/>
        <w:rPr>
          <w:color w:val="auto"/>
          <w:u w:val="none"/>
        </w:rPr>
      </w:pPr>
      <w:r>
        <w:rPr>
          <w:color w:val="auto"/>
          <w:u w:val="none"/>
        </w:rPr>
        <w:t>u—风速，m/s；</w:t>
      </w:r>
    </w:p>
    <w:p w14:paraId="09504D6E">
      <w:pPr>
        <w:pStyle w:val="89"/>
        <w:snapToGrid w:val="0"/>
        <w:spacing w:before="0" w:beforeLines="0" w:after="0" w:afterLines="0"/>
        <w:ind w:firstLine="1200" w:firstLineChars="500"/>
        <w:rPr>
          <w:color w:val="auto"/>
          <w:u w:val="single"/>
        </w:rPr>
      </w:pPr>
      <w:r>
        <w:rPr>
          <w:color w:val="auto"/>
          <w:u w:val="none"/>
        </w:rPr>
        <w:t>r—液池半径，m。</w:t>
      </w:r>
    </w:p>
    <w:p w14:paraId="20392375">
      <w:pPr>
        <w:pStyle w:val="89"/>
        <w:snapToGrid w:val="0"/>
        <w:spacing w:before="0" w:beforeLines="0" w:after="0" w:afterLines="0"/>
        <w:ind w:firstLine="1200" w:firstLineChars="500"/>
        <w:rPr>
          <w:rFonts w:hint="eastAsia"/>
          <w:color w:val="auto"/>
          <w:u w:val="none"/>
          <w:lang w:eastAsia="zh-CN"/>
        </w:rPr>
      </w:pPr>
      <w:r>
        <w:rPr>
          <w:rFonts w:hint="eastAsia"/>
          <w:color w:val="auto"/>
          <w:u w:val="none"/>
          <w:lang w:val="en-US" w:eastAsia="zh-CN"/>
        </w:rPr>
        <w:t>醋酸</w:t>
      </w:r>
      <w:r>
        <w:rPr>
          <w:rFonts w:hint="eastAsia"/>
          <w:color w:val="auto"/>
          <w:u w:val="none"/>
        </w:rPr>
        <w:t>泄漏量计算结果</w:t>
      </w:r>
      <w:r>
        <w:rPr>
          <w:rFonts w:hint="eastAsia"/>
          <w:color w:val="auto"/>
          <w:u w:val="none"/>
          <w:lang w:eastAsia="zh-CN"/>
        </w:rPr>
        <w:t>：</w:t>
      </w:r>
    </w:p>
    <w:p w14:paraId="148BD6EA">
      <w:pPr>
        <w:keepNext/>
        <w:keepLines/>
        <w:widowControl/>
        <w:tabs>
          <w:tab w:val="left" w:pos="795"/>
        </w:tabs>
        <w:spacing w:line="500" w:lineRule="exact"/>
        <w:ind w:left="795"/>
        <w:jc w:val="center"/>
        <w:outlineLvl w:val="3"/>
        <w:rPr>
          <w:rFonts w:hint="eastAsia"/>
          <w:b/>
          <w:kern w:val="0"/>
          <w:sz w:val="24"/>
          <w:lang w:eastAsia="zh-CN"/>
        </w:rPr>
      </w:pPr>
      <w:r>
        <w:rPr>
          <w:rFonts w:hint="eastAsia"/>
          <w:b/>
          <w:kern w:val="0"/>
          <w:sz w:val="24"/>
          <w:lang w:val="en-US" w:eastAsia="zh-CN"/>
        </w:rPr>
        <w:t>表6.1-1 醋酸</w:t>
      </w:r>
      <w:r>
        <w:rPr>
          <w:rFonts w:hint="eastAsia"/>
          <w:b/>
          <w:kern w:val="0"/>
          <w:sz w:val="24"/>
          <w:lang w:eastAsia="zh-CN"/>
        </w:rPr>
        <w:t>事故泄漏量计算表</w:t>
      </w:r>
    </w:p>
    <w:tbl>
      <w:tblPr>
        <w:tblStyle w:val="26"/>
        <w:tblW w:w="5005"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17"/>
        <w:gridCol w:w="3323"/>
        <w:gridCol w:w="3323"/>
      </w:tblGrid>
      <w:tr w14:paraId="5DA12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6E6CFE2B">
            <w:pPr>
              <w:pStyle w:val="88"/>
              <w:spacing w:line="240" w:lineRule="exact"/>
              <w:ind w:firstLine="0" w:firstLineChars="0"/>
              <w:jc w:val="center"/>
              <w:rPr>
                <w:sz w:val="21"/>
                <w:szCs w:val="21"/>
              </w:rPr>
            </w:pPr>
            <w:r>
              <w:rPr>
                <w:sz w:val="21"/>
                <w:szCs w:val="21"/>
              </w:rPr>
              <w:t>计算参数</w:t>
            </w:r>
          </w:p>
        </w:tc>
        <w:tc>
          <w:tcPr>
            <w:tcW w:w="1874" w:type="pct"/>
            <w:noWrap w:val="0"/>
            <w:vAlign w:val="center"/>
          </w:tcPr>
          <w:p w14:paraId="52E21EB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醋酸中间罐</w:t>
            </w:r>
          </w:p>
        </w:tc>
        <w:tc>
          <w:tcPr>
            <w:tcW w:w="1874" w:type="pct"/>
            <w:noWrap w:val="0"/>
            <w:vAlign w:val="center"/>
          </w:tcPr>
          <w:p w14:paraId="734CE6F7">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废液罐</w:t>
            </w:r>
          </w:p>
        </w:tc>
      </w:tr>
      <w:tr w14:paraId="3DDFF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712E95B2">
            <w:pPr>
              <w:pStyle w:val="88"/>
              <w:spacing w:line="240" w:lineRule="exact"/>
              <w:ind w:firstLine="0" w:firstLineChars="0"/>
              <w:jc w:val="center"/>
              <w:rPr>
                <w:sz w:val="21"/>
                <w:szCs w:val="21"/>
              </w:rPr>
            </w:pPr>
            <w:r>
              <w:rPr>
                <w:sz w:val="21"/>
                <w:szCs w:val="21"/>
              </w:rPr>
              <w:t>假设裂口面积</w:t>
            </w:r>
          </w:p>
        </w:tc>
        <w:tc>
          <w:tcPr>
            <w:tcW w:w="1874" w:type="pct"/>
            <w:noWrap w:val="0"/>
            <w:vAlign w:val="center"/>
          </w:tcPr>
          <w:p w14:paraId="55EBF774">
            <w:pPr>
              <w:pStyle w:val="88"/>
              <w:spacing w:line="240" w:lineRule="exact"/>
              <w:ind w:firstLine="0" w:firstLineChars="0"/>
              <w:jc w:val="center"/>
              <w:rPr>
                <w:sz w:val="21"/>
                <w:szCs w:val="21"/>
              </w:rPr>
            </w:pPr>
            <w:r>
              <w:rPr>
                <w:color w:val="auto"/>
                <w:sz w:val="21"/>
                <w:szCs w:val="21"/>
                <w:u w:val="none"/>
              </w:rPr>
              <w:t>0.0019m</w:t>
            </w:r>
            <w:r>
              <w:rPr>
                <w:color w:val="auto"/>
                <w:sz w:val="21"/>
                <w:szCs w:val="21"/>
                <w:u w:val="none"/>
                <w:vertAlign w:val="superscript"/>
              </w:rPr>
              <w:t>2</w:t>
            </w:r>
            <w:r>
              <w:rPr>
                <w:color w:val="auto"/>
                <w:sz w:val="21"/>
                <w:szCs w:val="21"/>
                <w:u w:val="none"/>
              </w:rPr>
              <w:t>（直径为0.05）</w:t>
            </w:r>
          </w:p>
        </w:tc>
        <w:tc>
          <w:tcPr>
            <w:tcW w:w="1874" w:type="pct"/>
            <w:noWrap w:val="0"/>
            <w:vAlign w:val="center"/>
          </w:tcPr>
          <w:p w14:paraId="2F35DD37">
            <w:pPr>
              <w:pStyle w:val="88"/>
              <w:spacing w:line="240" w:lineRule="exact"/>
              <w:ind w:firstLine="0" w:firstLineChars="0"/>
              <w:jc w:val="center"/>
              <w:rPr>
                <w:color w:val="auto"/>
                <w:sz w:val="21"/>
                <w:szCs w:val="21"/>
                <w:u w:val="single"/>
              </w:rPr>
            </w:pPr>
            <w:r>
              <w:rPr>
                <w:color w:val="auto"/>
                <w:sz w:val="21"/>
                <w:szCs w:val="21"/>
                <w:u w:val="single"/>
              </w:rPr>
              <w:t>0.0019m</w:t>
            </w:r>
            <w:r>
              <w:rPr>
                <w:color w:val="auto"/>
                <w:sz w:val="21"/>
                <w:szCs w:val="21"/>
                <w:u w:val="single"/>
                <w:vertAlign w:val="superscript"/>
              </w:rPr>
              <w:t>2</w:t>
            </w:r>
            <w:r>
              <w:rPr>
                <w:color w:val="auto"/>
                <w:sz w:val="21"/>
                <w:szCs w:val="21"/>
                <w:u w:val="single"/>
              </w:rPr>
              <w:t>（直径为0.05）</w:t>
            </w:r>
          </w:p>
        </w:tc>
      </w:tr>
      <w:tr w14:paraId="21022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1EA147AB">
            <w:pPr>
              <w:pStyle w:val="88"/>
              <w:spacing w:line="240" w:lineRule="exact"/>
              <w:ind w:firstLine="0" w:firstLineChars="0"/>
              <w:jc w:val="center"/>
              <w:rPr>
                <w:sz w:val="21"/>
                <w:szCs w:val="21"/>
              </w:rPr>
            </w:pPr>
            <w:r>
              <w:rPr>
                <w:sz w:val="21"/>
                <w:szCs w:val="21"/>
              </w:rPr>
              <w:t>地面情况</w:t>
            </w:r>
          </w:p>
        </w:tc>
        <w:tc>
          <w:tcPr>
            <w:tcW w:w="1874" w:type="pct"/>
            <w:noWrap w:val="0"/>
            <w:vAlign w:val="center"/>
          </w:tcPr>
          <w:p w14:paraId="1A43429C">
            <w:pPr>
              <w:pStyle w:val="88"/>
              <w:spacing w:line="240" w:lineRule="exact"/>
              <w:ind w:firstLine="0" w:firstLineChars="0"/>
              <w:jc w:val="center"/>
              <w:rPr>
                <w:sz w:val="21"/>
                <w:szCs w:val="21"/>
              </w:rPr>
            </w:pPr>
            <w:r>
              <w:rPr>
                <w:rFonts w:hint="eastAsia"/>
                <w:sz w:val="21"/>
                <w:szCs w:val="21"/>
              </w:rPr>
              <w:t>水泥</w:t>
            </w:r>
          </w:p>
        </w:tc>
        <w:tc>
          <w:tcPr>
            <w:tcW w:w="1874" w:type="pct"/>
            <w:noWrap w:val="0"/>
            <w:vAlign w:val="center"/>
          </w:tcPr>
          <w:p w14:paraId="1470279C">
            <w:pPr>
              <w:pStyle w:val="88"/>
              <w:spacing w:line="240" w:lineRule="exact"/>
              <w:ind w:firstLine="0" w:firstLineChars="0"/>
              <w:jc w:val="center"/>
              <w:rPr>
                <w:rFonts w:hint="eastAsia" w:eastAsia="宋体"/>
                <w:sz w:val="21"/>
                <w:szCs w:val="21"/>
                <w:u w:val="single"/>
                <w:lang w:val="en-US" w:eastAsia="zh-CN"/>
              </w:rPr>
            </w:pPr>
            <w:r>
              <w:rPr>
                <w:rFonts w:hint="eastAsia"/>
                <w:sz w:val="21"/>
                <w:szCs w:val="21"/>
                <w:u w:val="single"/>
                <w:lang w:val="en-US" w:eastAsia="zh-CN"/>
              </w:rPr>
              <w:t>水泥</w:t>
            </w:r>
          </w:p>
        </w:tc>
      </w:tr>
      <w:tr w14:paraId="4E7D1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7106C7BF">
            <w:pPr>
              <w:pStyle w:val="88"/>
              <w:spacing w:line="240" w:lineRule="exact"/>
              <w:ind w:firstLine="0" w:firstLineChars="0"/>
              <w:jc w:val="center"/>
              <w:rPr>
                <w:sz w:val="21"/>
                <w:szCs w:val="21"/>
              </w:rPr>
            </w:pPr>
            <w:r>
              <w:rPr>
                <w:sz w:val="21"/>
                <w:szCs w:val="21"/>
              </w:rPr>
              <w:t>容器内压力P</w:t>
            </w:r>
          </w:p>
        </w:tc>
        <w:tc>
          <w:tcPr>
            <w:tcW w:w="1874" w:type="pct"/>
            <w:noWrap w:val="0"/>
            <w:vAlign w:val="center"/>
          </w:tcPr>
          <w:p w14:paraId="739AD712">
            <w:pPr>
              <w:pStyle w:val="88"/>
              <w:spacing w:line="240" w:lineRule="exact"/>
              <w:ind w:firstLine="0" w:firstLineChars="0"/>
              <w:jc w:val="center"/>
              <w:rPr>
                <w:sz w:val="21"/>
                <w:szCs w:val="21"/>
              </w:rPr>
            </w:pPr>
            <w:r>
              <w:rPr>
                <w:color w:val="auto"/>
                <w:sz w:val="21"/>
                <w:szCs w:val="21"/>
                <w:u w:val="none"/>
              </w:rPr>
              <w:t>101325Pa</w:t>
            </w:r>
          </w:p>
        </w:tc>
        <w:tc>
          <w:tcPr>
            <w:tcW w:w="1874" w:type="pct"/>
            <w:shd w:val="clear" w:color="auto" w:fill="auto"/>
            <w:noWrap w:val="0"/>
            <w:vAlign w:val="center"/>
          </w:tcPr>
          <w:p w14:paraId="45DB1CA9">
            <w:pPr>
              <w:pStyle w:val="88"/>
              <w:spacing w:line="240" w:lineRule="exact"/>
              <w:ind w:firstLine="0" w:firstLineChars="0"/>
              <w:jc w:val="center"/>
              <w:rPr>
                <w:rFonts w:ascii="Times New Roman" w:hAnsi="Times New Roman" w:eastAsia="宋体" w:cs="Times New Roman"/>
                <w:kern w:val="2"/>
                <w:sz w:val="21"/>
                <w:szCs w:val="21"/>
                <w:u w:val="single"/>
                <w:lang w:val="en-US" w:eastAsia="zh-CN" w:bidi="ar-SA"/>
              </w:rPr>
            </w:pPr>
            <w:r>
              <w:rPr>
                <w:color w:val="auto"/>
                <w:sz w:val="21"/>
                <w:szCs w:val="21"/>
                <w:u w:val="single"/>
              </w:rPr>
              <w:t>101325Pa</w:t>
            </w:r>
          </w:p>
        </w:tc>
      </w:tr>
      <w:tr w14:paraId="5A46C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341EDF92">
            <w:pPr>
              <w:pStyle w:val="88"/>
              <w:spacing w:line="240" w:lineRule="exact"/>
              <w:ind w:firstLine="0" w:firstLineChars="0"/>
              <w:jc w:val="center"/>
              <w:rPr>
                <w:sz w:val="21"/>
                <w:szCs w:val="21"/>
              </w:rPr>
            </w:pPr>
            <w:r>
              <w:rPr>
                <w:sz w:val="21"/>
                <w:szCs w:val="21"/>
              </w:rPr>
              <w:t>容器内温度</w:t>
            </w:r>
          </w:p>
        </w:tc>
        <w:tc>
          <w:tcPr>
            <w:tcW w:w="1874" w:type="pct"/>
            <w:noWrap w:val="0"/>
            <w:vAlign w:val="center"/>
          </w:tcPr>
          <w:p w14:paraId="468088AB">
            <w:pPr>
              <w:pStyle w:val="88"/>
              <w:spacing w:line="240" w:lineRule="exact"/>
              <w:ind w:firstLine="0" w:firstLineChars="0"/>
              <w:jc w:val="center"/>
              <w:rPr>
                <w:sz w:val="21"/>
                <w:szCs w:val="21"/>
              </w:rPr>
            </w:pPr>
            <w:r>
              <w:rPr>
                <w:rFonts w:hint="eastAsia"/>
                <w:sz w:val="21"/>
                <w:szCs w:val="21"/>
                <w:lang w:val="en-US" w:eastAsia="zh-CN"/>
              </w:rPr>
              <w:t>25</w:t>
            </w:r>
            <w:r>
              <w:rPr>
                <w:sz w:val="21"/>
                <w:szCs w:val="21"/>
              </w:rPr>
              <w:t>℃</w:t>
            </w:r>
          </w:p>
        </w:tc>
        <w:tc>
          <w:tcPr>
            <w:tcW w:w="1874" w:type="pct"/>
            <w:shd w:val="clear" w:color="auto" w:fill="auto"/>
            <w:noWrap w:val="0"/>
            <w:vAlign w:val="center"/>
          </w:tcPr>
          <w:p w14:paraId="7143F0B7">
            <w:pPr>
              <w:pStyle w:val="88"/>
              <w:spacing w:line="240" w:lineRule="exact"/>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25</w:t>
            </w:r>
            <w:r>
              <w:rPr>
                <w:sz w:val="21"/>
                <w:szCs w:val="21"/>
                <w:u w:val="single"/>
              </w:rPr>
              <w:t>℃</w:t>
            </w:r>
          </w:p>
        </w:tc>
      </w:tr>
      <w:tr w14:paraId="4B08F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577BEE55">
            <w:pPr>
              <w:pStyle w:val="88"/>
              <w:spacing w:line="240" w:lineRule="exact"/>
              <w:ind w:firstLine="0" w:firstLineChars="0"/>
              <w:jc w:val="center"/>
              <w:rPr>
                <w:sz w:val="21"/>
                <w:szCs w:val="21"/>
              </w:rPr>
            </w:pPr>
            <w:r>
              <w:rPr>
                <w:sz w:val="21"/>
                <w:szCs w:val="21"/>
              </w:rPr>
              <w:t>环境压力p0</w:t>
            </w:r>
          </w:p>
        </w:tc>
        <w:tc>
          <w:tcPr>
            <w:tcW w:w="1874" w:type="pct"/>
            <w:noWrap w:val="0"/>
            <w:vAlign w:val="center"/>
          </w:tcPr>
          <w:p w14:paraId="625F505A">
            <w:pPr>
              <w:pStyle w:val="88"/>
              <w:spacing w:line="240" w:lineRule="exact"/>
              <w:ind w:firstLine="0" w:firstLineChars="0"/>
              <w:jc w:val="center"/>
              <w:rPr>
                <w:sz w:val="21"/>
                <w:szCs w:val="21"/>
              </w:rPr>
            </w:pPr>
            <w:r>
              <w:rPr>
                <w:sz w:val="21"/>
                <w:szCs w:val="21"/>
              </w:rPr>
              <w:t>101325Pa</w:t>
            </w:r>
          </w:p>
        </w:tc>
        <w:tc>
          <w:tcPr>
            <w:tcW w:w="1874" w:type="pct"/>
            <w:shd w:val="clear" w:color="auto" w:fill="auto"/>
            <w:noWrap w:val="0"/>
            <w:vAlign w:val="center"/>
          </w:tcPr>
          <w:p w14:paraId="01745307">
            <w:pPr>
              <w:pStyle w:val="88"/>
              <w:spacing w:line="240" w:lineRule="exact"/>
              <w:ind w:firstLine="0" w:firstLineChars="0"/>
              <w:jc w:val="center"/>
              <w:rPr>
                <w:rFonts w:ascii="Times New Roman" w:hAnsi="Times New Roman" w:eastAsia="宋体" w:cs="Times New Roman"/>
                <w:kern w:val="2"/>
                <w:sz w:val="21"/>
                <w:szCs w:val="21"/>
                <w:u w:val="single"/>
                <w:lang w:val="en-US" w:eastAsia="zh-CN" w:bidi="ar-SA"/>
              </w:rPr>
            </w:pPr>
            <w:r>
              <w:rPr>
                <w:sz w:val="21"/>
                <w:szCs w:val="21"/>
                <w:u w:val="single"/>
              </w:rPr>
              <w:t>101325Pa</w:t>
            </w:r>
          </w:p>
        </w:tc>
      </w:tr>
      <w:tr w14:paraId="043DB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240F1C68">
            <w:pPr>
              <w:pStyle w:val="88"/>
              <w:spacing w:line="240" w:lineRule="exact"/>
              <w:ind w:firstLine="0" w:firstLineChars="0"/>
              <w:jc w:val="center"/>
              <w:rPr>
                <w:sz w:val="21"/>
                <w:szCs w:val="21"/>
              </w:rPr>
            </w:pPr>
            <w:r>
              <w:rPr>
                <w:sz w:val="21"/>
                <w:szCs w:val="21"/>
              </w:rPr>
              <w:t>气体常数J/mol</w:t>
            </w:r>
            <w:r>
              <w:rPr>
                <w:rFonts w:hint="eastAsia"/>
                <w:sz w:val="21"/>
                <w:szCs w:val="21"/>
              </w:rPr>
              <w:t>·</w:t>
            </w:r>
            <w:r>
              <w:rPr>
                <w:sz w:val="21"/>
                <w:szCs w:val="21"/>
              </w:rPr>
              <w:t>k ；</w:t>
            </w:r>
          </w:p>
        </w:tc>
        <w:tc>
          <w:tcPr>
            <w:tcW w:w="1874" w:type="pct"/>
            <w:noWrap w:val="0"/>
            <w:vAlign w:val="center"/>
          </w:tcPr>
          <w:p w14:paraId="53229F21">
            <w:pPr>
              <w:pStyle w:val="88"/>
              <w:spacing w:line="240" w:lineRule="exact"/>
              <w:ind w:firstLine="0" w:firstLineChars="0"/>
              <w:jc w:val="center"/>
              <w:rPr>
                <w:sz w:val="21"/>
                <w:szCs w:val="21"/>
              </w:rPr>
            </w:pPr>
            <w:r>
              <w:rPr>
                <w:sz w:val="21"/>
                <w:szCs w:val="21"/>
              </w:rPr>
              <w:t>22.4</w:t>
            </w:r>
          </w:p>
        </w:tc>
        <w:tc>
          <w:tcPr>
            <w:tcW w:w="1874" w:type="pct"/>
            <w:shd w:val="clear" w:color="auto" w:fill="auto"/>
            <w:noWrap w:val="0"/>
            <w:vAlign w:val="center"/>
          </w:tcPr>
          <w:p w14:paraId="54B7413F">
            <w:pPr>
              <w:pStyle w:val="88"/>
              <w:spacing w:line="240" w:lineRule="exact"/>
              <w:ind w:firstLine="0" w:firstLineChars="0"/>
              <w:jc w:val="center"/>
              <w:rPr>
                <w:rFonts w:ascii="Times New Roman" w:hAnsi="Times New Roman" w:eastAsia="宋体" w:cs="Times New Roman"/>
                <w:kern w:val="2"/>
                <w:sz w:val="21"/>
                <w:szCs w:val="21"/>
                <w:u w:val="single"/>
                <w:lang w:val="en-US" w:eastAsia="zh-CN" w:bidi="ar-SA"/>
              </w:rPr>
            </w:pPr>
            <w:r>
              <w:rPr>
                <w:sz w:val="21"/>
                <w:szCs w:val="21"/>
                <w:u w:val="single"/>
              </w:rPr>
              <w:t>22.4</w:t>
            </w:r>
          </w:p>
        </w:tc>
      </w:tr>
      <w:tr w14:paraId="57729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31B01B13">
            <w:pPr>
              <w:pStyle w:val="88"/>
              <w:spacing w:line="240" w:lineRule="exact"/>
              <w:ind w:firstLine="0" w:firstLineChars="0"/>
              <w:jc w:val="center"/>
              <w:rPr>
                <w:sz w:val="21"/>
                <w:szCs w:val="21"/>
              </w:rPr>
            </w:pPr>
            <w:r>
              <w:rPr>
                <w:sz w:val="21"/>
                <w:szCs w:val="21"/>
              </w:rPr>
              <w:t>环境温度</w:t>
            </w:r>
          </w:p>
        </w:tc>
        <w:tc>
          <w:tcPr>
            <w:tcW w:w="1874" w:type="pct"/>
            <w:noWrap w:val="0"/>
            <w:vAlign w:val="center"/>
          </w:tcPr>
          <w:p w14:paraId="2644EF0E">
            <w:pPr>
              <w:pStyle w:val="88"/>
              <w:spacing w:line="240" w:lineRule="exact"/>
              <w:ind w:firstLine="0" w:firstLineChars="0"/>
              <w:jc w:val="center"/>
              <w:rPr>
                <w:sz w:val="21"/>
                <w:szCs w:val="21"/>
              </w:rPr>
            </w:pPr>
            <w:r>
              <w:rPr>
                <w:rFonts w:hint="eastAsia"/>
                <w:sz w:val="21"/>
                <w:szCs w:val="21"/>
                <w:lang w:val="en-US" w:eastAsia="zh-CN"/>
              </w:rPr>
              <w:t>25</w:t>
            </w:r>
            <w:r>
              <w:rPr>
                <w:sz w:val="21"/>
                <w:szCs w:val="21"/>
              </w:rPr>
              <w:t>℃</w:t>
            </w:r>
          </w:p>
        </w:tc>
        <w:tc>
          <w:tcPr>
            <w:tcW w:w="1874" w:type="pct"/>
            <w:shd w:val="clear" w:color="auto" w:fill="auto"/>
            <w:noWrap w:val="0"/>
            <w:vAlign w:val="center"/>
          </w:tcPr>
          <w:p w14:paraId="507C8BF9">
            <w:pPr>
              <w:pStyle w:val="88"/>
              <w:spacing w:line="240" w:lineRule="exact"/>
              <w:ind w:firstLine="0" w:firstLineChars="0"/>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25</w:t>
            </w:r>
            <w:r>
              <w:rPr>
                <w:sz w:val="21"/>
                <w:szCs w:val="21"/>
                <w:u w:val="single"/>
              </w:rPr>
              <w:t>℃</w:t>
            </w:r>
          </w:p>
        </w:tc>
      </w:tr>
      <w:tr w14:paraId="6EBE1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5A1A3CC9">
            <w:pPr>
              <w:pStyle w:val="88"/>
              <w:spacing w:line="240" w:lineRule="exact"/>
              <w:ind w:firstLine="0" w:firstLineChars="0"/>
              <w:jc w:val="center"/>
              <w:rPr>
                <w:sz w:val="21"/>
                <w:szCs w:val="21"/>
              </w:rPr>
            </w:pPr>
            <w:r>
              <w:rPr>
                <w:sz w:val="21"/>
                <w:szCs w:val="21"/>
              </w:rPr>
              <w:t>液池面积</w:t>
            </w:r>
          </w:p>
        </w:tc>
        <w:tc>
          <w:tcPr>
            <w:tcW w:w="1874" w:type="pct"/>
            <w:noWrap w:val="0"/>
            <w:vAlign w:val="center"/>
          </w:tcPr>
          <w:p w14:paraId="7DCD3271">
            <w:pPr>
              <w:pStyle w:val="88"/>
              <w:spacing w:line="240" w:lineRule="exact"/>
              <w:ind w:firstLine="0" w:firstLineChars="0"/>
              <w:jc w:val="center"/>
              <w:rPr>
                <w:rFonts w:hint="eastAsia"/>
                <w:sz w:val="21"/>
                <w:szCs w:val="21"/>
              </w:rPr>
            </w:pPr>
            <w:r>
              <w:rPr>
                <w:rFonts w:hint="eastAsia"/>
                <w:sz w:val="21"/>
                <w:szCs w:val="21"/>
                <w:lang w:val="en-US" w:eastAsia="zh-CN"/>
              </w:rPr>
              <w:t>340</w:t>
            </w:r>
            <w:r>
              <w:rPr>
                <w:sz w:val="21"/>
                <w:szCs w:val="21"/>
              </w:rPr>
              <w:t>m</w:t>
            </w:r>
            <w:r>
              <w:rPr>
                <w:rFonts w:hint="eastAsia"/>
                <w:sz w:val="21"/>
                <w:szCs w:val="21"/>
                <w:vertAlign w:val="superscript"/>
              </w:rPr>
              <w:t>2</w:t>
            </w:r>
          </w:p>
        </w:tc>
        <w:tc>
          <w:tcPr>
            <w:tcW w:w="1874" w:type="pct"/>
            <w:noWrap w:val="0"/>
            <w:vAlign w:val="center"/>
          </w:tcPr>
          <w:p w14:paraId="158B4ACD">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184m</w:t>
            </w:r>
            <w:r>
              <w:rPr>
                <w:rFonts w:hint="eastAsia"/>
                <w:sz w:val="21"/>
                <w:szCs w:val="21"/>
                <w:u w:val="single"/>
                <w:vertAlign w:val="superscript"/>
                <w:lang w:val="en-US" w:eastAsia="zh-CN"/>
              </w:rPr>
              <w:t>2</w:t>
            </w:r>
          </w:p>
        </w:tc>
      </w:tr>
      <w:tr w14:paraId="511D5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45A4EBF3">
            <w:pPr>
              <w:pStyle w:val="88"/>
              <w:spacing w:line="240" w:lineRule="exact"/>
              <w:ind w:firstLine="0" w:firstLineChars="0"/>
              <w:jc w:val="center"/>
              <w:rPr>
                <w:sz w:val="21"/>
                <w:szCs w:val="21"/>
              </w:rPr>
            </w:pPr>
            <w:r>
              <w:rPr>
                <w:sz w:val="21"/>
                <w:szCs w:val="21"/>
              </w:rPr>
              <w:t>泄漏时间</w:t>
            </w:r>
          </w:p>
        </w:tc>
        <w:tc>
          <w:tcPr>
            <w:tcW w:w="1874" w:type="pct"/>
            <w:noWrap w:val="0"/>
            <w:vAlign w:val="center"/>
          </w:tcPr>
          <w:p w14:paraId="1681D314">
            <w:pPr>
              <w:pStyle w:val="88"/>
              <w:spacing w:line="240" w:lineRule="exact"/>
              <w:ind w:firstLine="0" w:firstLineChars="0"/>
              <w:jc w:val="center"/>
              <w:rPr>
                <w:sz w:val="21"/>
                <w:szCs w:val="21"/>
              </w:rPr>
            </w:pPr>
            <w:r>
              <w:rPr>
                <w:rFonts w:hint="eastAsia"/>
                <w:sz w:val="21"/>
                <w:szCs w:val="21"/>
                <w:lang w:val="en-US" w:eastAsia="zh-CN"/>
              </w:rPr>
              <w:t>10</w:t>
            </w:r>
            <w:r>
              <w:rPr>
                <w:sz w:val="21"/>
                <w:szCs w:val="21"/>
              </w:rPr>
              <w:t>min</w:t>
            </w:r>
          </w:p>
        </w:tc>
        <w:tc>
          <w:tcPr>
            <w:tcW w:w="1874" w:type="pct"/>
            <w:noWrap w:val="0"/>
            <w:vAlign w:val="center"/>
          </w:tcPr>
          <w:p w14:paraId="5086ADEF">
            <w:pPr>
              <w:pStyle w:val="88"/>
              <w:spacing w:line="240" w:lineRule="exact"/>
              <w:ind w:firstLine="0" w:firstLineChars="0"/>
              <w:jc w:val="center"/>
              <w:rPr>
                <w:rFonts w:hint="eastAsia"/>
                <w:sz w:val="21"/>
                <w:szCs w:val="21"/>
                <w:u w:val="single"/>
                <w:lang w:val="en-US" w:eastAsia="zh-CN"/>
              </w:rPr>
            </w:pPr>
            <w:r>
              <w:rPr>
                <w:rFonts w:hint="eastAsia"/>
                <w:sz w:val="21"/>
                <w:szCs w:val="21"/>
                <w:u w:val="single"/>
                <w:lang w:val="en-US" w:eastAsia="zh-CN"/>
              </w:rPr>
              <w:t>10</w:t>
            </w:r>
            <w:r>
              <w:rPr>
                <w:sz w:val="21"/>
                <w:szCs w:val="21"/>
                <w:u w:val="single"/>
              </w:rPr>
              <w:t>min</w:t>
            </w:r>
          </w:p>
        </w:tc>
      </w:tr>
      <w:tr w14:paraId="03136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5055C896">
            <w:pPr>
              <w:pStyle w:val="88"/>
              <w:spacing w:line="240" w:lineRule="exact"/>
              <w:ind w:firstLine="0" w:firstLineChars="0"/>
              <w:jc w:val="center"/>
              <w:rPr>
                <w:sz w:val="21"/>
                <w:szCs w:val="21"/>
              </w:rPr>
            </w:pPr>
            <w:r>
              <w:rPr>
                <w:sz w:val="21"/>
                <w:szCs w:val="21"/>
              </w:rPr>
              <w:t>泄漏速率</w:t>
            </w:r>
          </w:p>
        </w:tc>
        <w:tc>
          <w:tcPr>
            <w:tcW w:w="1874" w:type="pct"/>
            <w:noWrap w:val="0"/>
            <w:vAlign w:val="center"/>
          </w:tcPr>
          <w:p w14:paraId="4F2AF442">
            <w:pPr>
              <w:pStyle w:val="88"/>
              <w:spacing w:line="240" w:lineRule="exact"/>
              <w:ind w:firstLine="0" w:firstLineChars="0"/>
              <w:jc w:val="center"/>
              <w:rPr>
                <w:sz w:val="21"/>
                <w:szCs w:val="21"/>
              </w:rPr>
            </w:pPr>
            <w:r>
              <w:rPr>
                <w:rFonts w:hint="eastAsia"/>
                <w:sz w:val="21"/>
                <w:szCs w:val="21"/>
                <w:lang w:val="en-US" w:eastAsia="zh-CN"/>
              </w:rPr>
              <w:t>5.47</w:t>
            </w:r>
            <w:r>
              <w:rPr>
                <w:sz w:val="21"/>
                <w:szCs w:val="21"/>
              </w:rPr>
              <w:t>kg/s</w:t>
            </w:r>
          </w:p>
        </w:tc>
        <w:tc>
          <w:tcPr>
            <w:tcW w:w="1874" w:type="pct"/>
            <w:noWrap w:val="0"/>
            <w:vAlign w:val="center"/>
          </w:tcPr>
          <w:p w14:paraId="1319B425">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5.47kg/s</w:t>
            </w:r>
          </w:p>
        </w:tc>
      </w:tr>
      <w:tr w14:paraId="55336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250" w:type="pct"/>
            <w:noWrap w:val="0"/>
            <w:vAlign w:val="center"/>
          </w:tcPr>
          <w:p w14:paraId="1FDEFC76">
            <w:pPr>
              <w:pStyle w:val="88"/>
              <w:spacing w:line="240" w:lineRule="exact"/>
              <w:ind w:firstLine="0" w:firstLineChars="0"/>
              <w:jc w:val="center"/>
              <w:rPr>
                <w:sz w:val="21"/>
                <w:szCs w:val="21"/>
              </w:rPr>
            </w:pPr>
            <w:r>
              <w:rPr>
                <w:sz w:val="21"/>
                <w:szCs w:val="21"/>
              </w:rPr>
              <w:t>液池蒸发时间</w:t>
            </w:r>
          </w:p>
        </w:tc>
        <w:tc>
          <w:tcPr>
            <w:tcW w:w="1874" w:type="pct"/>
            <w:noWrap w:val="0"/>
            <w:vAlign w:val="center"/>
          </w:tcPr>
          <w:p w14:paraId="21569142">
            <w:pPr>
              <w:pStyle w:val="88"/>
              <w:spacing w:line="240" w:lineRule="exact"/>
              <w:ind w:firstLine="0" w:firstLineChars="0"/>
              <w:jc w:val="center"/>
              <w:rPr>
                <w:sz w:val="21"/>
                <w:szCs w:val="21"/>
              </w:rPr>
            </w:pPr>
            <w:r>
              <w:rPr>
                <w:sz w:val="21"/>
                <w:szCs w:val="21"/>
              </w:rPr>
              <w:t>30min</w:t>
            </w:r>
          </w:p>
        </w:tc>
        <w:tc>
          <w:tcPr>
            <w:tcW w:w="1874" w:type="pct"/>
            <w:noWrap w:val="0"/>
            <w:vAlign w:val="center"/>
          </w:tcPr>
          <w:p w14:paraId="05346219">
            <w:pPr>
              <w:pStyle w:val="88"/>
              <w:spacing w:line="240" w:lineRule="exact"/>
              <w:ind w:firstLine="0" w:firstLineChars="0"/>
              <w:jc w:val="center"/>
              <w:rPr>
                <w:rFonts w:hint="eastAsia" w:eastAsia="宋体"/>
                <w:sz w:val="21"/>
                <w:szCs w:val="21"/>
                <w:u w:val="single"/>
                <w:lang w:val="en-US" w:eastAsia="zh-CN"/>
              </w:rPr>
            </w:pPr>
            <w:r>
              <w:rPr>
                <w:rFonts w:hint="eastAsia"/>
                <w:sz w:val="21"/>
                <w:szCs w:val="21"/>
                <w:u w:val="single"/>
                <w:lang w:val="en-US" w:eastAsia="zh-CN"/>
              </w:rPr>
              <w:t>/</w:t>
            </w:r>
          </w:p>
        </w:tc>
      </w:tr>
      <w:tr w14:paraId="69C23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50" w:type="pct"/>
            <w:noWrap w:val="0"/>
            <w:vAlign w:val="center"/>
          </w:tcPr>
          <w:p w14:paraId="110E8881">
            <w:pPr>
              <w:pStyle w:val="88"/>
              <w:spacing w:line="240" w:lineRule="exact"/>
              <w:ind w:firstLine="0" w:firstLineChars="0"/>
              <w:jc w:val="center"/>
              <w:rPr>
                <w:sz w:val="21"/>
                <w:szCs w:val="21"/>
              </w:rPr>
            </w:pPr>
            <w:r>
              <w:rPr>
                <w:sz w:val="21"/>
                <w:szCs w:val="21"/>
              </w:rPr>
              <w:t>蒸发速率Q</w:t>
            </w:r>
          </w:p>
        </w:tc>
        <w:tc>
          <w:tcPr>
            <w:tcW w:w="1874" w:type="pct"/>
            <w:noWrap w:val="0"/>
            <w:vAlign w:val="center"/>
          </w:tcPr>
          <w:p w14:paraId="4C7E6691">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0.10</w:t>
            </w:r>
            <w:r>
              <w:rPr>
                <w:color w:val="auto"/>
              </w:rPr>
              <w:t>kg/s</w:t>
            </w:r>
          </w:p>
        </w:tc>
        <w:tc>
          <w:tcPr>
            <w:tcW w:w="1874" w:type="pct"/>
            <w:noWrap w:val="0"/>
            <w:vAlign w:val="center"/>
          </w:tcPr>
          <w:p w14:paraId="6B813EA4">
            <w:pPr>
              <w:pStyle w:val="88"/>
              <w:spacing w:line="240" w:lineRule="exact"/>
              <w:ind w:firstLine="0" w:firstLineChars="0"/>
              <w:jc w:val="center"/>
              <w:rPr>
                <w:rFonts w:hint="default"/>
                <w:sz w:val="21"/>
                <w:szCs w:val="21"/>
                <w:u w:val="single"/>
                <w:lang w:val="en-US" w:eastAsia="zh-CN"/>
              </w:rPr>
            </w:pPr>
            <w:r>
              <w:rPr>
                <w:rFonts w:hint="eastAsia"/>
                <w:sz w:val="21"/>
                <w:szCs w:val="21"/>
                <w:u w:val="single"/>
                <w:lang w:val="en-US" w:eastAsia="zh-CN"/>
              </w:rPr>
              <w:t>/</w:t>
            </w:r>
          </w:p>
        </w:tc>
      </w:tr>
    </w:tbl>
    <w:p w14:paraId="103AC464">
      <w:pPr>
        <w:spacing w:line="500" w:lineRule="exact"/>
        <w:ind w:firstLine="520"/>
        <w:rPr>
          <w:sz w:val="24"/>
        </w:rPr>
      </w:pPr>
      <w:r>
        <w:rPr>
          <w:rFonts w:hint="eastAsia"/>
          <w:sz w:val="24"/>
          <w:lang w:val="en-US" w:eastAsia="zh-CN"/>
        </w:rPr>
        <w:t>3、</w:t>
      </w:r>
      <w:r>
        <w:rPr>
          <w:sz w:val="24"/>
        </w:rPr>
        <w:t>CO的产生量</w:t>
      </w:r>
    </w:p>
    <w:p w14:paraId="02D76A9E">
      <w:pPr>
        <w:spacing w:line="500" w:lineRule="exact"/>
        <w:ind w:firstLine="520"/>
        <w:rPr>
          <w:sz w:val="24"/>
        </w:rPr>
      </w:pPr>
      <w:r>
        <w:rPr>
          <w:rFonts w:hint="eastAsia"/>
          <w:sz w:val="24"/>
          <w:lang w:val="en-US" w:eastAsia="zh-CN"/>
        </w:rPr>
        <w:t>根据</w:t>
      </w:r>
      <w:r>
        <w:rPr>
          <w:sz w:val="24"/>
        </w:rPr>
        <w:t>火灾伴生/次生CO产生量的计算见公式：</w:t>
      </w:r>
    </w:p>
    <w:p w14:paraId="2D30AD5E">
      <w:pPr>
        <w:spacing w:line="500" w:lineRule="exact"/>
        <w:ind w:firstLine="520"/>
        <w:jc w:val="center"/>
        <w:rPr>
          <w:sz w:val="24"/>
        </w:rPr>
      </w:pPr>
      <w:r>
        <w:rPr>
          <w:sz w:val="24"/>
        </w:rPr>
        <w:t>G</w:t>
      </w:r>
      <w:r>
        <w:rPr>
          <w:sz w:val="24"/>
          <w:vertAlign w:val="subscript"/>
        </w:rPr>
        <w:t>一氧化碳</w:t>
      </w:r>
      <w:r>
        <w:rPr>
          <w:sz w:val="24"/>
        </w:rPr>
        <w:t>=2330qCQ</w:t>
      </w:r>
    </w:p>
    <w:p w14:paraId="578EBD8D">
      <w:pPr>
        <w:spacing w:line="500" w:lineRule="exact"/>
        <w:ind w:firstLine="520"/>
        <w:rPr>
          <w:sz w:val="24"/>
        </w:rPr>
      </w:pPr>
      <w:r>
        <w:rPr>
          <w:sz w:val="24"/>
        </w:rPr>
        <w:t>式中：G 一氧化碳——一氧化碳的产生量，kg/s；</w:t>
      </w:r>
    </w:p>
    <w:p w14:paraId="03FB60CB">
      <w:pPr>
        <w:spacing w:line="500" w:lineRule="exact"/>
        <w:ind w:firstLine="520"/>
        <w:rPr>
          <w:sz w:val="24"/>
        </w:rPr>
      </w:pPr>
      <w:r>
        <w:rPr>
          <w:sz w:val="24"/>
        </w:rPr>
        <w:t>C——物质中碳的含量，根据导则F.15式取</w:t>
      </w:r>
      <w:r>
        <w:rPr>
          <w:rFonts w:hint="eastAsia"/>
          <w:sz w:val="24"/>
          <w:lang w:val="en-US" w:eastAsia="zh-CN"/>
        </w:rPr>
        <w:t>85</w:t>
      </w:r>
      <w:r>
        <w:rPr>
          <w:sz w:val="24"/>
        </w:rPr>
        <w:t>%；</w:t>
      </w:r>
    </w:p>
    <w:p w14:paraId="20E1BECF">
      <w:pPr>
        <w:spacing w:line="500" w:lineRule="exact"/>
        <w:ind w:firstLine="520"/>
        <w:rPr>
          <w:sz w:val="24"/>
        </w:rPr>
      </w:pPr>
      <w:r>
        <w:rPr>
          <w:sz w:val="24"/>
        </w:rPr>
        <w:t>q——化学不完全燃烧值，</w:t>
      </w:r>
      <w:r>
        <w:rPr>
          <w:rFonts w:hint="eastAsia"/>
          <w:sz w:val="24"/>
        </w:rPr>
        <w:t>1.5%～6.0%</w:t>
      </w:r>
      <w:r>
        <w:rPr>
          <w:sz w:val="24"/>
        </w:rPr>
        <w:t>，本报告取</w:t>
      </w:r>
      <w:r>
        <w:rPr>
          <w:rFonts w:hint="eastAsia"/>
          <w:sz w:val="24"/>
          <w:lang w:val="en-US" w:eastAsia="zh-CN"/>
        </w:rPr>
        <w:t>6.0</w:t>
      </w:r>
      <w:r>
        <w:rPr>
          <w:sz w:val="24"/>
        </w:rPr>
        <w:t>%；</w:t>
      </w:r>
    </w:p>
    <w:p w14:paraId="2D52BB47">
      <w:pPr>
        <w:spacing w:line="500" w:lineRule="exact"/>
        <w:ind w:firstLine="520"/>
        <w:rPr>
          <w:sz w:val="24"/>
        </w:rPr>
      </w:pPr>
      <w:r>
        <w:rPr>
          <w:sz w:val="24"/>
        </w:rPr>
        <w:t>Q——参与燃烧的物质量，t/s</w:t>
      </w:r>
      <w:r>
        <w:rPr>
          <w:rFonts w:hint="eastAsia"/>
          <w:sz w:val="24"/>
        </w:rPr>
        <w:t>（指泄漏物质的量）</w:t>
      </w:r>
      <w:r>
        <w:rPr>
          <w:sz w:val="24"/>
        </w:rPr>
        <w:t>。</w:t>
      </w:r>
    </w:p>
    <w:p w14:paraId="1893D7D0">
      <w:pPr>
        <w:keepNext/>
        <w:keepLines/>
        <w:widowControl/>
        <w:tabs>
          <w:tab w:val="left" w:pos="795"/>
        </w:tabs>
        <w:spacing w:line="500" w:lineRule="exact"/>
        <w:ind w:left="795"/>
        <w:jc w:val="center"/>
        <w:outlineLvl w:val="3"/>
        <w:rPr>
          <w:rFonts w:hint="default" w:eastAsia="宋体"/>
          <w:sz w:val="24"/>
          <w:lang w:val="en-US" w:eastAsia="zh-CN"/>
        </w:rPr>
      </w:pPr>
      <w:r>
        <w:rPr>
          <w:rFonts w:hint="eastAsia"/>
          <w:b/>
          <w:kern w:val="0"/>
          <w:sz w:val="24"/>
          <w:lang w:val="en-US" w:eastAsia="zh-CN"/>
        </w:rPr>
        <w:t>表6.1-2 火灾伴生 CO 源强计算表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2"/>
        <w:gridCol w:w="3627"/>
        <w:gridCol w:w="3627"/>
      </w:tblGrid>
      <w:tr w14:paraId="4D095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5" w:type="pct"/>
            <w:tcBorders>
              <w:top w:val="single" w:color="000000" w:sz="4" w:space="0"/>
              <w:left w:val="single" w:color="000000" w:sz="4" w:space="0"/>
              <w:bottom w:val="single" w:color="000000" w:sz="4" w:space="0"/>
              <w:right w:val="single" w:color="000000" w:sz="4" w:space="0"/>
            </w:tcBorders>
            <w:noWrap w:val="0"/>
            <w:vAlign w:val="center"/>
          </w:tcPr>
          <w:p w14:paraId="1B6488EA">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计算参数</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613CB844">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hint="eastAsia" w:ascii="Times New Roman" w:hAnsi="Times New Roman"/>
                <w:spacing w:val="10"/>
                <w:kern w:val="2"/>
                <w:sz w:val="21"/>
                <w:szCs w:val="21"/>
                <w:lang w:val="en-US" w:eastAsia="zh-CN" w:bidi="ar"/>
              </w:rPr>
              <w:t>醋酸中间罐</w:t>
            </w:r>
            <w:r>
              <w:rPr>
                <w:rFonts w:ascii="Times New Roman" w:hAnsi="Times New Roman"/>
                <w:spacing w:val="10"/>
                <w:kern w:val="2"/>
                <w:sz w:val="21"/>
                <w:szCs w:val="21"/>
                <w:lang w:bidi="ar"/>
              </w:rPr>
              <w:t>火灾伴生CO</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71CCE149">
            <w:pPr>
              <w:pStyle w:val="22"/>
              <w:widowControl w:val="0"/>
              <w:spacing w:before="0" w:beforeAutospacing="0" w:after="0" w:afterAutospacing="0" w:line="240" w:lineRule="exact"/>
              <w:jc w:val="center"/>
              <w:rPr>
                <w:rFonts w:hint="eastAsia" w:ascii="Times New Roman" w:hAnsi="Times New Roman"/>
                <w:spacing w:val="10"/>
                <w:kern w:val="2"/>
                <w:sz w:val="21"/>
                <w:szCs w:val="21"/>
                <w:u w:val="single"/>
                <w:lang w:val="en-US" w:eastAsia="zh-CN" w:bidi="ar"/>
              </w:rPr>
            </w:pPr>
            <w:r>
              <w:rPr>
                <w:rFonts w:hint="eastAsia" w:ascii="Times New Roman" w:hAnsi="Times New Roman"/>
                <w:spacing w:val="10"/>
                <w:kern w:val="2"/>
                <w:sz w:val="21"/>
                <w:szCs w:val="21"/>
                <w:u w:val="single"/>
                <w:lang w:val="en-US" w:eastAsia="zh-CN" w:bidi="ar"/>
              </w:rPr>
              <w:t>废液罐</w:t>
            </w:r>
            <w:r>
              <w:rPr>
                <w:rFonts w:ascii="Times New Roman" w:hAnsi="Times New Roman"/>
                <w:spacing w:val="10"/>
                <w:kern w:val="2"/>
                <w:sz w:val="21"/>
                <w:szCs w:val="21"/>
                <w:u w:val="single"/>
                <w:lang w:bidi="ar"/>
              </w:rPr>
              <w:t>火灾伴生CO</w:t>
            </w:r>
          </w:p>
        </w:tc>
      </w:tr>
      <w:tr w14:paraId="49B8D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5" w:type="pct"/>
            <w:tcBorders>
              <w:top w:val="single" w:color="000000" w:sz="4" w:space="0"/>
              <w:left w:val="single" w:color="000000" w:sz="4" w:space="0"/>
              <w:bottom w:val="single" w:color="000000" w:sz="4" w:space="0"/>
              <w:right w:val="single" w:color="000000" w:sz="4" w:space="0"/>
            </w:tcBorders>
            <w:noWrap w:val="0"/>
            <w:vAlign w:val="center"/>
          </w:tcPr>
          <w:p w14:paraId="054A5D97">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物质含碳量</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5A117883">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hint="eastAsia" w:ascii="Times New Roman" w:hAnsi="Times New Roman"/>
                <w:spacing w:val="10"/>
                <w:kern w:val="2"/>
                <w:sz w:val="21"/>
                <w:szCs w:val="21"/>
                <w:lang w:val="en-US" w:eastAsia="zh-CN" w:bidi="ar"/>
              </w:rPr>
              <w:t>85</w:t>
            </w:r>
            <w:r>
              <w:rPr>
                <w:rFonts w:hint="eastAsia" w:ascii="Times New Roman" w:hAnsi="Times New Roman"/>
                <w:spacing w:val="10"/>
                <w:kern w:val="2"/>
                <w:sz w:val="21"/>
                <w:szCs w:val="21"/>
                <w:lang w:bidi="ar"/>
              </w:rPr>
              <w:t>%</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094469DF">
            <w:pPr>
              <w:pStyle w:val="22"/>
              <w:widowControl w:val="0"/>
              <w:spacing w:before="0" w:beforeAutospacing="0" w:after="0" w:afterAutospacing="0" w:line="240" w:lineRule="exact"/>
              <w:jc w:val="center"/>
              <w:rPr>
                <w:rFonts w:hint="default" w:ascii="Times New Roman" w:hAnsi="Times New Roman"/>
                <w:spacing w:val="10"/>
                <w:kern w:val="2"/>
                <w:sz w:val="21"/>
                <w:szCs w:val="21"/>
                <w:u w:val="single"/>
                <w:lang w:val="en-US" w:bidi="ar"/>
              </w:rPr>
            </w:pPr>
            <w:r>
              <w:rPr>
                <w:rFonts w:hint="eastAsia" w:ascii="Times New Roman" w:hAnsi="Times New Roman"/>
                <w:spacing w:val="10"/>
                <w:kern w:val="2"/>
                <w:sz w:val="21"/>
                <w:szCs w:val="21"/>
                <w:u w:val="single"/>
                <w:lang w:val="en-US" w:eastAsia="zh-CN" w:bidi="ar"/>
              </w:rPr>
              <w:t>85%</w:t>
            </w:r>
          </w:p>
        </w:tc>
      </w:tr>
      <w:tr w14:paraId="05009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5" w:type="pct"/>
            <w:tcBorders>
              <w:top w:val="single" w:color="000000" w:sz="4" w:space="0"/>
              <w:left w:val="single" w:color="000000" w:sz="4" w:space="0"/>
              <w:bottom w:val="single" w:color="000000" w:sz="4" w:space="0"/>
              <w:right w:val="single" w:color="000000" w:sz="4" w:space="0"/>
            </w:tcBorders>
            <w:noWrap w:val="0"/>
            <w:vAlign w:val="center"/>
          </w:tcPr>
          <w:p w14:paraId="2C7DFE80">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化学不完全燃烧值</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3DCA1697">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6.0%</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5EC69E45">
            <w:pPr>
              <w:pStyle w:val="22"/>
              <w:widowControl w:val="0"/>
              <w:spacing w:before="0" w:beforeAutospacing="0" w:after="0" w:afterAutospacing="0" w:line="240" w:lineRule="exact"/>
              <w:jc w:val="center"/>
              <w:rPr>
                <w:rFonts w:ascii="Times New Roman" w:hAnsi="Times New Roman"/>
                <w:spacing w:val="10"/>
                <w:kern w:val="2"/>
                <w:sz w:val="21"/>
                <w:szCs w:val="21"/>
                <w:u w:val="single"/>
                <w:lang w:bidi="ar"/>
              </w:rPr>
            </w:pPr>
            <w:r>
              <w:rPr>
                <w:rFonts w:ascii="Times New Roman" w:hAnsi="Times New Roman"/>
                <w:spacing w:val="10"/>
                <w:kern w:val="2"/>
                <w:sz w:val="21"/>
                <w:szCs w:val="21"/>
                <w:u w:val="single"/>
                <w:lang w:bidi="ar"/>
              </w:rPr>
              <w:t>6.0%</w:t>
            </w:r>
          </w:p>
        </w:tc>
      </w:tr>
      <w:tr w14:paraId="18A9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5" w:type="pct"/>
            <w:tcBorders>
              <w:top w:val="single" w:color="000000" w:sz="4" w:space="0"/>
              <w:left w:val="single" w:color="000000" w:sz="4" w:space="0"/>
              <w:bottom w:val="single" w:color="000000" w:sz="4" w:space="0"/>
              <w:right w:val="single" w:color="000000" w:sz="4" w:space="0"/>
            </w:tcBorders>
            <w:noWrap w:val="0"/>
            <w:vAlign w:val="center"/>
          </w:tcPr>
          <w:p w14:paraId="17A6C30F">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燃烧物质量t/s</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35B222A8">
            <w:pPr>
              <w:pStyle w:val="22"/>
              <w:widowControl w:val="0"/>
              <w:spacing w:before="0" w:beforeAutospacing="0" w:after="0" w:afterAutospacing="0" w:line="240" w:lineRule="exact"/>
              <w:jc w:val="center"/>
              <w:rPr>
                <w:rFonts w:hint="eastAsia" w:ascii="Times New Roman" w:hAnsi="Times New Roman" w:eastAsia="宋体"/>
                <w:spacing w:val="10"/>
                <w:kern w:val="2"/>
                <w:sz w:val="21"/>
                <w:szCs w:val="21"/>
                <w:lang w:eastAsia="zh-CN" w:bidi="ar"/>
              </w:rPr>
            </w:pPr>
            <w:r>
              <w:rPr>
                <w:rFonts w:hint="eastAsia" w:ascii="Times New Roman" w:hAnsi="Times New Roman"/>
                <w:spacing w:val="10"/>
                <w:kern w:val="2"/>
                <w:sz w:val="21"/>
                <w:szCs w:val="21"/>
                <w:lang w:bidi="ar"/>
              </w:rPr>
              <w:t>0.00</w:t>
            </w:r>
            <w:r>
              <w:rPr>
                <w:rFonts w:hint="eastAsia" w:ascii="Times New Roman" w:hAnsi="Times New Roman"/>
                <w:spacing w:val="10"/>
                <w:kern w:val="2"/>
                <w:sz w:val="21"/>
                <w:szCs w:val="21"/>
                <w:lang w:val="en-US" w:eastAsia="zh-CN" w:bidi="ar"/>
              </w:rPr>
              <w:t>5</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39D76274">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u w:val="single"/>
                <w:lang w:val="en-US" w:eastAsia="zh-CN" w:bidi="ar"/>
              </w:rPr>
            </w:pPr>
            <w:r>
              <w:rPr>
                <w:rFonts w:hint="eastAsia" w:ascii="Times New Roman" w:hAnsi="Times New Roman"/>
                <w:spacing w:val="10"/>
                <w:kern w:val="2"/>
                <w:sz w:val="21"/>
                <w:szCs w:val="21"/>
                <w:u w:val="single"/>
                <w:lang w:val="en-US" w:eastAsia="zh-CN" w:bidi="ar"/>
              </w:rPr>
              <w:t>0.005</w:t>
            </w:r>
          </w:p>
        </w:tc>
      </w:tr>
      <w:tr w14:paraId="3B6D6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5" w:type="pct"/>
            <w:tcBorders>
              <w:top w:val="single" w:color="000000" w:sz="4" w:space="0"/>
              <w:left w:val="single" w:color="000000" w:sz="4" w:space="0"/>
              <w:bottom w:val="single" w:color="000000" w:sz="4" w:space="0"/>
              <w:right w:val="single" w:color="000000" w:sz="4" w:space="0"/>
            </w:tcBorders>
            <w:noWrap w:val="0"/>
            <w:vAlign w:val="center"/>
          </w:tcPr>
          <w:p w14:paraId="5009F0F9">
            <w:pPr>
              <w:pStyle w:val="22"/>
              <w:widowControl w:val="0"/>
              <w:spacing w:before="0" w:beforeAutospacing="0" w:after="0" w:afterAutospacing="0" w:line="240" w:lineRule="exact"/>
              <w:jc w:val="center"/>
              <w:rPr>
                <w:rFonts w:ascii="Times New Roman" w:hAnsi="Times New Roman"/>
                <w:spacing w:val="10"/>
                <w:kern w:val="2"/>
                <w:sz w:val="21"/>
                <w:szCs w:val="21"/>
                <w:lang w:bidi="ar"/>
              </w:rPr>
            </w:pPr>
            <w:r>
              <w:rPr>
                <w:rFonts w:ascii="Times New Roman" w:hAnsi="Times New Roman"/>
                <w:spacing w:val="10"/>
                <w:kern w:val="2"/>
                <w:sz w:val="21"/>
                <w:szCs w:val="21"/>
                <w:lang w:bidi="ar"/>
              </w:rPr>
              <w:t>产生速率kg/s</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22972151">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lang w:val="en-US" w:eastAsia="zh-CN" w:bidi="ar"/>
              </w:rPr>
            </w:pPr>
            <w:r>
              <w:rPr>
                <w:rFonts w:hint="eastAsia" w:ascii="Times New Roman" w:hAnsi="Times New Roman"/>
                <w:spacing w:val="10"/>
                <w:kern w:val="2"/>
                <w:sz w:val="21"/>
                <w:szCs w:val="21"/>
                <w:lang w:val="en-US" w:eastAsia="zh-CN" w:bidi="ar"/>
              </w:rPr>
              <w:t>0.59</w:t>
            </w:r>
          </w:p>
        </w:tc>
        <w:tc>
          <w:tcPr>
            <w:tcW w:w="2002" w:type="pct"/>
            <w:tcBorders>
              <w:top w:val="single" w:color="000000" w:sz="4" w:space="0"/>
              <w:left w:val="single" w:color="000000" w:sz="4" w:space="0"/>
              <w:bottom w:val="single" w:color="000000" w:sz="4" w:space="0"/>
              <w:right w:val="single" w:color="000000" w:sz="4" w:space="0"/>
            </w:tcBorders>
            <w:noWrap w:val="0"/>
            <w:vAlign w:val="center"/>
          </w:tcPr>
          <w:p w14:paraId="20E4F3A5">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u w:val="single"/>
                <w:lang w:val="en-US" w:eastAsia="zh-CN" w:bidi="ar"/>
              </w:rPr>
            </w:pPr>
            <w:r>
              <w:rPr>
                <w:rFonts w:hint="eastAsia" w:ascii="Times New Roman" w:hAnsi="Times New Roman"/>
                <w:spacing w:val="10"/>
                <w:kern w:val="2"/>
                <w:sz w:val="21"/>
                <w:szCs w:val="21"/>
                <w:u w:val="single"/>
                <w:lang w:val="en-US" w:eastAsia="zh-CN" w:bidi="ar"/>
              </w:rPr>
              <w:t>0.59</w:t>
            </w:r>
          </w:p>
        </w:tc>
      </w:tr>
    </w:tbl>
    <w:p w14:paraId="1D8890E5">
      <w:pPr>
        <w:spacing w:line="500" w:lineRule="exact"/>
        <w:ind w:firstLine="520"/>
        <w:rPr>
          <w:rFonts w:hint="eastAsia"/>
          <w:sz w:val="24"/>
        </w:rPr>
      </w:pPr>
      <w:r>
        <w:rPr>
          <w:rFonts w:hint="eastAsia"/>
          <w:sz w:val="24"/>
          <w:lang w:val="en-US" w:eastAsia="zh-CN"/>
        </w:rPr>
        <w:t>4、</w:t>
      </w:r>
      <w:r>
        <w:rPr>
          <w:rFonts w:hint="eastAsia"/>
          <w:sz w:val="24"/>
        </w:rPr>
        <w:t>项目环境风险源项汇总</w:t>
      </w:r>
    </w:p>
    <w:p w14:paraId="6113E2A9">
      <w:pPr>
        <w:keepNext/>
        <w:keepLines/>
        <w:widowControl/>
        <w:tabs>
          <w:tab w:val="left" w:pos="795"/>
        </w:tabs>
        <w:spacing w:line="500" w:lineRule="exact"/>
        <w:ind w:left="795"/>
        <w:jc w:val="center"/>
        <w:outlineLvl w:val="3"/>
        <w:rPr>
          <w:rFonts w:hint="eastAsia"/>
          <w:sz w:val="24"/>
        </w:rPr>
      </w:pPr>
      <w:r>
        <w:rPr>
          <w:rFonts w:hint="eastAsia"/>
          <w:b/>
          <w:kern w:val="0"/>
          <w:sz w:val="24"/>
          <w:lang w:val="en-US" w:eastAsia="zh-CN"/>
        </w:rPr>
        <w:t>表6.1-3 建设项目风险源强一览表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9"/>
        <w:gridCol w:w="1268"/>
        <w:gridCol w:w="1027"/>
        <w:gridCol w:w="1009"/>
        <w:gridCol w:w="1007"/>
        <w:gridCol w:w="1009"/>
        <w:gridCol w:w="1009"/>
        <w:gridCol w:w="1011"/>
        <w:gridCol w:w="1001"/>
      </w:tblGrid>
      <w:tr w14:paraId="26869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7" w:type="pct"/>
            <w:tcBorders>
              <w:top w:val="single" w:color="000000" w:sz="4" w:space="0"/>
              <w:left w:val="single" w:color="000000" w:sz="4" w:space="0"/>
              <w:bottom w:val="single" w:color="000000" w:sz="4" w:space="0"/>
              <w:right w:val="single" w:color="000000" w:sz="4" w:space="0"/>
            </w:tcBorders>
            <w:noWrap w:val="0"/>
            <w:vAlign w:val="center"/>
          </w:tcPr>
          <w:p w14:paraId="660B356B">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序号</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42D7111C">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风险事故情形描述</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6493A60F">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危险单元</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35327223">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危险物质</w:t>
            </w:r>
          </w:p>
        </w:tc>
        <w:tc>
          <w:tcPr>
            <w:tcW w:w="555" w:type="pct"/>
            <w:tcBorders>
              <w:top w:val="single" w:color="000000" w:sz="4" w:space="0"/>
              <w:left w:val="single" w:color="000000" w:sz="4" w:space="0"/>
              <w:bottom w:val="single" w:color="000000" w:sz="4" w:space="0"/>
              <w:right w:val="single" w:color="000000" w:sz="4" w:space="0"/>
            </w:tcBorders>
            <w:noWrap w:val="0"/>
            <w:vAlign w:val="center"/>
          </w:tcPr>
          <w:p w14:paraId="17B79949">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大气稳定度</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78844F91">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释放或泄漏速率 kg/s</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3A2B853C">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释放或泄漏时间 min</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026D76B1">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蒸发速率kg/s</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7CE931EC">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蒸发时间 min</w:t>
            </w:r>
          </w:p>
        </w:tc>
      </w:tr>
      <w:tr w14:paraId="0CB1E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7" w:type="pct"/>
            <w:tcBorders>
              <w:top w:val="single" w:color="000000" w:sz="4" w:space="0"/>
              <w:left w:val="single" w:color="000000" w:sz="4" w:space="0"/>
              <w:right w:val="single" w:color="000000" w:sz="4" w:space="0"/>
            </w:tcBorders>
            <w:noWrap w:val="0"/>
            <w:vAlign w:val="center"/>
          </w:tcPr>
          <w:p w14:paraId="43CF910F">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bidi="ar"/>
              </w:rPr>
              <w:t>1</w:t>
            </w:r>
          </w:p>
        </w:tc>
        <w:tc>
          <w:tcPr>
            <w:tcW w:w="699" w:type="pct"/>
            <w:tcBorders>
              <w:top w:val="single" w:color="000000" w:sz="4" w:space="0"/>
              <w:left w:val="single" w:color="000000" w:sz="4" w:space="0"/>
              <w:right w:val="single" w:color="000000" w:sz="4" w:space="0"/>
            </w:tcBorders>
            <w:noWrap w:val="0"/>
            <w:vAlign w:val="center"/>
          </w:tcPr>
          <w:p w14:paraId="4D577100">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bidi="ar"/>
              </w:rPr>
              <w:t>物质泄漏</w:t>
            </w:r>
          </w:p>
        </w:tc>
        <w:tc>
          <w:tcPr>
            <w:tcW w:w="566" w:type="pct"/>
            <w:vMerge w:val="restart"/>
            <w:tcBorders>
              <w:top w:val="single" w:color="000000" w:sz="4" w:space="0"/>
              <w:left w:val="single" w:color="000000" w:sz="4" w:space="0"/>
              <w:right w:val="single" w:color="000000" w:sz="4" w:space="0"/>
            </w:tcBorders>
            <w:noWrap w:val="0"/>
            <w:vAlign w:val="center"/>
          </w:tcPr>
          <w:p w14:paraId="0FDE1B09">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lang w:val="en-US" w:eastAsia="zh-CN" w:bidi="ar"/>
              </w:rPr>
            </w:pPr>
            <w:r>
              <w:rPr>
                <w:rFonts w:hint="eastAsia" w:ascii="Times New Roman" w:hAnsi="Times New Roman"/>
                <w:spacing w:val="10"/>
                <w:kern w:val="2"/>
                <w:sz w:val="21"/>
                <w:szCs w:val="21"/>
                <w:highlight w:val="none"/>
                <w:lang w:val="en-US" w:eastAsia="zh-CN" w:bidi="ar"/>
              </w:rPr>
              <w:t>醋酸中间罐</w:t>
            </w:r>
          </w:p>
        </w:tc>
        <w:tc>
          <w:tcPr>
            <w:tcW w:w="556" w:type="pct"/>
            <w:tcBorders>
              <w:top w:val="single" w:color="000000" w:sz="4" w:space="0"/>
              <w:left w:val="single" w:color="000000" w:sz="4" w:space="0"/>
              <w:right w:val="single" w:color="000000" w:sz="4" w:space="0"/>
            </w:tcBorders>
            <w:noWrap w:val="0"/>
            <w:vAlign w:val="center"/>
          </w:tcPr>
          <w:p w14:paraId="6A664064">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lang w:val="en-US" w:eastAsia="zh-CN" w:bidi="ar"/>
              </w:rPr>
            </w:pPr>
            <w:r>
              <w:rPr>
                <w:rFonts w:hint="eastAsia" w:ascii="Times New Roman" w:hAnsi="Times New Roman"/>
                <w:spacing w:val="10"/>
                <w:kern w:val="2"/>
                <w:sz w:val="21"/>
                <w:szCs w:val="21"/>
                <w:highlight w:val="none"/>
                <w:lang w:val="en-US" w:eastAsia="zh-CN" w:bidi="ar"/>
              </w:rPr>
              <w:t>醋酸</w:t>
            </w:r>
          </w:p>
        </w:tc>
        <w:tc>
          <w:tcPr>
            <w:tcW w:w="555" w:type="pct"/>
            <w:tcBorders>
              <w:top w:val="single" w:color="000000" w:sz="4" w:space="0"/>
              <w:left w:val="single" w:color="000000" w:sz="4" w:space="0"/>
              <w:bottom w:val="single" w:color="000000" w:sz="4" w:space="0"/>
              <w:right w:val="single" w:color="000000" w:sz="4" w:space="0"/>
            </w:tcBorders>
            <w:noWrap w:val="0"/>
            <w:vAlign w:val="center"/>
          </w:tcPr>
          <w:p w14:paraId="0B3CDB06">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bidi="ar"/>
              </w:rPr>
              <w:t>F</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03821061">
            <w:pPr>
              <w:widowControl/>
              <w:jc w:val="center"/>
              <w:textAlignment w:val="center"/>
              <w:rPr>
                <w:rFonts w:hint="default" w:eastAsia="宋体"/>
                <w:kern w:val="0"/>
                <w:sz w:val="21"/>
                <w:szCs w:val="21"/>
                <w:highlight w:val="none"/>
                <w:lang w:val="en-US" w:eastAsia="zh-CN" w:bidi="ar"/>
              </w:rPr>
            </w:pPr>
            <w:r>
              <w:rPr>
                <w:rFonts w:hint="eastAsia"/>
                <w:sz w:val="21"/>
                <w:szCs w:val="21"/>
                <w:highlight w:val="none"/>
                <w:lang w:val="en-US" w:eastAsia="zh-CN"/>
              </w:rPr>
              <w:t>9.19</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6CB2B8C5">
            <w:pPr>
              <w:widowControl/>
              <w:jc w:val="center"/>
              <w:textAlignment w:val="center"/>
              <w:rPr>
                <w:rFonts w:hint="default" w:eastAsia="宋体"/>
                <w:kern w:val="0"/>
                <w:sz w:val="21"/>
                <w:szCs w:val="21"/>
                <w:highlight w:val="none"/>
                <w:lang w:val="en-US" w:eastAsia="zh-CN" w:bidi="ar"/>
              </w:rPr>
            </w:pPr>
            <w:r>
              <w:rPr>
                <w:rFonts w:hint="eastAsia"/>
                <w:kern w:val="0"/>
                <w:sz w:val="21"/>
                <w:szCs w:val="21"/>
                <w:highlight w:val="none"/>
                <w:lang w:val="en-US" w:eastAsia="zh-CN" w:bidi="ar"/>
              </w:rPr>
              <w:t>30</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58D95928">
            <w:pPr>
              <w:widowControl/>
              <w:jc w:val="center"/>
              <w:textAlignment w:val="center"/>
              <w:rPr>
                <w:rFonts w:hint="default" w:eastAsia="宋体"/>
                <w:kern w:val="0"/>
                <w:sz w:val="21"/>
                <w:szCs w:val="21"/>
                <w:highlight w:val="none"/>
                <w:lang w:val="en-US" w:eastAsia="zh-CN" w:bidi="ar"/>
              </w:rPr>
            </w:pPr>
            <w:r>
              <w:rPr>
                <w:rFonts w:hint="eastAsia"/>
                <w:sz w:val="21"/>
                <w:szCs w:val="21"/>
                <w:highlight w:val="none"/>
                <w:lang w:val="en-US" w:eastAsia="zh-CN"/>
              </w:rPr>
              <w:t>0.10</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76EF88B4">
            <w:pPr>
              <w:widowControl/>
              <w:jc w:val="center"/>
              <w:textAlignment w:val="center"/>
              <w:rPr>
                <w:rFonts w:hint="eastAsia" w:eastAsia="宋体"/>
                <w:kern w:val="0"/>
                <w:sz w:val="21"/>
                <w:szCs w:val="21"/>
                <w:highlight w:val="none"/>
                <w:lang w:bidi="ar"/>
              </w:rPr>
            </w:pPr>
            <w:r>
              <w:rPr>
                <w:rFonts w:hint="eastAsia" w:eastAsia="宋体"/>
                <w:kern w:val="0"/>
                <w:sz w:val="21"/>
                <w:szCs w:val="21"/>
                <w:highlight w:val="none"/>
                <w:lang w:bidi="ar"/>
              </w:rPr>
              <w:t>30</w:t>
            </w:r>
          </w:p>
        </w:tc>
      </w:tr>
      <w:tr w14:paraId="31EC9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7" w:type="pct"/>
            <w:tcBorders>
              <w:top w:val="single" w:color="000000" w:sz="4" w:space="0"/>
              <w:left w:val="single" w:color="000000" w:sz="4" w:space="0"/>
              <w:bottom w:val="single" w:color="000000" w:sz="4" w:space="0"/>
              <w:right w:val="single" w:color="000000" w:sz="4" w:space="0"/>
            </w:tcBorders>
            <w:noWrap w:val="0"/>
            <w:vAlign w:val="center"/>
          </w:tcPr>
          <w:p w14:paraId="195F5220">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bidi="ar"/>
              </w:rPr>
              <w:t>2</w:t>
            </w:r>
          </w:p>
        </w:tc>
        <w:tc>
          <w:tcPr>
            <w:tcW w:w="699" w:type="pct"/>
            <w:tcBorders>
              <w:top w:val="single" w:color="000000" w:sz="4" w:space="0"/>
              <w:left w:val="single" w:color="000000" w:sz="4" w:space="0"/>
              <w:bottom w:val="single" w:color="000000" w:sz="4" w:space="0"/>
              <w:right w:val="single" w:color="000000" w:sz="4" w:space="0"/>
            </w:tcBorders>
            <w:noWrap w:val="0"/>
            <w:vAlign w:val="center"/>
          </w:tcPr>
          <w:p w14:paraId="697A7EED">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火灾、爆炸</w:t>
            </w:r>
          </w:p>
        </w:tc>
        <w:tc>
          <w:tcPr>
            <w:tcW w:w="566" w:type="pct"/>
            <w:vMerge w:val="continue"/>
            <w:tcBorders>
              <w:left w:val="single" w:color="000000" w:sz="4" w:space="0"/>
              <w:right w:val="single" w:color="000000" w:sz="4" w:space="0"/>
            </w:tcBorders>
            <w:noWrap w:val="0"/>
            <w:vAlign w:val="center"/>
          </w:tcPr>
          <w:p w14:paraId="650DE570">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0D8DFA4B">
            <w:pPr>
              <w:pStyle w:val="22"/>
              <w:widowControl w:val="0"/>
              <w:spacing w:before="0" w:beforeAutospacing="0" w:after="0" w:afterAutospacing="0" w:line="240" w:lineRule="exact"/>
              <w:jc w:val="center"/>
              <w:rPr>
                <w:rFonts w:hint="eastAsia"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CO</w:t>
            </w:r>
          </w:p>
        </w:tc>
        <w:tc>
          <w:tcPr>
            <w:tcW w:w="555" w:type="pct"/>
            <w:tcBorders>
              <w:top w:val="single" w:color="000000" w:sz="4" w:space="0"/>
              <w:left w:val="single" w:color="000000" w:sz="4" w:space="0"/>
              <w:bottom w:val="single" w:color="000000" w:sz="4" w:space="0"/>
              <w:right w:val="single" w:color="000000" w:sz="4" w:space="0"/>
            </w:tcBorders>
            <w:noWrap w:val="0"/>
            <w:vAlign w:val="center"/>
          </w:tcPr>
          <w:p w14:paraId="5C0434AE">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bidi="ar"/>
              </w:rPr>
              <w:t>F</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63F4CE25">
            <w:pPr>
              <w:widowControl/>
              <w:jc w:val="center"/>
              <w:textAlignment w:val="center"/>
              <w:rPr>
                <w:rFonts w:hint="default" w:eastAsia="宋体"/>
                <w:kern w:val="0"/>
                <w:sz w:val="21"/>
                <w:szCs w:val="21"/>
                <w:highlight w:val="none"/>
                <w:lang w:val="en-US" w:eastAsia="zh-CN" w:bidi="ar"/>
              </w:rPr>
            </w:pPr>
            <w:r>
              <w:rPr>
                <w:rFonts w:hint="eastAsia"/>
                <w:spacing w:val="10"/>
                <w:sz w:val="21"/>
                <w:szCs w:val="21"/>
                <w:highlight w:val="none"/>
                <w:lang w:val="en-US" w:eastAsia="zh-CN" w:bidi="ar"/>
              </w:rPr>
              <w:t>0.59</w:t>
            </w:r>
          </w:p>
        </w:tc>
        <w:tc>
          <w:tcPr>
            <w:tcW w:w="556" w:type="pct"/>
            <w:tcBorders>
              <w:top w:val="single" w:color="000000" w:sz="4" w:space="0"/>
              <w:left w:val="single" w:color="000000" w:sz="4" w:space="0"/>
              <w:bottom w:val="single" w:color="000000" w:sz="4" w:space="0"/>
              <w:right w:val="single" w:color="000000" w:sz="4" w:space="0"/>
            </w:tcBorders>
            <w:noWrap w:val="0"/>
            <w:vAlign w:val="center"/>
          </w:tcPr>
          <w:p w14:paraId="204947FD">
            <w:pPr>
              <w:widowControl/>
              <w:jc w:val="center"/>
              <w:textAlignment w:val="center"/>
              <w:rPr>
                <w:rFonts w:hint="eastAsia" w:eastAsia="宋体"/>
                <w:kern w:val="0"/>
                <w:sz w:val="21"/>
                <w:szCs w:val="21"/>
                <w:highlight w:val="none"/>
                <w:lang w:bidi="ar"/>
              </w:rPr>
            </w:pPr>
            <w:r>
              <w:rPr>
                <w:rFonts w:hint="eastAsia" w:eastAsia="宋体"/>
                <w:kern w:val="0"/>
                <w:sz w:val="21"/>
                <w:szCs w:val="21"/>
                <w:highlight w:val="none"/>
                <w:lang w:bidi="ar"/>
              </w:rPr>
              <w:t>30</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48C21AAE">
            <w:pPr>
              <w:widowControl/>
              <w:jc w:val="center"/>
              <w:textAlignment w:val="center"/>
              <w:rPr>
                <w:rFonts w:eastAsia="宋体"/>
                <w:kern w:val="0"/>
                <w:sz w:val="21"/>
                <w:szCs w:val="21"/>
                <w:highlight w:val="none"/>
                <w:lang w:bidi="ar"/>
              </w:rPr>
            </w:pPr>
            <w:r>
              <w:rPr>
                <w:rFonts w:hint="eastAsia" w:eastAsia="宋体"/>
                <w:kern w:val="0"/>
                <w:sz w:val="21"/>
                <w:szCs w:val="21"/>
                <w:highlight w:val="none"/>
                <w:lang w:bidi="ar"/>
              </w:rPr>
              <w:t>/</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284A6089">
            <w:pPr>
              <w:widowControl/>
              <w:jc w:val="center"/>
              <w:textAlignment w:val="center"/>
              <w:rPr>
                <w:rFonts w:eastAsia="宋体"/>
                <w:kern w:val="0"/>
                <w:sz w:val="21"/>
                <w:szCs w:val="21"/>
                <w:highlight w:val="none"/>
                <w:lang w:bidi="ar"/>
              </w:rPr>
            </w:pPr>
            <w:r>
              <w:rPr>
                <w:rFonts w:hint="eastAsia" w:eastAsia="宋体"/>
                <w:kern w:val="0"/>
                <w:sz w:val="21"/>
                <w:szCs w:val="21"/>
                <w:highlight w:val="none"/>
                <w:lang w:bidi="ar"/>
              </w:rPr>
              <w:t>/</w:t>
            </w:r>
          </w:p>
        </w:tc>
      </w:tr>
      <w:tr w14:paraId="2FB04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7" w:type="pct"/>
            <w:tcBorders>
              <w:top w:val="single" w:color="000000" w:sz="4" w:space="0"/>
              <w:left w:val="single" w:color="000000" w:sz="4" w:space="0"/>
              <w:right w:val="single" w:color="000000" w:sz="4" w:space="0"/>
            </w:tcBorders>
            <w:noWrap w:val="0"/>
            <w:vAlign w:val="center"/>
          </w:tcPr>
          <w:p w14:paraId="09883FF9">
            <w:pPr>
              <w:pStyle w:val="22"/>
              <w:widowControl w:val="0"/>
              <w:spacing w:before="0" w:beforeAutospacing="0" w:after="0" w:afterAutospacing="0" w:line="240" w:lineRule="exact"/>
              <w:jc w:val="center"/>
              <w:rPr>
                <w:rFonts w:hint="eastAsia" w:ascii="Times New Roman" w:hAnsi="Times New Roman" w:eastAsia="宋体"/>
                <w:spacing w:val="10"/>
                <w:kern w:val="2"/>
                <w:sz w:val="21"/>
                <w:szCs w:val="21"/>
                <w:highlight w:val="none"/>
                <w:lang w:val="en-US" w:eastAsia="zh-CN" w:bidi="ar"/>
              </w:rPr>
            </w:pPr>
            <w:r>
              <w:rPr>
                <w:rFonts w:hint="eastAsia" w:ascii="Times New Roman" w:hAnsi="Times New Roman"/>
                <w:spacing w:val="10"/>
                <w:kern w:val="2"/>
                <w:sz w:val="21"/>
                <w:szCs w:val="21"/>
                <w:highlight w:val="none"/>
                <w:lang w:val="en-US" w:eastAsia="zh-CN" w:bidi="ar"/>
              </w:rPr>
              <w:t>3</w:t>
            </w:r>
          </w:p>
        </w:tc>
        <w:tc>
          <w:tcPr>
            <w:tcW w:w="699" w:type="pct"/>
            <w:tcBorders>
              <w:top w:val="single" w:color="000000" w:sz="4" w:space="0"/>
              <w:left w:val="single" w:color="000000" w:sz="4" w:space="0"/>
              <w:right w:val="single" w:color="000000" w:sz="4" w:space="0"/>
            </w:tcBorders>
            <w:noWrap w:val="0"/>
            <w:vAlign w:val="center"/>
          </w:tcPr>
          <w:p w14:paraId="5DB95C00">
            <w:pPr>
              <w:pStyle w:val="22"/>
              <w:widowControl w:val="0"/>
              <w:spacing w:before="0" w:beforeAutospacing="0" w:after="0" w:afterAutospacing="0" w:line="240" w:lineRule="exact"/>
              <w:jc w:val="center"/>
              <w:rPr>
                <w:rFonts w:ascii="Times New Roman" w:hAnsi="Times New Roman"/>
                <w:spacing w:val="10"/>
                <w:kern w:val="2"/>
                <w:sz w:val="21"/>
                <w:szCs w:val="21"/>
                <w:highlight w:val="none"/>
                <w:u w:val="single"/>
                <w:lang w:bidi="ar"/>
              </w:rPr>
            </w:pPr>
            <w:r>
              <w:rPr>
                <w:rFonts w:ascii="Times New Roman" w:hAnsi="Times New Roman"/>
                <w:spacing w:val="10"/>
                <w:kern w:val="2"/>
                <w:sz w:val="21"/>
                <w:szCs w:val="21"/>
                <w:highlight w:val="none"/>
                <w:u w:val="single"/>
                <w:lang w:bidi="ar"/>
              </w:rPr>
              <w:t>火灾、爆炸</w:t>
            </w:r>
          </w:p>
        </w:tc>
        <w:tc>
          <w:tcPr>
            <w:tcW w:w="566" w:type="pct"/>
            <w:tcBorders>
              <w:left w:val="single" w:color="000000" w:sz="4" w:space="0"/>
              <w:right w:val="single" w:color="000000" w:sz="4" w:space="0"/>
            </w:tcBorders>
            <w:noWrap w:val="0"/>
            <w:vAlign w:val="center"/>
          </w:tcPr>
          <w:p w14:paraId="5093A266">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u w:val="single"/>
                <w:lang w:val="en-US" w:eastAsia="zh-CN" w:bidi="ar"/>
              </w:rPr>
            </w:pPr>
            <w:r>
              <w:rPr>
                <w:rFonts w:hint="eastAsia" w:ascii="Times New Roman" w:hAnsi="Times New Roman"/>
                <w:spacing w:val="10"/>
                <w:kern w:val="2"/>
                <w:sz w:val="21"/>
                <w:szCs w:val="21"/>
                <w:highlight w:val="none"/>
                <w:u w:val="single"/>
                <w:lang w:val="en-US" w:eastAsia="zh-CN" w:bidi="ar"/>
              </w:rPr>
              <w:t>废液罐</w:t>
            </w:r>
          </w:p>
        </w:tc>
        <w:tc>
          <w:tcPr>
            <w:tcW w:w="556" w:type="pct"/>
            <w:tcBorders>
              <w:top w:val="single" w:color="000000" w:sz="4" w:space="0"/>
              <w:left w:val="single" w:color="000000" w:sz="4" w:space="0"/>
              <w:right w:val="single" w:color="000000" w:sz="4" w:space="0"/>
            </w:tcBorders>
            <w:shd w:val="clear" w:color="auto" w:fill="auto"/>
            <w:noWrap w:val="0"/>
            <w:vAlign w:val="center"/>
          </w:tcPr>
          <w:p w14:paraId="29FAE0C8">
            <w:pPr>
              <w:pStyle w:val="22"/>
              <w:widowControl w:val="0"/>
              <w:spacing w:before="0" w:beforeAutospacing="0" w:after="0" w:afterAutospacing="0" w:line="240" w:lineRule="exact"/>
              <w:jc w:val="center"/>
              <w:rPr>
                <w:rFonts w:hint="eastAsia" w:ascii="Times New Roman" w:hAnsi="Times New Roman" w:eastAsia="宋体" w:cs="Times New Roman"/>
                <w:spacing w:val="10"/>
                <w:kern w:val="2"/>
                <w:sz w:val="21"/>
                <w:szCs w:val="21"/>
                <w:highlight w:val="none"/>
                <w:u w:val="single"/>
                <w:lang w:val="en-US" w:eastAsia="zh-CN" w:bidi="ar"/>
              </w:rPr>
            </w:pPr>
            <w:r>
              <w:rPr>
                <w:rFonts w:ascii="Times New Roman" w:hAnsi="Times New Roman"/>
                <w:spacing w:val="10"/>
                <w:kern w:val="2"/>
                <w:sz w:val="21"/>
                <w:szCs w:val="21"/>
                <w:highlight w:val="none"/>
                <w:u w:val="single"/>
                <w:lang w:bidi="ar"/>
              </w:rPr>
              <w:t>CO</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03DE8">
            <w:pPr>
              <w:pStyle w:val="22"/>
              <w:widowControl w:val="0"/>
              <w:spacing w:before="0" w:beforeAutospacing="0" w:after="0" w:afterAutospacing="0" w:line="240" w:lineRule="exact"/>
              <w:jc w:val="center"/>
              <w:rPr>
                <w:rFonts w:hint="eastAsia" w:ascii="Times New Roman" w:hAnsi="Times New Roman" w:eastAsia="宋体" w:cs="Times New Roman"/>
                <w:spacing w:val="10"/>
                <w:kern w:val="2"/>
                <w:sz w:val="21"/>
                <w:szCs w:val="21"/>
                <w:highlight w:val="none"/>
                <w:u w:val="single"/>
                <w:lang w:val="en-US" w:eastAsia="zh-CN" w:bidi="ar"/>
              </w:rPr>
            </w:pPr>
            <w:r>
              <w:rPr>
                <w:rFonts w:hint="eastAsia" w:ascii="Times New Roman" w:hAnsi="Times New Roman"/>
                <w:spacing w:val="10"/>
                <w:kern w:val="2"/>
                <w:sz w:val="21"/>
                <w:szCs w:val="21"/>
                <w:highlight w:val="none"/>
                <w:u w:val="single"/>
                <w:lang w:bidi="ar"/>
              </w:rPr>
              <w:t>F</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215FF">
            <w:pPr>
              <w:widowControl/>
              <w:jc w:val="center"/>
              <w:textAlignment w:val="center"/>
              <w:rPr>
                <w:rFonts w:hint="default" w:ascii="Times New Roman" w:hAnsi="Times New Roman" w:eastAsia="宋体" w:cs="Times New Roman"/>
                <w:kern w:val="0"/>
                <w:sz w:val="21"/>
                <w:szCs w:val="21"/>
                <w:highlight w:val="none"/>
                <w:u w:val="single"/>
                <w:lang w:val="en-US" w:eastAsia="zh-CN" w:bidi="ar"/>
              </w:rPr>
            </w:pPr>
            <w:r>
              <w:rPr>
                <w:rFonts w:hint="eastAsia"/>
                <w:spacing w:val="10"/>
                <w:sz w:val="21"/>
                <w:szCs w:val="21"/>
                <w:highlight w:val="none"/>
                <w:u w:val="single"/>
                <w:lang w:val="en-US" w:eastAsia="zh-CN" w:bidi="ar"/>
              </w:rPr>
              <w:t>0.59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8FFED">
            <w:pPr>
              <w:widowControl/>
              <w:jc w:val="center"/>
              <w:textAlignment w:val="center"/>
              <w:rPr>
                <w:rFonts w:hint="eastAsia" w:ascii="Times New Roman" w:hAnsi="Times New Roman" w:eastAsia="宋体" w:cs="Times New Roman"/>
                <w:kern w:val="0"/>
                <w:sz w:val="21"/>
                <w:szCs w:val="21"/>
                <w:highlight w:val="none"/>
                <w:u w:val="single"/>
                <w:lang w:val="en-US" w:eastAsia="zh-CN" w:bidi="ar"/>
              </w:rPr>
            </w:pPr>
            <w:r>
              <w:rPr>
                <w:rFonts w:hint="eastAsia" w:eastAsia="宋体"/>
                <w:kern w:val="0"/>
                <w:sz w:val="21"/>
                <w:szCs w:val="21"/>
                <w:highlight w:val="none"/>
                <w:u w:val="single"/>
                <w:lang w:bidi="ar"/>
              </w:rPr>
              <w:t>30</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4AD61B75">
            <w:pPr>
              <w:widowControl/>
              <w:jc w:val="center"/>
              <w:textAlignment w:val="center"/>
              <w:rPr>
                <w:rFonts w:hint="eastAsia" w:eastAsia="宋体"/>
                <w:kern w:val="0"/>
                <w:sz w:val="21"/>
                <w:szCs w:val="21"/>
                <w:highlight w:val="none"/>
                <w:u w:val="single"/>
                <w:lang w:val="en-US" w:eastAsia="zh-CN" w:bidi="ar"/>
              </w:rPr>
            </w:pPr>
            <w:r>
              <w:rPr>
                <w:rFonts w:hint="eastAsia"/>
                <w:kern w:val="0"/>
                <w:sz w:val="21"/>
                <w:szCs w:val="21"/>
                <w:highlight w:val="none"/>
                <w:u w:val="singl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5B84DA03">
            <w:pPr>
              <w:widowControl/>
              <w:jc w:val="center"/>
              <w:textAlignment w:val="center"/>
              <w:rPr>
                <w:rFonts w:hint="eastAsia" w:eastAsia="宋体"/>
                <w:kern w:val="0"/>
                <w:sz w:val="21"/>
                <w:szCs w:val="21"/>
                <w:highlight w:val="none"/>
                <w:u w:val="single"/>
                <w:lang w:val="en-US" w:eastAsia="zh-CN" w:bidi="ar"/>
              </w:rPr>
            </w:pPr>
            <w:r>
              <w:rPr>
                <w:rFonts w:hint="eastAsia"/>
                <w:kern w:val="0"/>
                <w:sz w:val="21"/>
                <w:szCs w:val="21"/>
                <w:highlight w:val="none"/>
                <w:u w:val="single"/>
                <w:lang w:val="en-US" w:eastAsia="zh-CN" w:bidi="ar"/>
              </w:rPr>
              <w:t>/</w:t>
            </w:r>
          </w:p>
        </w:tc>
      </w:tr>
    </w:tbl>
    <w:p w14:paraId="2F82904F">
      <w:pPr>
        <w:spacing w:line="500" w:lineRule="exact"/>
        <w:ind w:firstLine="520"/>
        <w:rPr>
          <w:rFonts w:hint="eastAsia" w:eastAsia="宋体"/>
          <w:sz w:val="24"/>
          <w:lang w:val="en-US" w:eastAsia="zh-CN"/>
        </w:rPr>
      </w:pPr>
      <w:r>
        <w:rPr>
          <w:rFonts w:hint="eastAsia"/>
          <w:sz w:val="24"/>
          <w:lang w:val="en-US" w:eastAsia="zh-CN"/>
        </w:rPr>
        <w:t>5、事故影响评价标准</w:t>
      </w:r>
    </w:p>
    <w:p w14:paraId="1E57BD0D">
      <w:pPr>
        <w:spacing w:line="500" w:lineRule="exact"/>
        <w:ind w:firstLine="520"/>
        <w:rPr>
          <w:rFonts w:hint="eastAsia"/>
          <w:sz w:val="24"/>
        </w:rPr>
      </w:pPr>
      <w:r>
        <w:rPr>
          <w:rFonts w:hint="eastAsia"/>
          <w:sz w:val="24"/>
        </w:rPr>
        <w:t>在事故排放情况下，人群接触毒物的特点是急性、高浓度、接触时间短，因此采用急性、短时间接触对人体的不同危害程度的浓度值作为事故影响评价的标准，详见表</w:t>
      </w:r>
      <w:r>
        <w:rPr>
          <w:rFonts w:hint="eastAsia"/>
          <w:sz w:val="24"/>
          <w:lang w:val="en-US" w:eastAsia="zh-CN"/>
        </w:rPr>
        <w:t>6.1-4</w:t>
      </w:r>
      <w:r>
        <w:rPr>
          <w:rFonts w:hint="eastAsia"/>
          <w:sz w:val="24"/>
        </w:rPr>
        <w:t>。</w:t>
      </w:r>
    </w:p>
    <w:p w14:paraId="109E35AE">
      <w:pPr>
        <w:keepNext/>
        <w:keepLines/>
        <w:widowControl/>
        <w:tabs>
          <w:tab w:val="left" w:pos="795"/>
        </w:tabs>
        <w:spacing w:line="500" w:lineRule="exact"/>
        <w:ind w:left="795"/>
        <w:jc w:val="center"/>
        <w:outlineLvl w:val="3"/>
        <w:rPr>
          <w:rFonts w:hint="eastAsia"/>
          <w:sz w:val="24"/>
        </w:rPr>
      </w:pPr>
      <w:r>
        <w:rPr>
          <w:rFonts w:hint="eastAsia"/>
          <w:b/>
          <w:kern w:val="0"/>
          <w:sz w:val="24"/>
          <w:lang w:val="en-US" w:eastAsia="zh-CN"/>
        </w:rPr>
        <w:t>表6.1-4  CO和醋酸的不同浓度值所对应的危害</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4"/>
        <w:gridCol w:w="674"/>
        <w:gridCol w:w="674"/>
        <w:gridCol w:w="1492"/>
        <w:gridCol w:w="1951"/>
        <w:gridCol w:w="1796"/>
        <w:gridCol w:w="1799"/>
      </w:tblGrid>
      <w:tr w14:paraId="6FA4C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2" w:type="pct"/>
            <w:vMerge w:val="restart"/>
            <w:noWrap w:val="0"/>
            <w:vAlign w:val="center"/>
          </w:tcPr>
          <w:p w14:paraId="75D94B56">
            <w:pPr>
              <w:adjustRightInd w:val="0"/>
              <w:snapToGrid w:val="0"/>
              <w:jc w:val="center"/>
              <w:rPr>
                <w:rFonts w:eastAsia="宋体"/>
                <w:sz w:val="21"/>
                <w:szCs w:val="21"/>
              </w:rPr>
            </w:pPr>
            <w:r>
              <w:rPr>
                <w:rFonts w:eastAsia="宋体"/>
                <w:sz w:val="21"/>
                <w:szCs w:val="21"/>
              </w:rPr>
              <w:t>序号</w:t>
            </w:r>
          </w:p>
        </w:tc>
        <w:tc>
          <w:tcPr>
            <w:tcW w:w="372" w:type="pct"/>
            <w:vMerge w:val="restart"/>
            <w:noWrap w:val="0"/>
            <w:vAlign w:val="center"/>
          </w:tcPr>
          <w:p w14:paraId="78D46A17">
            <w:pPr>
              <w:adjustRightInd w:val="0"/>
              <w:snapToGrid w:val="0"/>
              <w:jc w:val="center"/>
              <w:rPr>
                <w:rFonts w:eastAsia="宋体"/>
                <w:sz w:val="21"/>
                <w:szCs w:val="21"/>
              </w:rPr>
            </w:pPr>
            <w:r>
              <w:rPr>
                <w:rFonts w:hint="eastAsia" w:eastAsia="宋体"/>
                <w:sz w:val="21"/>
                <w:szCs w:val="21"/>
              </w:rPr>
              <w:t>危险</w:t>
            </w:r>
            <w:r>
              <w:rPr>
                <w:rFonts w:eastAsia="宋体"/>
                <w:sz w:val="21"/>
                <w:szCs w:val="21"/>
              </w:rPr>
              <w:t>物质名称</w:t>
            </w:r>
          </w:p>
        </w:tc>
        <w:tc>
          <w:tcPr>
            <w:tcW w:w="372" w:type="pct"/>
            <w:vMerge w:val="restart"/>
            <w:noWrap w:val="0"/>
            <w:vAlign w:val="center"/>
          </w:tcPr>
          <w:p w14:paraId="7D945C32">
            <w:pPr>
              <w:adjustRightInd w:val="0"/>
              <w:snapToGrid w:val="0"/>
              <w:jc w:val="center"/>
              <w:rPr>
                <w:rFonts w:eastAsia="宋体"/>
                <w:sz w:val="21"/>
                <w:szCs w:val="21"/>
              </w:rPr>
            </w:pPr>
            <w:r>
              <w:rPr>
                <w:rFonts w:eastAsia="宋体"/>
                <w:sz w:val="21"/>
                <w:szCs w:val="21"/>
              </w:rPr>
              <w:t>分布位置</w:t>
            </w:r>
          </w:p>
        </w:tc>
        <w:tc>
          <w:tcPr>
            <w:tcW w:w="823" w:type="pct"/>
            <w:vMerge w:val="restart"/>
            <w:noWrap w:val="0"/>
            <w:vAlign w:val="center"/>
          </w:tcPr>
          <w:p w14:paraId="5C6D092E">
            <w:pPr>
              <w:adjustRightInd w:val="0"/>
              <w:snapToGrid w:val="0"/>
              <w:jc w:val="center"/>
              <w:rPr>
                <w:rFonts w:eastAsia="宋体"/>
                <w:sz w:val="21"/>
                <w:szCs w:val="21"/>
              </w:rPr>
            </w:pPr>
            <w:r>
              <w:rPr>
                <w:rFonts w:eastAsia="宋体"/>
                <w:sz w:val="21"/>
                <w:szCs w:val="21"/>
              </w:rPr>
              <w:t>CAS 号</w:t>
            </w:r>
          </w:p>
        </w:tc>
        <w:tc>
          <w:tcPr>
            <w:tcW w:w="1076" w:type="pct"/>
            <w:vMerge w:val="restart"/>
            <w:noWrap w:val="0"/>
            <w:vAlign w:val="center"/>
          </w:tcPr>
          <w:p w14:paraId="298C7E2C">
            <w:pPr>
              <w:adjustRightInd w:val="0"/>
              <w:snapToGrid w:val="0"/>
              <w:jc w:val="center"/>
              <w:rPr>
                <w:rFonts w:eastAsia="宋体"/>
                <w:sz w:val="21"/>
                <w:szCs w:val="21"/>
              </w:rPr>
            </w:pPr>
            <w:r>
              <w:rPr>
                <w:rFonts w:eastAsia="宋体"/>
                <w:sz w:val="21"/>
                <w:szCs w:val="21"/>
              </w:rPr>
              <w:t>毒性</w:t>
            </w:r>
          </w:p>
        </w:tc>
        <w:tc>
          <w:tcPr>
            <w:tcW w:w="991" w:type="pct"/>
            <w:vMerge w:val="restart"/>
            <w:noWrap w:val="0"/>
            <w:vAlign w:val="center"/>
          </w:tcPr>
          <w:p w14:paraId="0028F56B">
            <w:pPr>
              <w:adjustRightInd w:val="0"/>
              <w:snapToGrid w:val="0"/>
              <w:jc w:val="center"/>
              <w:rPr>
                <w:rFonts w:eastAsia="宋体"/>
                <w:sz w:val="21"/>
                <w:szCs w:val="21"/>
              </w:rPr>
            </w:pPr>
            <w:r>
              <w:rPr>
                <w:rFonts w:eastAsia="宋体"/>
                <w:sz w:val="21"/>
                <w:szCs w:val="21"/>
              </w:rPr>
              <w:t>大气毒性终点浓度</w:t>
            </w:r>
            <w:r>
              <w:rPr>
                <w:rFonts w:hint="eastAsia" w:eastAsia="宋体"/>
                <w:sz w:val="21"/>
                <w:szCs w:val="21"/>
              </w:rPr>
              <w:t>-</w:t>
            </w:r>
            <w:r>
              <w:rPr>
                <w:rFonts w:eastAsia="宋体"/>
                <w:sz w:val="21"/>
                <w:szCs w:val="21"/>
              </w:rPr>
              <w:t>1</w:t>
            </w:r>
            <w:r>
              <w:rPr>
                <w:rFonts w:hint="eastAsia" w:eastAsia="宋体"/>
                <w:sz w:val="21"/>
                <w:szCs w:val="21"/>
              </w:rPr>
              <w:t>（mg</w:t>
            </w:r>
            <w:r>
              <w:rPr>
                <w:rFonts w:eastAsia="宋体"/>
                <w:sz w:val="21"/>
                <w:szCs w:val="21"/>
              </w:rPr>
              <w:t>/m</w:t>
            </w:r>
            <w:r>
              <w:rPr>
                <w:rFonts w:eastAsia="宋体"/>
                <w:sz w:val="21"/>
                <w:szCs w:val="21"/>
                <w:vertAlign w:val="superscript"/>
              </w:rPr>
              <w:t>3</w:t>
            </w:r>
            <w:r>
              <w:rPr>
                <w:rFonts w:hint="eastAsia" w:eastAsia="宋体"/>
                <w:sz w:val="21"/>
                <w:szCs w:val="21"/>
              </w:rPr>
              <w:t>）</w:t>
            </w:r>
          </w:p>
        </w:tc>
        <w:tc>
          <w:tcPr>
            <w:tcW w:w="992" w:type="pct"/>
            <w:vMerge w:val="restart"/>
            <w:noWrap w:val="0"/>
            <w:vAlign w:val="center"/>
          </w:tcPr>
          <w:p w14:paraId="712AFF22">
            <w:pPr>
              <w:adjustRightInd w:val="0"/>
              <w:snapToGrid w:val="0"/>
              <w:jc w:val="center"/>
              <w:rPr>
                <w:rFonts w:eastAsia="宋体"/>
                <w:sz w:val="21"/>
                <w:szCs w:val="21"/>
              </w:rPr>
            </w:pPr>
            <w:r>
              <w:rPr>
                <w:rFonts w:eastAsia="宋体"/>
                <w:sz w:val="21"/>
                <w:szCs w:val="21"/>
              </w:rPr>
              <w:t>大气毒性终点浓度</w:t>
            </w:r>
            <w:r>
              <w:rPr>
                <w:rFonts w:hint="eastAsia" w:eastAsia="宋体"/>
                <w:sz w:val="21"/>
                <w:szCs w:val="21"/>
              </w:rPr>
              <w:t>-</w:t>
            </w:r>
            <w:r>
              <w:rPr>
                <w:rFonts w:eastAsia="宋体"/>
                <w:sz w:val="21"/>
                <w:szCs w:val="21"/>
              </w:rPr>
              <w:t>2</w:t>
            </w:r>
            <w:r>
              <w:rPr>
                <w:rFonts w:hint="eastAsia" w:eastAsia="宋体"/>
                <w:sz w:val="21"/>
                <w:szCs w:val="21"/>
              </w:rPr>
              <w:t>（mg</w:t>
            </w:r>
            <w:r>
              <w:rPr>
                <w:rFonts w:eastAsia="宋体"/>
                <w:sz w:val="21"/>
                <w:szCs w:val="21"/>
              </w:rPr>
              <w:t>/m</w:t>
            </w:r>
            <w:r>
              <w:rPr>
                <w:rFonts w:eastAsia="宋体"/>
                <w:sz w:val="21"/>
                <w:szCs w:val="21"/>
                <w:vertAlign w:val="superscript"/>
              </w:rPr>
              <w:t>3</w:t>
            </w:r>
            <w:r>
              <w:rPr>
                <w:rFonts w:hint="eastAsia" w:eastAsia="宋体"/>
                <w:sz w:val="21"/>
                <w:szCs w:val="21"/>
              </w:rPr>
              <w:t>）</w:t>
            </w:r>
          </w:p>
        </w:tc>
      </w:tr>
      <w:tr w14:paraId="39DDE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2" w:type="pct"/>
            <w:vMerge w:val="continue"/>
            <w:tcBorders>
              <w:top w:val="nil"/>
            </w:tcBorders>
            <w:noWrap w:val="0"/>
            <w:vAlign w:val="center"/>
          </w:tcPr>
          <w:p w14:paraId="02285609">
            <w:pPr>
              <w:adjustRightInd w:val="0"/>
              <w:snapToGrid w:val="0"/>
              <w:jc w:val="center"/>
              <w:rPr>
                <w:rFonts w:eastAsia="宋体"/>
                <w:sz w:val="21"/>
                <w:szCs w:val="21"/>
              </w:rPr>
            </w:pPr>
          </w:p>
        </w:tc>
        <w:tc>
          <w:tcPr>
            <w:tcW w:w="372" w:type="pct"/>
            <w:vMerge w:val="continue"/>
            <w:tcBorders>
              <w:top w:val="nil"/>
            </w:tcBorders>
            <w:noWrap w:val="0"/>
            <w:vAlign w:val="center"/>
          </w:tcPr>
          <w:p w14:paraId="1F113E62">
            <w:pPr>
              <w:adjustRightInd w:val="0"/>
              <w:snapToGrid w:val="0"/>
              <w:jc w:val="center"/>
              <w:rPr>
                <w:rFonts w:eastAsia="宋体"/>
                <w:sz w:val="21"/>
                <w:szCs w:val="21"/>
              </w:rPr>
            </w:pPr>
          </w:p>
        </w:tc>
        <w:tc>
          <w:tcPr>
            <w:tcW w:w="372" w:type="pct"/>
            <w:vMerge w:val="continue"/>
            <w:tcBorders>
              <w:top w:val="nil"/>
            </w:tcBorders>
            <w:noWrap w:val="0"/>
            <w:vAlign w:val="center"/>
          </w:tcPr>
          <w:p w14:paraId="6AE9E6F5">
            <w:pPr>
              <w:adjustRightInd w:val="0"/>
              <w:snapToGrid w:val="0"/>
              <w:jc w:val="center"/>
              <w:rPr>
                <w:rFonts w:eastAsia="宋体"/>
                <w:sz w:val="21"/>
                <w:szCs w:val="21"/>
              </w:rPr>
            </w:pPr>
          </w:p>
        </w:tc>
        <w:tc>
          <w:tcPr>
            <w:tcW w:w="823" w:type="pct"/>
            <w:vMerge w:val="continue"/>
            <w:tcBorders>
              <w:top w:val="nil"/>
            </w:tcBorders>
            <w:noWrap w:val="0"/>
            <w:vAlign w:val="center"/>
          </w:tcPr>
          <w:p w14:paraId="2AE87128">
            <w:pPr>
              <w:adjustRightInd w:val="0"/>
              <w:snapToGrid w:val="0"/>
              <w:jc w:val="center"/>
              <w:rPr>
                <w:rFonts w:eastAsia="宋体"/>
                <w:sz w:val="21"/>
                <w:szCs w:val="21"/>
              </w:rPr>
            </w:pPr>
          </w:p>
        </w:tc>
        <w:tc>
          <w:tcPr>
            <w:tcW w:w="1076" w:type="pct"/>
            <w:vMerge w:val="continue"/>
            <w:noWrap w:val="0"/>
            <w:vAlign w:val="center"/>
          </w:tcPr>
          <w:p w14:paraId="6EC3F2FC">
            <w:pPr>
              <w:adjustRightInd w:val="0"/>
              <w:snapToGrid w:val="0"/>
              <w:jc w:val="center"/>
              <w:rPr>
                <w:rFonts w:eastAsia="宋体"/>
                <w:sz w:val="21"/>
                <w:szCs w:val="21"/>
              </w:rPr>
            </w:pPr>
          </w:p>
        </w:tc>
        <w:tc>
          <w:tcPr>
            <w:tcW w:w="991" w:type="pct"/>
            <w:vMerge w:val="continue"/>
            <w:noWrap w:val="0"/>
            <w:vAlign w:val="center"/>
          </w:tcPr>
          <w:p w14:paraId="13756821">
            <w:pPr>
              <w:adjustRightInd w:val="0"/>
              <w:snapToGrid w:val="0"/>
              <w:jc w:val="center"/>
              <w:rPr>
                <w:rFonts w:eastAsia="宋体"/>
                <w:sz w:val="21"/>
                <w:szCs w:val="21"/>
              </w:rPr>
            </w:pPr>
          </w:p>
        </w:tc>
        <w:tc>
          <w:tcPr>
            <w:tcW w:w="992" w:type="pct"/>
            <w:vMerge w:val="continue"/>
            <w:noWrap w:val="0"/>
            <w:vAlign w:val="center"/>
          </w:tcPr>
          <w:p w14:paraId="29660985">
            <w:pPr>
              <w:adjustRightInd w:val="0"/>
              <w:snapToGrid w:val="0"/>
              <w:jc w:val="center"/>
              <w:rPr>
                <w:rFonts w:eastAsia="宋体"/>
                <w:sz w:val="21"/>
                <w:szCs w:val="21"/>
              </w:rPr>
            </w:pPr>
          </w:p>
        </w:tc>
      </w:tr>
      <w:tr w14:paraId="004EC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2" w:type="pct"/>
            <w:noWrap w:val="0"/>
            <w:vAlign w:val="center"/>
          </w:tcPr>
          <w:p w14:paraId="36D1641A">
            <w:pPr>
              <w:adjustRightInd w:val="0"/>
              <w:snapToGrid w:val="0"/>
              <w:jc w:val="center"/>
              <w:rPr>
                <w:rFonts w:hint="eastAsia" w:eastAsia="宋体"/>
                <w:sz w:val="21"/>
                <w:szCs w:val="21"/>
                <w:lang w:eastAsia="zh-CN"/>
              </w:rPr>
            </w:pPr>
            <w:r>
              <w:rPr>
                <w:rFonts w:hint="eastAsia" w:eastAsia="宋体"/>
                <w:sz w:val="21"/>
                <w:szCs w:val="21"/>
                <w:lang w:val="en-US" w:eastAsia="zh-CN"/>
              </w:rPr>
              <w:t>1</w:t>
            </w:r>
          </w:p>
        </w:tc>
        <w:tc>
          <w:tcPr>
            <w:tcW w:w="372" w:type="pct"/>
            <w:noWrap w:val="0"/>
            <w:vAlign w:val="center"/>
          </w:tcPr>
          <w:p w14:paraId="30FA6BA6">
            <w:pPr>
              <w:adjustRightInd w:val="0"/>
              <w:snapToGrid w:val="0"/>
              <w:jc w:val="center"/>
              <w:rPr>
                <w:rFonts w:eastAsia="宋体"/>
                <w:sz w:val="21"/>
                <w:szCs w:val="21"/>
              </w:rPr>
            </w:pPr>
            <w:r>
              <w:rPr>
                <w:rFonts w:hint="eastAsia" w:ascii="宋体" w:eastAsia="宋体"/>
                <w:sz w:val="21"/>
                <w:szCs w:val="21"/>
              </w:rPr>
              <w:t>醋酸</w:t>
            </w:r>
          </w:p>
        </w:tc>
        <w:tc>
          <w:tcPr>
            <w:tcW w:w="372" w:type="pct"/>
            <w:noWrap w:val="0"/>
            <w:vAlign w:val="center"/>
          </w:tcPr>
          <w:p w14:paraId="53FAA4D8">
            <w:pPr>
              <w:adjustRightInd w:val="0"/>
              <w:snapToGrid w:val="0"/>
              <w:jc w:val="center"/>
              <w:rPr>
                <w:rFonts w:hint="eastAsia" w:eastAsia="宋体"/>
                <w:sz w:val="21"/>
                <w:szCs w:val="21"/>
                <w:lang w:eastAsia="zh-CN"/>
              </w:rPr>
            </w:pPr>
            <w:r>
              <w:rPr>
                <w:rFonts w:hint="eastAsia" w:eastAsia="宋体"/>
                <w:sz w:val="21"/>
                <w:szCs w:val="21"/>
                <w:lang w:val="en-US" w:eastAsia="zh-CN"/>
              </w:rPr>
              <w:t>罐区</w:t>
            </w:r>
          </w:p>
        </w:tc>
        <w:tc>
          <w:tcPr>
            <w:tcW w:w="823" w:type="pct"/>
            <w:noWrap w:val="0"/>
            <w:vAlign w:val="center"/>
          </w:tcPr>
          <w:p w14:paraId="54F5D27B">
            <w:pPr>
              <w:adjustRightInd w:val="0"/>
              <w:snapToGrid w:val="0"/>
              <w:jc w:val="center"/>
              <w:rPr>
                <w:rFonts w:eastAsia="宋体"/>
                <w:sz w:val="21"/>
                <w:szCs w:val="21"/>
              </w:rPr>
            </w:pPr>
            <w:r>
              <w:rPr>
                <w:sz w:val="21"/>
                <w:szCs w:val="21"/>
              </w:rPr>
              <w:t>64-19-7</w:t>
            </w:r>
          </w:p>
        </w:tc>
        <w:tc>
          <w:tcPr>
            <w:tcW w:w="1076" w:type="pct"/>
            <w:noWrap w:val="0"/>
            <w:vAlign w:val="center"/>
          </w:tcPr>
          <w:p w14:paraId="10AB5324">
            <w:pPr>
              <w:adjustRightInd w:val="0"/>
              <w:snapToGrid w:val="0"/>
              <w:jc w:val="center"/>
              <w:rPr>
                <w:rFonts w:eastAsia="宋体"/>
                <w:sz w:val="21"/>
                <w:szCs w:val="21"/>
              </w:rPr>
            </w:pPr>
            <w:r>
              <w:rPr>
                <w:rFonts w:eastAsia="宋体"/>
                <w:sz w:val="21"/>
                <w:szCs w:val="21"/>
              </w:rPr>
              <w:t>LC</w:t>
            </w:r>
            <w:r>
              <w:rPr>
                <w:rFonts w:eastAsia="宋体"/>
                <w:sz w:val="21"/>
                <w:szCs w:val="21"/>
                <w:vertAlign w:val="subscript"/>
              </w:rPr>
              <w:t>50</w:t>
            </w:r>
            <w:r>
              <w:rPr>
                <w:rFonts w:hint="eastAsia" w:eastAsia="宋体"/>
                <w:sz w:val="21"/>
                <w:szCs w:val="21"/>
                <w:vertAlign w:val="subscript"/>
              </w:rPr>
              <w:t>（</w:t>
            </w:r>
            <w:r>
              <w:rPr>
                <w:rFonts w:hint="eastAsia" w:eastAsia="宋体"/>
                <w:sz w:val="21"/>
                <w:szCs w:val="21"/>
              </w:rPr>
              <w:t xml:space="preserve">大鼠吸入）： </w:t>
            </w:r>
            <w:r>
              <w:rPr>
                <w:rFonts w:eastAsia="宋体"/>
                <w:sz w:val="21"/>
                <w:szCs w:val="21"/>
              </w:rPr>
              <w:t>13791mg/m</w:t>
            </w:r>
            <w:r>
              <w:rPr>
                <w:rFonts w:eastAsia="宋体"/>
                <w:sz w:val="21"/>
                <w:szCs w:val="21"/>
                <w:vertAlign w:val="superscript"/>
              </w:rPr>
              <w:t>3</w:t>
            </w:r>
          </w:p>
          <w:p w14:paraId="0792DC5B">
            <w:pPr>
              <w:adjustRightInd w:val="0"/>
              <w:snapToGrid w:val="0"/>
              <w:jc w:val="center"/>
              <w:rPr>
                <w:rFonts w:eastAsia="宋体"/>
                <w:sz w:val="21"/>
                <w:szCs w:val="21"/>
              </w:rPr>
            </w:pPr>
            <w:r>
              <w:rPr>
                <w:rFonts w:eastAsia="宋体"/>
                <w:sz w:val="21"/>
                <w:szCs w:val="21"/>
              </w:rPr>
              <w:t>LD</w:t>
            </w:r>
            <w:r>
              <w:rPr>
                <w:rFonts w:eastAsia="宋体"/>
                <w:sz w:val="21"/>
                <w:szCs w:val="21"/>
                <w:vertAlign w:val="subscript"/>
              </w:rPr>
              <w:t>50</w:t>
            </w:r>
            <w:r>
              <w:rPr>
                <w:rFonts w:hint="eastAsia" w:eastAsia="宋体"/>
                <w:sz w:val="21"/>
                <w:szCs w:val="21"/>
                <w:vertAlign w:val="subscript"/>
              </w:rPr>
              <w:t>（</w:t>
            </w:r>
            <w:r>
              <w:rPr>
                <w:rFonts w:hint="eastAsia" w:eastAsia="宋体"/>
                <w:sz w:val="21"/>
                <w:szCs w:val="21"/>
              </w:rPr>
              <w:t xml:space="preserve">大鼠经口）： </w:t>
            </w:r>
            <w:r>
              <w:rPr>
                <w:rFonts w:eastAsia="宋体"/>
                <w:sz w:val="21"/>
                <w:szCs w:val="21"/>
              </w:rPr>
              <w:t>3530mg/kg</w:t>
            </w:r>
          </w:p>
        </w:tc>
        <w:tc>
          <w:tcPr>
            <w:tcW w:w="991" w:type="pct"/>
            <w:noWrap w:val="0"/>
            <w:vAlign w:val="center"/>
          </w:tcPr>
          <w:p w14:paraId="63A64E32">
            <w:pPr>
              <w:adjustRightInd w:val="0"/>
              <w:snapToGrid w:val="0"/>
              <w:jc w:val="center"/>
              <w:rPr>
                <w:rFonts w:hint="default" w:eastAsia="宋体"/>
                <w:sz w:val="21"/>
                <w:szCs w:val="21"/>
                <w:lang w:val="en-US" w:eastAsia="zh-CN"/>
              </w:rPr>
            </w:pPr>
            <w:r>
              <w:rPr>
                <w:rFonts w:hint="eastAsia" w:eastAsia="宋体"/>
                <w:sz w:val="21"/>
                <w:szCs w:val="21"/>
                <w:lang w:val="en-US" w:eastAsia="zh-CN"/>
              </w:rPr>
              <w:t>610</w:t>
            </w:r>
          </w:p>
        </w:tc>
        <w:tc>
          <w:tcPr>
            <w:tcW w:w="992" w:type="pct"/>
            <w:noWrap w:val="0"/>
            <w:vAlign w:val="center"/>
          </w:tcPr>
          <w:p w14:paraId="3D6267FD">
            <w:pPr>
              <w:adjustRightInd w:val="0"/>
              <w:snapToGrid w:val="0"/>
              <w:jc w:val="center"/>
              <w:rPr>
                <w:rFonts w:hint="default" w:eastAsia="宋体"/>
                <w:sz w:val="21"/>
                <w:szCs w:val="21"/>
                <w:lang w:val="en-US" w:eastAsia="zh-CN"/>
              </w:rPr>
            </w:pPr>
            <w:r>
              <w:rPr>
                <w:rFonts w:hint="eastAsia" w:eastAsia="宋体"/>
                <w:sz w:val="21"/>
                <w:szCs w:val="21"/>
                <w:lang w:val="en-US" w:eastAsia="zh-CN"/>
              </w:rPr>
              <w:t>86</w:t>
            </w:r>
          </w:p>
        </w:tc>
      </w:tr>
      <w:tr w14:paraId="27129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2" w:type="pct"/>
            <w:noWrap w:val="0"/>
            <w:vAlign w:val="center"/>
          </w:tcPr>
          <w:p w14:paraId="46D38011">
            <w:pPr>
              <w:adjustRightInd w:val="0"/>
              <w:snapToGrid w:val="0"/>
              <w:jc w:val="center"/>
              <w:rPr>
                <w:rFonts w:hint="eastAsia" w:eastAsia="宋体"/>
                <w:sz w:val="21"/>
                <w:szCs w:val="21"/>
                <w:lang w:eastAsia="zh-CN"/>
              </w:rPr>
            </w:pPr>
            <w:r>
              <w:rPr>
                <w:rFonts w:hint="eastAsia" w:eastAsia="宋体"/>
                <w:sz w:val="21"/>
                <w:szCs w:val="21"/>
                <w:lang w:val="en-US" w:eastAsia="zh-CN"/>
              </w:rPr>
              <w:t>2</w:t>
            </w:r>
          </w:p>
        </w:tc>
        <w:tc>
          <w:tcPr>
            <w:tcW w:w="372" w:type="pct"/>
            <w:noWrap w:val="0"/>
            <w:vAlign w:val="center"/>
          </w:tcPr>
          <w:p w14:paraId="1AE9CB63">
            <w:pPr>
              <w:adjustRightInd w:val="0"/>
              <w:snapToGrid w:val="0"/>
              <w:jc w:val="center"/>
              <w:rPr>
                <w:rFonts w:eastAsia="宋体"/>
                <w:sz w:val="21"/>
                <w:szCs w:val="21"/>
              </w:rPr>
            </w:pPr>
            <w:r>
              <w:rPr>
                <w:rFonts w:hint="eastAsia" w:eastAsia="宋体"/>
                <w:sz w:val="21"/>
                <w:szCs w:val="21"/>
              </w:rPr>
              <w:t>一氧化碳</w:t>
            </w:r>
          </w:p>
        </w:tc>
        <w:tc>
          <w:tcPr>
            <w:tcW w:w="372" w:type="pct"/>
            <w:noWrap w:val="0"/>
            <w:vAlign w:val="center"/>
          </w:tcPr>
          <w:p w14:paraId="65DC5DF7">
            <w:pPr>
              <w:adjustRightInd w:val="0"/>
              <w:snapToGrid w:val="0"/>
              <w:jc w:val="center"/>
              <w:rPr>
                <w:rFonts w:hint="eastAsia" w:eastAsia="宋体"/>
                <w:sz w:val="21"/>
                <w:szCs w:val="21"/>
                <w:lang w:eastAsia="zh-CN"/>
              </w:rPr>
            </w:pPr>
            <w:r>
              <w:rPr>
                <w:rFonts w:hint="eastAsia" w:eastAsia="宋体"/>
                <w:sz w:val="21"/>
                <w:szCs w:val="21"/>
                <w:lang w:val="en-US" w:eastAsia="zh-CN"/>
              </w:rPr>
              <w:t>罐区</w:t>
            </w:r>
          </w:p>
        </w:tc>
        <w:tc>
          <w:tcPr>
            <w:tcW w:w="823" w:type="pct"/>
            <w:noWrap w:val="0"/>
            <w:vAlign w:val="center"/>
          </w:tcPr>
          <w:p w14:paraId="0359CC86">
            <w:pPr>
              <w:adjustRightInd w:val="0"/>
              <w:snapToGrid w:val="0"/>
              <w:jc w:val="center"/>
              <w:rPr>
                <w:rFonts w:eastAsia="宋体"/>
                <w:sz w:val="21"/>
                <w:szCs w:val="21"/>
              </w:rPr>
            </w:pPr>
            <w:r>
              <w:rPr>
                <w:rFonts w:hint="eastAsia" w:eastAsia="宋体"/>
                <w:sz w:val="21"/>
                <w:szCs w:val="21"/>
              </w:rPr>
              <w:t>6</w:t>
            </w:r>
            <w:r>
              <w:rPr>
                <w:rFonts w:eastAsia="宋体"/>
                <w:sz w:val="21"/>
                <w:szCs w:val="21"/>
              </w:rPr>
              <w:t>30-08-0</w:t>
            </w:r>
          </w:p>
        </w:tc>
        <w:tc>
          <w:tcPr>
            <w:tcW w:w="1076" w:type="pct"/>
            <w:noWrap w:val="0"/>
            <w:vAlign w:val="center"/>
          </w:tcPr>
          <w:p w14:paraId="49C776D8">
            <w:pPr>
              <w:adjustRightInd w:val="0"/>
              <w:snapToGrid w:val="0"/>
              <w:jc w:val="center"/>
              <w:rPr>
                <w:rFonts w:eastAsia="宋体"/>
                <w:sz w:val="21"/>
                <w:szCs w:val="21"/>
              </w:rPr>
            </w:pPr>
            <w:r>
              <w:rPr>
                <w:rFonts w:eastAsia="宋体"/>
                <w:sz w:val="21"/>
                <w:szCs w:val="21"/>
              </w:rPr>
              <w:t>LC</w:t>
            </w:r>
            <w:r>
              <w:rPr>
                <w:rFonts w:eastAsia="宋体"/>
                <w:sz w:val="21"/>
                <w:szCs w:val="21"/>
                <w:vertAlign w:val="subscript"/>
              </w:rPr>
              <w:t>50</w:t>
            </w:r>
            <w:r>
              <w:rPr>
                <w:rFonts w:hint="eastAsia" w:eastAsia="宋体"/>
                <w:sz w:val="21"/>
                <w:szCs w:val="21"/>
                <w:vertAlign w:val="subscript"/>
              </w:rPr>
              <w:t>（</w:t>
            </w:r>
            <w:r>
              <w:rPr>
                <w:rFonts w:hint="eastAsia" w:eastAsia="宋体"/>
                <w:sz w:val="21"/>
                <w:szCs w:val="21"/>
              </w:rPr>
              <w:t xml:space="preserve">大鼠吸入）： </w:t>
            </w:r>
            <w:r>
              <w:rPr>
                <w:rFonts w:eastAsia="宋体"/>
                <w:sz w:val="21"/>
                <w:szCs w:val="21"/>
              </w:rPr>
              <w:t>2069mg/m</w:t>
            </w:r>
            <w:r>
              <w:rPr>
                <w:rFonts w:eastAsia="宋体"/>
                <w:sz w:val="21"/>
                <w:szCs w:val="21"/>
                <w:vertAlign w:val="superscript"/>
              </w:rPr>
              <w:t>3</w:t>
            </w:r>
          </w:p>
        </w:tc>
        <w:tc>
          <w:tcPr>
            <w:tcW w:w="991" w:type="pct"/>
            <w:noWrap w:val="0"/>
            <w:vAlign w:val="center"/>
          </w:tcPr>
          <w:p w14:paraId="214573A3">
            <w:pPr>
              <w:adjustRightInd w:val="0"/>
              <w:snapToGrid w:val="0"/>
              <w:jc w:val="center"/>
              <w:rPr>
                <w:rFonts w:eastAsia="宋体"/>
                <w:sz w:val="21"/>
                <w:szCs w:val="21"/>
              </w:rPr>
            </w:pPr>
            <w:r>
              <w:rPr>
                <w:rFonts w:eastAsia="宋体"/>
                <w:sz w:val="21"/>
                <w:szCs w:val="21"/>
              </w:rPr>
              <w:t>380</w:t>
            </w:r>
          </w:p>
        </w:tc>
        <w:tc>
          <w:tcPr>
            <w:tcW w:w="992" w:type="pct"/>
            <w:noWrap w:val="0"/>
            <w:vAlign w:val="center"/>
          </w:tcPr>
          <w:p w14:paraId="70E99D8E">
            <w:pPr>
              <w:adjustRightInd w:val="0"/>
              <w:snapToGrid w:val="0"/>
              <w:jc w:val="center"/>
              <w:rPr>
                <w:rFonts w:eastAsia="宋体"/>
                <w:sz w:val="21"/>
                <w:szCs w:val="21"/>
              </w:rPr>
            </w:pPr>
            <w:r>
              <w:rPr>
                <w:rFonts w:hint="eastAsia" w:eastAsia="宋体"/>
                <w:sz w:val="21"/>
                <w:szCs w:val="21"/>
              </w:rPr>
              <w:t>9</w:t>
            </w:r>
            <w:r>
              <w:rPr>
                <w:rFonts w:eastAsia="宋体"/>
                <w:sz w:val="21"/>
                <w:szCs w:val="21"/>
              </w:rPr>
              <w:t>5</w:t>
            </w:r>
          </w:p>
        </w:tc>
      </w:tr>
    </w:tbl>
    <w:p w14:paraId="797FD030">
      <w:pPr>
        <w:keepNext/>
        <w:keepLines/>
        <w:widowControl/>
        <w:numPr>
          <w:ilvl w:val="0"/>
          <w:numId w:val="18"/>
        </w:numPr>
        <w:spacing w:before="210" w:after="210" w:line="500" w:lineRule="exact"/>
        <w:jc w:val="left"/>
        <w:outlineLvl w:val="1"/>
        <w:rPr>
          <w:b/>
          <w:kern w:val="0"/>
          <w:sz w:val="28"/>
          <w:szCs w:val="20"/>
        </w:rPr>
      </w:pPr>
      <w:bookmarkStart w:id="69" w:name="_Toc18039"/>
      <w:bookmarkStart w:id="70" w:name="_Toc8583"/>
      <w:r>
        <w:rPr>
          <w:b/>
          <w:kern w:val="0"/>
          <w:sz w:val="28"/>
          <w:szCs w:val="20"/>
        </w:rPr>
        <w:t>环境风险分析</w:t>
      </w:r>
      <w:bookmarkEnd w:id="69"/>
      <w:bookmarkEnd w:id="70"/>
    </w:p>
    <w:p w14:paraId="28301843">
      <w:pPr>
        <w:keepNext/>
        <w:keepLines/>
        <w:widowControl/>
        <w:numPr>
          <w:ilvl w:val="0"/>
          <w:numId w:val="19"/>
        </w:numPr>
        <w:spacing w:before="126" w:after="126" w:line="500" w:lineRule="exact"/>
        <w:jc w:val="left"/>
        <w:outlineLvl w:val="2"/>
        <w:rPr>
          <w:b/>
          <w:bCs/>
          <w:kern w:val="0"/>
          <w:sz w:val="24"/>
        </w:rPr>
      </w:pPr>
      <w:bookmarkStart w:id="71" w:name="_Toc33"/>
      <w:bookmarkStart w:id="72" w:name="_Toc144992676"/>
      <w:r>
        <w:rPr>
          <w:b/>
          <w:bCs/>
          <w:kern w:val="0"/>
          <w:sz w:val="24"/>
        </w:rPr>
        <w:t>大气环境影响分析</w:t>
      </w:r>
      <w:bookmarkEnd w:id="71"/>
      <w:bookmarkEnd w:id="72"/>
    </w:p>
    <w:p w14:paraId="0CB9BD87">
      <w:pPr>
        <w:spacing w:line="500" w:lineRule="exact"/>
        <w:ind w:firstLine="520"/>
        <w:rPr>
          <w:sz w:val="24"/>
        </w:rPr>
      </w:pPr>
      <w:r>
        <w:rPr>
          <w:sz w:val="24"/>
        </w:rPr>
        <w:t>1</w:t>
      </w:r>
      <w:r>
        <w:rPr>
          <w:rFonts w:hint="eastAsia"/>
          <w:sz w:val="24"/>
        </w:rPr>
        <w:t>、</w:t>
      </w:r>
      <w:r>
        <w:rPr>
          <w:sz w:val="24"/>
        </w:rPr>
        <w:t>预测模型及参数</w:t>
      </w:r>
    </w:p>
    <w:p w14:paraId="70C2179F">
      <w:pPr>
        <w:spacing w:line="500" w:lineRule="exact"/>
        <w:ind w:firstLine="520"/>
        <w:rPr>
          <w:sz w:val="24"/>
        </w:rPr>
      </w:pPr>
      <w:r>
        <w:rPr>
          <w:sz w:val="24"/>
        </w:rPr>
        <w:t>（1）预测模型</w:t>
      </w:r>
    </w:p>
    <w:p w14:paraId="23076174">
      <w:pPr>
        <w:spacing w:line="500" w:lineRule="exact"/>
        <w:ind w:firstLine="520"/>
        <w:rPr>
          <w:sz w:val="24"/>
        </w:rPr>
      </w:pPr>
      <w:r>
        <w:rPr>
          <w:sz w:val="24"/>
        </w:rPr>
        <w:t>烟团/烟羽是否为重质气体，取决于它相对空气的“过剩密度”和环境条件等因素。通常采用理查德森数（Ri）进行判断。Ri的概念公式为：</w:t>
      </w:r>
    </w:p>
    <w:p w14:paraId="4D12B912">
      <w:pPr>
        <w:spacing w:line="500" w:lineRule="exact"/>
        <w:ind w:firstLine="520"/>
        <w:rPr>
          <w:sz w:val="24"/>
        </w:rPr>
      </w:pPr>
      <w:r>
        <w:rPr>
          <w:sz w:val="24"/>
        </w:rPr>
        <w:t>Ri=烟团的势能/环境的湍流动能。</w:t>
      </w:r>
    </w:p>
    <w:p w14:paraId="3EA8639E">
      <w:pPr>
        <w:spacing w:line="500" w:lineRule="exact"/>
        <w:ind w:firstLine="520"/>
        <w:rPr>
          <w:sz w:val="24"/>
        </w:rPr>
      </w:pPr>
      <w:r>
        <w:rPr>
          <w:sz w:val="24"/>
        </w:rPr>
        <w:t>Ri是个流体动力学参数。根据不同的排放性质，理查德森数的计算公式不同。一般地，依据排放类型，理查德森数的计算分连续排放、瞬时排放两种形式：</w:t>
      </w:r>
    </w:p>
    <w:p w14:paraId="766E004E">
      <w:pPr>
        <w:tabs>
          <w:tab w:val="center" w:pos="4674"/>
        </w:tabs>
        <w:ind w:left="-43" w:leftChars="-73" w:hanging="110" w:hangingChars="46"/>
        <w:jc w:val="center"/>
        <w:rPr>
          <w:sz w:val="24"/>
        </w:rPr>
      </w:pPr>
      <w:r>
        <w:rPr>
          <w:sz w:val="24"/>
        </w:rPr>
        <w:t>连续排放：</w:t>
      </w:r>
      <w:r>
        <w:rPr>
          <w:sz w:val="24"/>
        </w:rPr>
        <w:drawing>
          <wp:inline distT="0" distB="0" distL="0" distR="0">
            <wp:extent cx="2562225" cy="750570"/>
            <wp:effectExtent l="0" t="0" r="9525" b="1143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30" cstate="screen"/>
                    <a:srcRect/>
                    <a:stretch>
                      <a:fillRect/>
                    </a:stretch>
                  </pic:blipFill>
                  <pic:spPr>
                    <a:xfrm>
                      <a:off x="0" y="0"/>
                      <a:ext cx="2562225" cy="750570"/>
                    </a:xfrm>
                    <a:prstGeom prst="rect">
                      <a:avLst/>
                    </a:prstGeom>
                    <a:noFill/>
                    <a:ln>
                      <a:noFill/>
                    </a:ln>
                  </pic:spPr>
                </pic:pic>
              </a:graphicData>
            </a:graphic>
          </wp:inline>
        </w:drawing>
      </w:r>
    </w:p>
    <w:p w14:paraId="546FB6D7">
      <w:pPr>
        <w:tabs>
          <w:tab w:val="center" w:pos="4674"/>
        </w:tabs>
        <w:ind w:left="-43" w:leftChars="-73" w:hanging="110" w:hangingChars="46"/>
        <w:jc w:val="center"/>
        <w:rPr>
          <w:sz w:val="24"/>
        </w:rPr>
      </w:pPr>
      <w:r>
        <w:rPr>
          <w:sz w:val="24"/>
        </w:rPr>
        <w:t>瞬时排放：</w:t>
      </w:r>
      <w:r>
        <w:rPr>
          <w:sz w:val="24"/>
        </w:rPr>
        <w:drawing>
          <wp:inline distT="0" distB="0" distL="0" distR="0">
            <wp:extent cx="2984500" cy="716280"/>
            <wp:effectExtent l="0" t="0" r="6350" b="762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1" cstate="screen"/>
                    <a:srcRect/>
                    <a:stretch>
                      <a:fillRect/>
                    </a:stretch>
                  </pic:blipFill>
                  <pic:spPr>
                    <a:xfrm>
                      <a:off x="0" y="0"/>
                      <a:ext cx="2984500" cy="716280"/>
                    </a:xfrm>
                    <a:prstGeom prst="rect">
                      <a:avLst/>
                    </a:prstGeom>
                    <a:noFill/>
                    <a:ln>
                      <a:noFill/>
                    </a:ln>
                  </pic:spPr>
                </pic:pic>
              </a:graphicData>
            </a:graphic>
          </wp:inline>
        </w:drawing>
      </w:r>
    </w:p>
    <w:p w14:paraId="7A15977A">
      <w:pPr>
        <w:spacing w:line="500" w:lineRule="exact"/>
        <w:ind w:firstLine="520"/>
        <w:rPr>
          <w:sz w:val="24"/>
        </w:rPr>
      </w:pPr>
      <w:r>
        <w:rPr>
          <w:sz w:val="24"/>
        </w:rPr>
        <w:t>式中：ρ</w:t>
      </w:r>
      <w:r>
        <w:rPr>
          <w:sz w:val="24"/>
          <w:vertAlign w:val="subscript"/>
        </w:rPr>
        <w:t>rel</w:t>
      </w:r>
      <w:r>
        <w:rPr>
          <w:sz w:val="24"/>
        </w:rPr>
        <w:t>——排放物质进入大气的初始密度，kg/m</w:t>
      </w:r>
      <w:r>
        <w:rPr>
          <w:sz w:val="24"/>
          <w:vertAlign w:val="superscript"/>
        </w:rPr>
        <w:t>3</w:t>
      </w:r>
      <w:r>
        <w:rPr>
          <w:sz w:val="24"/>
        </w:rPr>
        <w:t>；</w:t>
      </w:r>
    </w:p>
    <w:p w14:paraId="707357D9">
      <w:pPr>
        <w:spacing w:line="500" w:lineRule="exact"/>
        <w:ind w:firstLine="520"/>
        <w:rPr>
          <w:sz w:val="24"/>
        </w:rPr>
      </w:pPr>
      <w:r>
        <w:rPr>
          <w:sz w:val="24"/>
        </w:rPr>
        <w:t xml:space="preserve">      ρ</w:t>
      </w:r>
      <w:r>
        <w:rPr>
          <w:sz w:val="24"/>
          <w:vertAlign w:val="subscript"/>
        </w:rPr>
        <w:t>a</w:t>
      </w:r>
      <w:r>
        <w:rPr>
          <w:sz w:val="24"/>
        </w:rPr>
        <w:t>——环境空气密度，kg/m</w:t>
      </w:r>
      <w:r>
        <w:rPr>
          <w:sz w:val="24"/>
          <w:vertAlign w:val="superscript"/>
        </w:rPr>
        <w:t>3</w:t>
      </w:r>
      <w:r>
        <w:rPr>
          <w:sz w:val="24"/>
        </w:rPr>
        <w:t>；</w:t>
      </w:r>
    </w:p>
    <w:p w14:paraId="103D4585">
      <w:pPr>
        <w:spacing w:line="500" w:lineRule="exact"/>
        <w:ind w:firstLine="520"/>
        <w:rPr>
          <w:sz w:val="24"/>
        </w:rPr>
      </w:pPr>
      <w:r>
        <w:rPr>
          <w:sz w:val="24"/>
        </w:rPr>
        <w:t xml:space="preserve">      Q——连续排放烟羽的排放速率，kg/s；</w:t>
      </w:r>
    </w:p>
    <w:p w14:paraId="6CC15DB5">
      <w:pPr>
        <w:spacing w:line="500" w:lineRule="exact"/>
        <w:ind w:firstLine="520"/>
        <w:rPr>
          <w:sz w:val="24"/>
        </w:rPr>
      </w:pPr>
      <w:r>
        <w:rPr>
          <w:sz w:val="24"/>
        </w:rPr>
        <w:t xml:space="preserve">      Q</w:t>
      </w:r>
      <w:r>
        <w:rPr>
          <w:sz w:val="24"/>
          <w:vertAlign w:val="subscript"/>
        </w:rPr>
        <w:t>t</w:t>
      </w:r>
      <w:r>
        <w:rPr>
          <w:sz w:val="24"/>
        </w:rPr>
        <w:t>——瞬时排放的物质质量，kg；</w:t>
      </w:r>
    </w:p>
    <w:p w14:paraId="01988AAC">
      <w:pPr>
        <w:spacing w:line="500" w:lineRule="exact"/>
        <w:ind w:firstLine="520"/>
        <w:rPr>
          <w:sz w:val="24"/>
        </w:rPr>
      </w:pPr>
      <w:r>
        <w:rPr>
          <w:sz w:val="24"/>
        </w:rPr>
        <w:t xml:space="preserve">      D</w:t>
      </w:r>
      <w:r>
        <w:rPr>
          <w:sz w:val="24"/>
          <w:vertAlign w:val="subscript"/>
        </w:rPr>
        <w:t>rel</w:t>
      </w:r>
      <w:r>
        <w:rPr>
          <w:sz w:val="24"/>
        </w:rPr>
        <w:t>——初始的烟团宽度，即源直径，m；</w:t>
      </w:r>
    </w:p>
    <w:p w14:paraId="65A235E5">
      <w:pPr>
        <w:spacing w:line="500" w:lineRule="exact"/>
        <w:ind w:firstLine="520"/>
        <w:rPr>
          <w:sz w:val="24"/>
        </w:rPr>
      </w:pPr>
      <w:r>
        <w:rPr>
          <w:sz w:val="24"/>
        </w:rPr>
        <w:t xml:space="preserve">      U</w:t>
      </w:r>
      <w:r>
        <w:rPr>
          <w:sz w:val="24"/>
          <w:vertAlign w:val="subscript"/>
        </w:rPr>
        <w:t>r</w:t>
      </w:r>
      <w:r>
        <w:rPr>
          <w:sz w:val="24"/>
        </w:rPr>
        <w:t>——10m高处风速，m/s。</w:t>
      </w:r>
    </w:p>
    <w:p w14:paraId="2D7AEBBE">
      <w:pPr>
        <w:spacing w:line="500" w:lineRule="exact"/>
        <w:ind w:firstLine="520"/>
        <w:rPr>
          <w:sz w:val="24"/>
        </w:rPr>
      </w:pPr>
      <w:r>
        <w:rPr>
          <w:sz w:val="24"/>
        </w:rPr>
        <w:t>判定连续排放还是瞬时排放，可通过对比排放时间T</w:t>
      </w:r>
      <w:r>
        <w:rPr>
          <w:sz w:val="24"/>
          <w:vertAlign w:val="subscript"/>
        </w:rPr>
        <w:t>d</w:t>
      </w:r>
      <w:r>
        <w:rPr>
          <w:sz w:val="24"/>
        </w:rPr>
        <w:t>和污染物到达最近的受体点（网格点或敏感点）的时间T确定。</w:t>
      </w:r>
    </w:p>
    <w:p w14:paraId="5DDB03FD">
      <w:pPr>
        <w:spacing w:line="500" w:lineRule="exact"/>
        <w:ind w:firstLine="520"/>
        <w:jc w:val="center"/>
        <w:rPr>
          <w:sz w:val="24"/>
        </w:rPr>
      </w:pPr>
      <w:r>
        <w:rPr>
          <w:sz w:val="24"/>
        </w:rPr>
        <w:t>T=2X/ U</w:t>
      </w:r>
      <w:r>
        <w:rPr>
          <w:sz w:val="24"/>
          <w:vertAlign w:val="subscript"/>
        </w:rPr>
        <w:t>r</w:t>
      </w:r>
    </w:p>
    <w:p w14:paraId="085CF9F7">
      <w:pPr>
        <w:spacing w:line="500" w:lineRule="exact"/>
        <w:ind w:firstLine="520"/>
        <w:rPr>
          <w:sz w:val="24"/>
        </w:rPr>
      </w:pPr>
      <w:r>
        <w:rPr>
          <w:sz w:val="24"/>
        </w:rPr>
        <w:t>式中：X——事故发生地与计算点的距离，m；</w:t>
      </w:r>
    </w:p>
    <w:p w14:paraId="45919BC2">
      <w:pPr>
        <w:spacing w:line="500" w:lineRule="exact"/>
        <w:ind w:firstLine="520"/>
        <w:rPr>
          <w:sz w:val="24"/>
        </w:rPr>
      </w:pPr>
      <w:r>
        <w:rPr>
          <w:sz w:val="24"/>
        </w:rPr>
        <w:t xml:space="preserve">      U</w:t>
      </w:r>
      <w:r>
        <w:rPr>
          <w:sz w:val="24"/>
          <w:vertAlign w:val="subscript"/>
        </w:rPr>
        <w:t>r</w:t>
      </w:r>
      <w:r>
        <w:rPr>
          <w:sz w:val="24"/>
        </w:rPr>
        <w:t>——10m高处风速，m/s。假设风速和风向在T时间段内保持不变。</w:t>
      </w:r>
    </w:p>
    <w:p w14:paraId="765441E4">
      <w:pPr>
        <w:spacing w:line="500" w:lineRule="exact"/>
        <w:ind w:firstLine="520"/>
        <w:rPr>
          <w:sz w:val="24"/>
        </w:rPr>
      </w:pPr>
      <w:r>
        <w:rPr>
          <w:sz w:val="24"/>
        </w:rPr>
        <w:t>当T</w:t>
      </w:r>
      <w:r>
        <w:rPr>
          <w:sz w:val="24"/>
          <w:vertAlign w:val="subscript"/>
        </w:rPr>
        <w:t>d</w:t>
      </w:r>
      <w:r>
        <w:rPr>
          <w:sz w:val="24"/>
        </w:rPr>
        <w:t>＞T时，可被认为是连续排放的；当T</w:t>
      </w:r>
      <w:r>
        <w:rPr>
          <w:sz w:val="24"/>
          <w:vertAlign w:val="subscript"/>
        </w:rPr>
        <w:t>d</w:t>
      </w:r>
      <w:r>
        <w:rPr>
          <w:sz w:val="24"/>
        </w:rPr>
        <w:t>＜T时，可被认为是瞬时排放。</w:t>
      </w:r>
    </w:p>
    <w:p w14:paraId="63BC273D">
      <w:pPr>
        <w:spacing w:line="500" w:lineRule="exact"/>
        <w:ind w:firstLine="520"/>
        <w:rPr>
          <w:sz w:val="24"/>
        </w:rPr>
      </w:pPr>
      <w:r>
        <w:rPr>
          <w:sz w:val="24"/>
        </w:rPr>
        <w:t>对于连续排放，Ri≥1/6为重质气体，Ri&lt; 1/6为轻质气体；对于瞬时排放，Ri&gt;0.04为重质气体，Ri≤0.04为轻质气体。当Ri处于临界值附近时，说明烟团/烟羽既不是典型的重质气体扩散，也不是典型的轻质气体扩散。可以进行敏感性分析，分别采用重质气体和轻质气体模型进行模拟，选取影响范围最大的结果。</w:t>
      </w:r>
    </w:p>
    <w:p w14:paraId="38732433">
      <w:pPr>
        <w:spacing w:line="500" w:lineRule="exact"/>
        <w:ind w:firstLine="520"/>
        <w:rPr>
          <w:rFonts w:hint="default" w:eastAsia="宋体"/>
          <w:sz w:val="24"/>
          <w:lang w:val="en-US" w:eastAsia="zh-CN"/>
        </w:rPr>
      </w:pPr>
      <w:r>
        <w:rPr>
          <w:rFonts w:hint="eastAsia"/>
          <w:sz w:val="24"/>
        </w:rPr>
        <w:t>项目环境风险预测选取模型一览表见表</w:t>
      </w:r>
      <w:r>
        <w:rPr>
          <w:rFonts w:hint="eastAsia"/>
          <w:sz w:val="24"/>
          <w:lang w:val="en-US" w:eastAsia="zh-CN"/>
        </w:rPr>
        <w:t>7.1-1。</w:t>
      </w:r>
    </w:p>
    <w:p w14:paraId="2B6B7F2E">
      <w:pPr>
        <w:keepNext/>
        <w:keepLines/>
        <w:widowControl/>
        <w:tabs>
          <w:tab w:val="left" w:pos="795"/>
        </w:tabs>
        <w:spacing w:line="500" w:lineRule="exact"/>
        <w:ind w:left="795"/>
        <w:jc w:val="center"/>
        <w:outlineLvl w:val="3"/>
        <w:rPr>
          <w:rFonts w:hint="eastAsia"/>
          <w:sz w:val="24"/>
        </w:rPr>
      </w:pPr>
      <w:r>
        <w:rPr>
          <w:rFonts w:hint="eastAsia"/>
          <w:b/>
          <w:kern w:val="0"/>
          <w:sz w:val="24"/>
          <w:lang w:val="en-US" w:eastAsia="zh-CN"/>
        </w:rPr>
        <w:t>表7.1-1 环境风险预测选取模型一览表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7"/>
        <w:gridCol w:w="1174"/>
        <w:gridCol w:w="1285"/>
        <w:gridCol w:w="1901"/>
        <w:gridCol w:w="1397"/>
        <w:gridCol w:w="1796"/>
      </w:tblGrid>
      <w:tr w14:paraId="7B1E2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2" w:type="pct"/>
            <w:tcBorders>
              <w:top w:val="single" w:color="000000" w:sz="4" w:space="0"/>
              <w:left w:val="single" w:color="000000" w:sz="4" w:space="0"/>
              <w:bottom w:val="single" w:color="000000" w:sz="4" w:space="0"/>
              <w:right w:val="single" w:color="000000" w:sz="4" w:space="0"/>
            </w:tcBorders>
            <w:noWrap w:val="0"/>
            <w:vAlign w:val="center"/>
          </w:tcPr>
          <w:p w14:paraId="33C1E5F8">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风险源</w:t>
            </w: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162114F6">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气体名称</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33F3BF2B">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理查德森数</w:t>
            </w:r>
          </w:p>
        </w:tc>
        <w:tc>
          <w:tcPr>
            <w:tcW w:w="1049" w:type="pct"/>
            <w:tcBorders>
              <w:top w:val="single" w:color="000000" w:sz="4" w:space="0"/>
              <w:left w:val="single" w:color="000000" w:sz="4" w:space="0"/>
              <w:bottom w:val="single" w:color="000000" w:sz="4" w:space="0"/>
              <w:right w:val="single" w:color="000000" w:sz="4" w:space="0"/>
            </w:tcBorders>
            <w:noWrap w:val="0"/>
            <w:vAlign w:val="center"/>
          </w:tcPr>
          <w:p w14:paraId="37332745">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判断标准</w:t>
            </w:r>
          </w:p>
        </w:tc>
        <w:tc>
          <w:tcPr>
            <w:tcW w:w="771" w:type="pct"/>
            <w:tcBorders>
              <w:top w:val="single" w:color="000000" w:sz="4" w:space="0"/>
              <w:left w:val="single" w:color="000000" w:sz="4" w:space="0"/>
              <w:bottom w:val="single" w:color="000000" w:sz="4" w:space="0"/>
              <w:right w:val="single" w:color="000000" w:sz="4" w:space="0"/>
            </w:tcBorders>
            <w:noWrap w:val="0"/>
            <w:vAlign w:val="center"/>
          </w:tcPr>
          <w:p w14:paraId="0E1952FE">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气体性质</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14:paraId="21426898">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选取预测模型</w:t>
            </w:r>
          </w:p>
        </w:tc>
      </w:tr>
      <w:tr w14:paraId="7B09F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2" w:type="pct"/>
            <w:vMerge w:val="restart"/>
            <w:tcBorders>
              <w:top w:val="single" w:color="000000" w:sz="4" w:space="0"/>
              <w:left w:val="single" w:color="000000" w:sz="4" w:space="0"/>
              <w:right w:val="single" w:color="000000" w:sz="4" w:space="0"/>
            </w:tcBorders>
            <w:noWrap w:val="0"/>
            <w:vAlign w:val="center"/>
          </w:tcPr>
          <w:p w14:paraId="6DBF5DEE">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lang w:val="en-US" w:eastAsia="zh-CN" w:bidi="ar"/>
              </w:rPr>
            </w:pPr>
            <w:r>
              <w:rPr>
                <w:rFonts w:hint="eastAsia" w:ascii="Times New Roman" w:hAnsi="Times New Roman"/>
                <w:spacing w:val="10"/>
                <w:kern w:val="2"/>
                <w:sz w:val="21"/>
                <w:szCs w:val="21"/>
                <w:highlight w:val="none"/>
                <w:lang w:val="en-US" w:eastAsia="zh-CN" w:bidi="ar"/>
              </w:rPr>
              <w:t>醋酸中间罐、废液罐</w:t>
            </w:r>
          </w:p>
        </w:tc>
        <w:tc>
          <w:tcPr>
            <w:tcW w:w="648" w:type="pct"/>
            <w:tcBorders>
              <w:top w:val="single" w:color="000000" w:sz="4" w:space="0"/>
              <w:left w:val="single" w:color="000000" w:sz="4" w:space="0"/>
              <w:right w:val="single" w:color="000000" w:sz="4" w:space="0"/>
            </w:tcBorders>
            <w:noWrap w:val="0"/>
            <w:vAlign w:val="center"/>
          </w:tcPr>
          <w:p w14:paraId="046E19B6">
            <w:pPr>
              <w:pStyle w:val="22"/>
              <w:widowControl w:val="0"/>
              <w:spacing w:before="0" w:beforeAutospacing="0" w:after="0" w:afterAutospacing="0" w:line="240" w:lineRule="exact"/>
              <w:jc w:val="center"/>
              <w:rPr>
                <w:rFonts w:hint="eastAsia" w:ascii="Times New Roman" w:hAnsi="Times New Roman" w:eastAsia="宋体"/>
                <w:spacing w:val="10"/>
                <w:kern w:val="2"/>
                <w:sz w:val="21"/>
                <w:szCs w:val="21"/>
                <w:highlight w:val="none"/>
                <w:lang w:eastAsia="zh-CN" w:bidi="ar"/>
              </w:rPr>
            </w:pPr>
            <w:r>
              <w:rPr>
                <w:rFonts w:hint="eastAsia" w:ascii="Times New Roman" w:hAnsi="Times New Roman"/>
                <w:spacing w:val="10"/>
                <w:kern w:val="2"/>
                <w:sz w:val="21"/>
                <w:szCs w:val="21"/>
                <w:highlight w:val="none"/>
                <w:lang w:val="en-US" w:eastAsia="zh-CN" w:bidi="ar"/>
              </w:rPr>
              <w:t>醋酸</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47AF1EF">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lang w:val="en-US" w:eastAsia="zh-CN" w:bidi="ar"/>
              </w:rPr>
            </w:pPr>
            <w:r>
              <w:rPr>
                <w:rFonts w:hint="eastAsia" w:ascii="Times New Roman" w:hAnsi="Times New Roman"/>
                <w:spacing w:val="10"/>
                <w:kern w:val="2"/>
                <w:sz w:val="21"/>
                <w:szCs w:val="21"/>
                <w:highlight w:val="none"/>
                <w:lang w:val="en-US" w:eastAsia="zh-CN" w:bidi="ar"/>
              </w:rPr>
              <w:t>0.044</w:t>
            </w:r>
          </w:p>
        </w:tc>
        <w:tc>
          <w:tcPr>
            <w:tcW w:w="1049" w:type="pct"/>
            <w:tcBorders>
              <w:top w:val="single" w:color="000000" w:sz="4" w:space="0"/>
              <w:left w:val="single" w:color="000000" w:sz="4" w:space="0"/>
              <w:bottom w:val="single" w:color="000000" w:sz="4" w:space="0"/>
              <w:right w:val="single" w:color="000000" w:sz="4" w:space="0"/>
            </w:tcBorders>
            <w:noWrap w:val="0"/>
            <w:vAlign w:val="center"/>
          </w:tcPr>
          <w:p w14:paraId="460E6B04">
            <w:pPr>
              <w:pStyle w:val="22"/>
              <w:widowControl w:val="0"/>
              <w:spacing w:before="0" w:beforeAutospacing="0" w:after="0" w:afterAutospacing="0" w:line="240" w:lineRule="exact"/>
              <w:jc w:val="center"/>
              <w:rPr>
                <w:rFonts w:hint="default" w:ascii="Times New Roman" w:hAnsi="Times New Roman" w:eastAsia="宋体"/>
                <w:spacing w:val="10"/>
                <w:kern w:val="2"/>
                <w:sz w:val="21"/>
                <w:szCs w:val="21"/>
                <w:highlight w:val="none"/>
                <w:lang w:val="en-US" w:eastAsia="zh-CN" w:bidi="ar"/>
              </w:rPr>
            </w:pPr>
            <w:r>
              <w:rPr>
                <w:rFonts w:ascii="Times New Roman" w:hAnsi="Times New Roman"/>
                <w:spacing w:val="10"/>
                <w:kern w:val="2"/>
                <w:sz w:val="21"/>
                <w:szCs w:val="21"/>
                <w:highlight w:val="none"/>
                <w:lang w:bidi="ar"/>
              </w:rPr>
              <w:t>Ri</w:t>
            </w:r>
            <w:r>
              <w:rPr>
                <w:rFonts w:hint="eastAsia" w:ascii="Times New Roman" w:hAnsi="Times New Roman"/>
                <w:spacing w:val="10"/>
                <w:kern w:val="2"/>
                <w:sz w:val="21"/>
                <w:szCs w:val="21"/>
                <w:highlight w:val="none"/>
                <w:lang w:val="en-US" w:eastAsia="zh-CN" w:bidi="ar"/>
              </w:rPr>
              <w:t>＜1/6</w:t>
            </w:r>
          </w:p>
        </w:tc>
        <w:tc>
          <w:tcPr>
            <w:tcW w:w="771" w:type="pct"/>
            <w:tcBorders>
              <w:top w:val="single" w:color="000000" w:sz="4" w:space="0"/>
              <w:left w:val="single" w:color="000000" w:sz="4" w:space="0"/>
              <w:bottom w:val="single" w:color="000000" w:sz="4" w:space="0"/>
              <w:right w:val="single" w:color="000000" w:sz="4" w:space="0"/>
            </w:tcBorders>
            <w:noWrap w:val="0"/>
            <w:vAlign w:val="center"/>
          </w:tcPr>
          <w:p w14:paraId="688408B7">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hint="eastAsia" w:ascii="Times New Roman" w:hAnsi="Times New Roman"/>
                <w:spacing w:val="10"/>
                <w:kern w:val="2"/>
                <w:sz w:val="21"/>
                <w:szCs w:val="21"/>
                <w:highlight w:val="none"/>
                <w:lang w:val="en-US" w:eastAsia="zh-CN" w:bidi="ar"/>
              </w:rPr>
              <w:t>氢</w:t>
            </w:r>
            <w:r>
              <w:rPr>
                <w:rFonts w:ascii="Times New Roman" w:hAnsi="Times New Roman"/>
                <w:spacing w:val="10"/>
                <w:kern w:val="2"/>
                <w:sz w:val="21"/>
                <w:szCs w:val="21"/>
                <w:highlight w:val="none"/>
                <w:lang w:bidi="ar"/>
              </w:rPr>
              <w:t>气体</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14:paraId="0154565D">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AFTOX</w:t>
            </w:r>
          </w:p>
        </w:tc>
      </w:tr>
      <w:tr w14:paraId="139E0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2" w:type="pct"/>
            <w:vMerge w:val="continue"/>
            <w:tcBorders>
              <w:left w:val="single" w:color="000000" w:sz="4" w:space="0"/>
              <w:right w:val="single" w:color="000000" w:sz="4" w:space="0"/>
            </w:tcBorders>
            <w:noWrap w:val="0"/>
            <w:vAlign w:val="center"/>
          </w:tcPr>
          <w:p w14:paraId="1C3D41B9">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p>
        </w:tc>
        <w:tc>
          <w:tcPr>
            <w:tcW w:w="648" w:type="pct"/>
            <w:tcBorders>
              <w:top w:val="single" w:color="000000" w:sz="4" w:space="0"/>
              <w:left w:val="single" w:color="000000" w:sz="4" w:space="0"/>
              <w:bottom w:val="single" w:color="000000" w:sz="4" w:space="0"/>
              <w:right w:val="single" w:color="000000" w:sz="4" w:space="0"/>
            </w:tcBorders>
            <w:noWrap w:val="0"/>
            <w:vAlign w:val="center"/>
          </w:tcPr>
          <w:p w14:paraId="6487FC6B">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CO</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23E4C15">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w:t>
            </w:r>
          </w:p>
        </w:tc>
        <w:tc>
          <w:tcPr>
            <w:tcW w:w="1049" w:type="pct"/>
            <w:tcBorders>
              <w:top w:val="single" w:color="000000" w:sz="4" w:space="0"/>
              <w:left w:val="single" w:color="000000" w:sz="4" w:space="0"/>
              <w:bottom w:val="single" w:color="000000" w:sz="4" w:space="0"/>
              <w:right w:val="single" w:color="000000" w:sz="4" w:space="0"/>
            </w:tcBorders>
            <w:noWrap w:val="0"/>
            <w:vAlign w:val="center"/>
          </w:tcPr>
          <w:p w14:paraId="4003F493">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CO烟团初始密度小于空气密度</w:t>
            </w:r>
          </w:p>
        </w:tc>
        <w:tc>
          <w:tcPr>
            <w:tcW w:w="771" w:type="pct"/>
            <w:tcBorders>
              <w:top w:val="single" w:color="000000" w:sz="4" w:space="0"/>
              <w:left w:val="single" w:color="000000" w:sz="4" w:space="0"/>
              <w:bottom w:val="single" w:color="000000" w:sz="4" w:space="0"/>
              <w:right w:val="single" w:color="000000" w:sz="4" w:space="0"/>
            </w:tcBorders>
            <w:noWrap w:val="0"/>
            <w:vAlign w:val="center"/>
          </w:tcPr>
          <w:p w14:paraId="0154A56C">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轻气体</w:t>
            </w:r>
          </w:p>
        </w:tc>
        <w:tc>
          <w:tcPr>
            <w:tcW w:w="991" w:type="pct"/>
            <w:tcBorders>
              <w:top w:val="single" w:color="000000" w:sz="4" w:space="0"/>
              <w:left w:val="single" w:color="000000" w:sz="4" w:space="0"/>
              <w:bottom w:val="single" w:color="000000" w:sz="4" w:space="0"/>
              <w:right w:val="single" w:color="000000" w:sz="4" w:space="0"/>
            </w:tcBorders>
            <w:noWrap w:val="0"/>
            <w:vAlign w:val="center"/>
          </w:tcPr>
          <w:p w14:paraId="5FD615A8">
            <w:pPr>
              <w:pStyle w:val="22"/>
              <w:widowControl w:val="0"/>
              <w:spacing w:before="0" w:beforeAutospacing="0" w:after="0" w:afterAutospacing="0" w:line="240" w:lineRule="exact"/>
              <w:jc w:val="center"/>
              <w:rPr>
                <w:rFonts w:ascii="Times New Roman" w:hAnsi="Times New Roman"/>
                <w:spacing w:val="10"/>
                <w:kern w:val="2"/>
                <w:sz w:val="21"/>
                <w:szCs w:val="21"/>
                <w:highlight w:val="none"/>
                <w:lang w:bidi="ar"/>
              </w:rPr>
            </w:pPr>
            <w:r>
              <w:rPr>
                <w:rFonts w:ascii="Times New Roman" w:hAnsi="Times New Roman"/>
                <w:spacing w:val="10"/>
                <w:kern w:val="2"/>
                <w:sz w:val="21"/>
                <w:szCs w:val="21"/>
                <w:highlight w:val="none"/>
                <w:lang w:bidi="ar"/>
              </w:rPr>
              <w:t>AFTOX</w:t>
            </w:r>
          </w:p>
        </w:tc>
      </w:tr>
    </w:tbl>
    <w:p w14:paraId="24E5748C">
      <w:pPr>
        <w:spacing w:line="500" w:lineRule="exact"/>
        <w:ind w:firstLine="520"/>
        <w:rPr>
          <w:sz w:val="24"/>
        </w:rPr>
      </w:pPr>
      <w:r>
        <w:rPr>
          <w:sz w:val="24"/>
        </w:rPr>
        <w:t>（2）预测参数</w:t>
      </w:r>
    </w:p>
    <w:p w14:paraId="31F7271D">
      <w:pPr>
        <w:spacing w:line="500" w:lineRule="exact"/>
        <w:ind w:firstLine="520"/>
        <w:rPr>
          <w:sz w:val="24"/>
        </w:rPr>
      </w:pPr>
      <w:r>
        <w:rPr>
          <w:rFonts w:hint="eastAsia"/>
          <w:sz w:val="24"/>
        </w:rPr>
        <w:t>项目风险</w:t>
      </w:r>
      <w:r>
        <w:rPr>
          <w:sz w:val="24"/>
        </w:rPr>
        <w:t>预测主要参数</w:t>
      </w:r>
      <w:r>
        <w:rPr>
          <w:rFonts w:hint="eastAsia"/>
          <w:sz w:val="24"/>
        </w:rPr>
        <w:t>详</w:t>
      </w:r>
      <w:r>
        <w:rPr>
          <w:sz w:val="24"/>
        </w:rPr>
        <w:t>见表</w:t>
      </w:r>
      <w:r>
        <w:rPr>
          <w:rFonts w:hint="eastAsia"/>
          <w:sz w:val="24"/>
        </w:rPr>
        <w:t>7.1-</w:t>
      </w:r>
      <w:r>
        <w:rPr>
          <w:rFonts w:hint="eastAsia"/>
          <w:sz w:val="24"/>
          <w:lang w:val="en-US" w:eastAsia="zh-CN"/>
        </w:rPr>
        <w:t>2</w:t>
      </w:r>
      <w:r>
        <w:rPr>
          <w:sz w:val="24"/>
        </w:rPr>
        <w:t>。</w:t>
      </w:r>
    </w:p>
    <w:p w14:paraId="63C7C587">
      <w:pPr>
        <w:keepNext/>
        <w:keepLines/>
        <w:widowControl/>
        <w:tabs>
          <w:tab w:val="left" w:pos="795"/>
        </w:tabs>
        <w:spacing w:line="500" w:lineRule="exact"/>
        <w:ind w:left="795"/>
        <w:jc w:val="center"/>
        <w:outlineLvl w:val="3"/>
        <w:rPr>
          <w:b/>
          <w:kern w:val="0"/>
          <w:sz w:val="24"/>
        </w:rPr>
      </w:pPr>
      <w:r>
        <w:rPr>
          <w:rFonts w:hint="eastAsia"/>
          <w:b/>
          <w:kern w:val="0"/>
          <w:sz w:val="24"/>
        </w:rPr>
        <w:t>表7.1-</w:t>
      </w:r>
      <w:r>
        <w:rPr>
          <w:rFonts w:hint="eastAsia"/>
          <w:b/>
          <w:kern w:val="0"/>
          <w:sz w:val="24"/>
          <w:lang w:val="en-US" w:eastAsia="zh-CN"/>
        </w:rPr>
        <w:t>2</w:t>
      </w:r>
      <w:r>
        <w:rPr>
          <w:rFonts w:hint="eastAsia"/>
          <w:b/>
          <w:kern w:val="0"/>
          <w:sz w:val="24"/>
        </w:rPr>
        <w:t>大气风险预测模型主要参数表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3"/>
        <w:gridCol w:w="4529"/>
      </w:tblGrid>
      <w:tr w14:paraId="1DE6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0" w:type="pct"/>
            <w:noWrap w:val="0"/>
            <w:vAlign w:val="center"/>
          </w:tcPr>
          <w:p w14:paraId="122B5525">
            <w:pPr>
              <w:pStyle w:val="88"/>
              <w:spacing w:line="240" w:lineRule="exact"/>
              <w:ind w:firstLine="0" w:firstLineChars="0"/>
              <w:jc w:val="center"/>
              <w:rPr>
                <w:sz w:val="21"/>
                <w:szCs w:val="21"/>
              </w:rPr>
            </w:pPr>
            <w:r>
              <w:rPr>
                <w:sz w:val="21"/>
                <w:szCs w:val="21"/>
              </w:rPr>
              <w:t>参数类型</w:t>
            </w:r>
          </w:p>
        </w:tc>
        <w:tc>
          <w:tcPr>
            <w:tcW w:w="1249" w:type="pct"/>
            <w:noWrap w:val="0"/>
            <w:vAlign w:val="center"/>
          </w:tcPr>
          <w:p w14:paraId="67019E7A">
            <w:pPr>
              <w:pStyle w:val="88"/>
              <w:spacing w:line="240" w:lineRule="exact"/>
              <w:ind w:firstLine="0" w:firstLineChars="0"/>
              <w:jc w:val="center"/>
              <w:rPr>
                <w:sz w:val="21"/>
                <w:szCs w:val="21"/>
              </w:rPr>
            </w:pPr>
            <w:r>
              <w:rPr>
                <w:sz w:val="21"/>
                <w:szCs w:val="21"/>
              </w:rPr>
              <w:t>选项</w:t>
            </w:r>
          </w:p>
        </w:tc>
        <w:tc>
          <w:tcPr>
            <w:tcW w:w="2500" w:type="pct"/>
            <w:noWrap w:val="0"/>
            <w:vAlign w:val="center"/>
          </w:tcPr>
          <w:p w14:paraId="06EA9124">
            <w:pPr>
              <w:pStyle w:val="88"/>
              <w:spacing w:line="240" w:lineRule="exact"/>
              <w:ind w:firstLine="0" w:firstLineChars="0"/>
              <w:jc w:val="center"/>
              <w:rPr>
                <w:sz w:val="21"/>
                <w:szCs w:val="21"/>
              </w:rPr>
            </w:pPr>
            <w:r>
              <w:rPr>
                <w:sz w:val="21"/>
                <w:szCs w:val="21"/>
              </w:rPr>
              <w:t>参数</w:t>
            </w:r>
          </w:p>
        </w:tc>
      </w:tr>
      <w:tr w14:paraId="7D3D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restart"/>
            <w:noWrap w:val="0"/>
            <w:vAlign w:val="center"/>
          </w:tcPr>
          <w:p w14:paraId="771B0983">
            <w:pPr>
              <w:pStyle w:val="88"/>
              <w:spacing w:line="240" w:lineRule="exact"/>
              <w:ind w:firstLine="0" w:firstLineChars="0"/>
              <w:jc w:val="center"/>
              <w:rPr>
                <w:sz w:val="21"/>
                <w:szCs w:val="21"/>
              </w:rPr>
            </w:pPr>
            <w:r>
              <w:rPr>
                <w:sz w:val="21"/>
                <w:szCs w:val="21"/>
              </w:rPr>
              <w:t>基本情况</w:t>
            </w:r>
          </w:p>
        </w:tc>
        <w:tc>
          <w:tcPr>
            <w:tcW w:w="1249" w:type="pct"/>
            <w:noWrap w:val="0"/>
            <w:vAlign w:val="center"/>
          </w:tcPr>
          <w:p w14:paraId="48284D7C">
            <w:pPr>
              <w:pStyle w:val="88"/>
              <w:spacing w:line="240" w:lineRule="exact"/>
              <w:ind w:firstLine="0" w:firstLineChars="0"/>
              <w:jc w:val="center"/>
              <w:rPr>
                <w:sz w:val="21"/>
                <w:szCs w:val="21"/>
              </w:rPr>
            </w:pPr>
            <w:r>
              <w:rPr>
                <w:sz w:val="21"/>
                <w:szCs w:val="21"/>
              </w:rPr>
              <w:t>事故源经度°</w:t>
            </w:r>
          </w:p>
        </w:tc>
        <w:tc>
          <w:tcPr>
            <w:tcW w:w="2500" w:type="pct"/>
            <w:noWrap w:val="0"/>
            <w:vAlign w:val="center"/>
          </w:tcPr>
          <w:p w14:paraId="78D7B456">
            <w:pPr>
              <w:pStyle w:val="88"/>
              <w:spacing w:line="240" w:lineRule="exact"/>
              <w:ind w:firstLine="0" w:firstLineChars="0"/>
              <w:jc w:val="center"/>
              <w:rPr>
                <w:rFonts w:hint="eastAsia"/>
                <w:sz w:val="21"/>
                <w:szCs w:val="21"/>
              </w:rPr>
            </w:pPr>
            <w:r>
              <w:rPr>
                <w:sz w:val="21"/>
                <w:szCs w:val="21"/>
              </w:rPr>
              <w:t>108.6</w:t>
            </w:r>
            <w:r>
              <w:rPr>
                <w:rFonts w:hint="eastAsia"/>
                <w:sz w:val="21"/>
                <w:szCs w:val="21"/>
              </w:rPr>
              <w:t>107</w:t>
            </w:r>
          </w:p>
        </w:tc>
      </w:tr>
      <w:tr w14:paraId="024D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367C2330">
            <w:pPr>
              <w:pStyle w:val="88"/>
              <w:spacing w:line="240" w:lineRule="exact"/>
              <w:ind w:firstLine="0" w:firstLineChars="0"/>
              <w:jc w:val="center"/>
              <w:rPr>
                <w:sz w:val="21"/>
                <w:szCs w:val="21"/>
              </w:rPr>
            </w:pPr>
          </w:p>
        </w:tc>
        <w:tc>
          <w:tcPr>
            <w:tcW w:w="1249" w:type="pct"/>
            <w:noWrap w:val="0"/>
            <w:vAlign w:val="center"/>
          </w:tcPr>
          <w:p w14:paraId="0FE55AB4">
            <w:pPr>
              <w:pStyle w:val="88"/>
              <w:spacing w:line="240" w:lineRule="exact"/>
              <w:ind w:firstLine="0" w:firstLineChars="0"/>
              <w:jc w:val="center"/>
              <w:rPr>
                <w:sz w:val="21"/>
                <w:szCs w:val="21"/>
              </w:rPr>
            </w:pPr>
            <w:r>
              <w:rPr>
                <w:sz w:val="21"/>
                <w:szCs w:val="21"/>
              </w:rPr>
              <w:t>事故源纬度°</w:t>
            </w:r>
          </w:p>
        </w:tc>
        <w:tc>
          <w:tcPr>
            <w:tcW w:w="2500" w:type="pct"/>
            <w:noWrap w:val="0"/>
            <w:vAlign w:val="center"/>
          </w:tcPr>
          <w:p w14:paraId="7507F16C">
            <w:pPr>
              <w:pStyle w:val="88"/>
              <w:spacing w:line="240" w:lineRule="exact"/>
              <w:ind w:firstLine="0" w:firstLineChars="0"/>
              <w:jc w:val="center"/>
              <w:rPr>
                <w:rFonts w:hint="eastAsia"/>
                <w:sz w:val="21"/>
                <w:szCs w:val="21"/>
              </w:rPr>
            </w:pPr>
            <w:r>
              <w:rPr>
                <w:sz w:val="21"/>
                <w:szCs w:val="21"/>
              </w:rPr>
              <w:t>21.71</w:t>
            </w:r>
            <w:r>
              <w:rPr>
                <w:rFonts w:hint="eastAsia"/>
                <w:sz w:val="21"/>
                <w:szCs w:val="21"/>
              </w:rPr>
              <w:t>83</w:t>
            </w:r>
          </w:p>
        </w:tc>
      </w:tr>
      <w:tr w14:paraId="32A2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3E9F17B0">
            <w:pPr>
              <w:pStyle w:val="88"/>
              <w:spacing w:line="240" w:lineRule="exact"/>
              <w:ind w:firstLine="0" w:firstLineChars="0"/>
              <w:jc w:val="center"/>
              <w:rPr>
                <w:sz w:val="21"/>
                <w:szCs w:val="21"/>
              </w:rPr>
            </w:pPr>
          </w:p>
        </w:tc>
        <w:tc>
          <w:tcPr>
            <w:tcW w:w="1249" w:type="pct"/>
            <w:noWrap w:val="0"/>
            <w:vAlign w:val="center"/>
          </w:tcPr>
          <w:p w14:paraId="13DF36ED">
            <w:pPr>
              <w:pStyle w:val="88"/>
              <w:spacing w:line="240" w:lineRule="exact"/>
              <w:ind w:firstLine="0" w:firstLineChars="0"/>
              <w:jc w:val="center"/>
              <w:rPr>
                <w:sz w:val="21"/>
                <w:szCs w:val="21"/>
              </w:rPr>
            </w:pPr>
            <w:r>
              <w:rPr>
                <w:sz w:val="21"/>
                <w:szCs w:val="21"/>
              </w:rPr>
              <w:t>事故源类型</w:t>
            </w:r>
          </w:p>
        </w:tc>
        <w:tc>
          <w:tcPr>
            <w:tcW w:w="2500" w:type="pct"/>
            <w:noWrap w:val="0"/>
            <w:vAlign w:val="center"/>
          </w:tcPr>
          <w:p w14:paraId="217BA38D">
            <w:pPr>
              <w:pStyle w:val="88"/>
              <w:spacing w:line="240" w:lineRule="exact"/>
              <w:ind w:firstLine="0" w:firstLineChars="0"/>
              <w:jc w:val="center"/>
              <w:rPr>
                <w:sz w:val="21"/>
                <w:szCs w:val="21"/>
              </w:rPr>
            </w:pPr>
            <w:r>
              <w:rPr>
                <w:sz w:val="21"/>
                <w:szCs w:val="21"/>
              </w:rPr>
              <w:t>泄漏</w:t>
            </w:r>
          </w:p>
        </w:tc>
      </w:tr>
      <w:tr w14:paraId="6AE3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0" w:type="pct"/>
            <w:vMerge w:val="restart"/>
            <w:noWrap w:val="0"/>
            <w:vAlign w:val="center"/>
          </w:tcPr>
          <w:p w14:paraId="3E1D94E2">
            <w:pPr>
              <w:pStyle w:val="88"/>
              <w:spacing w:line="240" w:lineRule="exact"/>
              <w:ind w:firstLine="0" w:firstLineChars="0"/>
              <w:jc w:val="center"/>
              <w:rPr>
                <w:sz w:val="21"/>
                <w:szCs w:val="21"/>
              </w:rPr>
            </w:pPr>
            <w:r>
              <w:rPr>
                <w:sz w:val="21"/>
                <w:szCs w:val="21"/>
              </w:rPr>
              <w:t>气象参数</w:t>
            </w:r>
          </w:p>
        </w:tc>
        <w:tc>
          <w:tcPr>
            <w:tcW w:w="1249" w:type="pct"/>
            <w:noWrap w:val="0"/>
            <w:vAlign w:val="center"/>
          </w:tcPr>
          <w:p w14:paraId="625E1F8F">
            <w:pPr>
              <w:pStyle w:val="88"/>
              <w:spacing w:line="240" w:lineRule="exact"/>
              <w:ind w:firstLine="0" w:firstLineChars="0"/>
              <w:jc w:val="center"/>
              <w:rPr>
                <w:sz w:val="21"/>
                <w:szCs w:val="21"/>
              </w:rPr>
            </w:pPr>
            <w:r>
              <w:rPr>
                <w:sz w:val="21"/>
                <w:szCs w:val="21"/>
              </w:rPr>
              <w:t>气象条件类型</w:t>
            </w:r>
          </w:p>
        </w:tc>
        <w:tc>
          <w:tcPr>
            <w:tcW w:w="2500" w:type="pct"/>
            <w:noWrap w:val="0"/>
            <w:vAlign w:val="center"/>
          </w:tcPr>
          <w:p w14:paraId="7F8F4866">
            <w:pPr>
              <w:pStyle w:val="88"/>
              <w:spacing w:line="240" w:lineRule="exact"/>
              <w:ind w:firstLine="0" w:firstLineChars="0"/>
              <w:jc w:val="center"/>
              <w:rPr>
                <w:sz w:val="21"/>
                <w:szCs w:val="21"/>
              </w:rPr>
            </w:pPr>
            <w:r>
              <w:rPr>
                <w:sz w:val="21"/>
                <w:szCs w:val="21"/>
              </w:rPr>
              <w:t>最不利气象条件</w:t>
            </w:r>
          </w:p>
        </w:tc>
      </w:tr>
      <w:tr w14:paraId="0E02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40F947D6">
            <w:pPr>
              <w:pStyle w:val="88"/>
              <w:spacing w:line="240" w:lineRule="exact"/>
              <w:ind w:firstLine="0" w:firstLineChars="0"/>
              <w:jc w:val="center"/>
              <w:rPr>
                <w:sz w:val="21"/>
                <w:szCs w:val="21"/>
              </w:rPr>
            </w:pPr>
          </w:p>
        </w:tc>
        <w:tc>
          <w:tcPr>
            <w:tcW w:w="1249" w:type="pct"/>
            <w:noWrap w:val="0"/>
            <w:vAlign w:val="center"/>
          </w:tcPr>
          <w:p w14:paraId="01BD426C">
            <w:pPr>
              <w:pStyle w:val="88"/>
              <w:spacing w:line="240" w:lineRule="exact"/>
              <w:ind w:firstLine="0" w:firstLineChars="0"/>
              <w:jc w:val="center"/>
              <w:rPr>
                <w:sz w:val="21"/>
                <w:szCs w:val="21"/>
              </w:rPr>
            </w:pPr>
            <w:r>
              <w:rPr>
                <w:sz w:val="21"/>
                <w:szCs w:val="21"/>
              </w:rPr>
              <w:t>风速 m/s</w:t>
            </w:r>
          </w:p>
        </w:tc>
        <w:tc>
          <w:tcPr>
            <w:tcW w:w="2500" w:type="pct"/>
            <w:noWrap w:val="0"/>
            <w:vAlign w:val="center"/>
          </w:tcPr>
          <w:p w14:paraId="58A84F68">
            <w:pPr>
              <w:pStyle w:val="88"/>
              <w:spacing w:line="240" w:lineRule="exact"/>
              <w:ind w:firstLine="0" w:firstLineChars="0"/>
              <w:jc w:val="center"/>
              <w:rPr>
                <w:sz w:val="21"/>
                <w:szCs w:val="21"/>
              </w:rPr>
            </w:pPr>
            <w:r>
              <w:rPr>
                <w:sz w:val="21"/>
                <w:szCs w:val="21"/>
              </w:rPr>
              <w:t>1.5</w:t>
            </w:r>
          </w:p>
        </w:tc>
      </w:tr>
      <w:tr w14:paraId="58B0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00F618D3">
            <w:pPr>
              <w:pStyle w:val="88"/>
              <w:spacing w:line="240" w:lineRule="exact"/>
              <w:ind w:firstLine="0" w:firstLineChars="0"/>
              <w:jc w:val="center"/>
              <w:rPr>
                <w:sz w:val="21"/>
                <w:szCs w:val="21"/>
              </w:rPr>
            </w:pPr>
          </w:p>
        </w:tc>
        <w:tc>
          <w:tcPr>
            <w:tcW w:w="1249" w:type="pct"/>
            <w:noWrap w:val="0"/>
            <w:vAlign w:val="center"/>
          </w:tcPr>
          <w:p w14:paraId="2974E56F">
            <w:pPr>
              <w:pStyle w:val="88"/>
              <w:spacing w:line="240" w:lineRule="exact"/>
              <w:ind w:firstLine="0" w:firstLineChars="0"/>
              <w:jc w:val="center"/>
              <w:rPr>
                <w:sz w:val="21"/>
                <w:szCs w:val="21"/>
              </w:rPr>
            </w:pPr>
            <w:r>
              <w:rPr>
                <w:sz w:val="21"/>
                <w:szCs w:val="21"/>
              </w:rPr>
              <w:t>环境温度</w:t>
            </w:r>
            <w:r>
              <w:rPr>
                <w:rFonts w:hint="eastAsia"/>
                <w:sz w:val="21"/>
                <w:szCs w:val="21"/>
              </w:rPr>
              <w:t>℃</w:t>
            </w:r>
          </w:p>
        </w:tc>
        <w:tc>
          <w:tcPr>
            <w:tcW w:w="2500" w:type="pct"/>
            <w:noWrap w:val="0"/>
            <w:vAlign w:val="center"/>
          </w:tcPr>
          <w:p w14:paraId="42D55CC9">
            <w:pPr>
              <w:pStyle w:val="88"/>
              <w:spacing w:line="240" w:lineRule="exact"/>
              <w:ind w:firstLine="0" w:firstLineChars="0"/>
              <w:jc w:val="center"/>
              <w:rPr>
                <w:sz w:val="21"/>
                <w:szCs w:val="21"/>
              </w:rPr>
            </w:pPr>
            <w:r>
              <w:rPr>
                <w:sz w:val="21"/>
                <w:szCs w:val="21"/>
              </w:rPr>
              <w:t>25</w:t>
            </w:r>
          </w:p>
        </w:tc>
      </w:tr>
      <w:tr w14:paraId="6889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204916C9">
            <w:pPr>
              <w:pStyle w:val="88"/>
              <w:spacing w:line="240" w:lineRule="exact"/>
              <w:ind w:firstLine="0" w:firstLineChars="0"/>
              <w:jc w:val="center"/>
              <w:rPr>
                <w:sz w:val="21"/>
                <w:szCs w:val="21"/>
              </w:rPr>
            </w:pPr>
          </w:p>
        </w:tc>
        <w:tc>
          <w:tcPr>
            <w:tcW w:w="1249" w:type="pct"/>
            <w:noWrap w:val="0"/>
            <w:vAlign w:val="center"/>
          </w:tcPr>
          <w:p w14:paraId="1D95A4EA">
            <w:pPr>
              <w:pStyle w:val="88"/>
              <w:spacing w:line="240" w:lineRule="exact"/>
              <w:ind w:firstLine="0" w:firstLineChars="0"/>
              <w:jc w:val="center"/>
              <w:rPr>
                <w:sz w:val="21"/>
                <w:szCs w:val="21"/>
              </w:rPr>
            </w:pPr>
            <w:r>
              <w:rPr>
                <w:sz w:val="21"/>
                <w:szCs w:val="21"/>
              </w:rPr>
              <w:t>相对湿度%</w:t>
            </w:r>
          </w:p>
        </w:tc>
        <w:tc>
          <w:tcPr>
            <w:tcW w:w="2500" w:type="pct"/>
            <w:noWrap w:val="0"/>
            <w:vAlign w:val="center"/>
          </w:tcPr>
          <w:p w14:paraId="171BD4CF">
            <w:pPr>
              <w:pStyle w:val="88"/>
              <w:spacing w:line="240" w:lineRule="exact"/>
              <w:ind w:firstLine="0" w:firstLineChars="0"/>
              <w:jc w:val="center"/>
              <w:rPr>
                <w:sz w:val="21"/>
                <w:szCs w:val="21"/>
              </w:rPr>
            </w:pPr>
            <w:r>
              <w:rPr>
                <w:sz w:val="21"/>
                <w:szCs w:val="21"/>
              </w:rPr>
              <w:t>50</w:t>
            </w:r>
          </w:p>
        </w:tc>
      </w:tr>
      <w:tr w14:paraId="68BB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0" w:type="pct"/>
            <w:vMerge w:val="continue"/>
            <w:noWrap w:val="0"/>
            <w:vAlign w:val="center"/>
          </w:tcPr>
          <w:p w14:paraId="61CD05AB">
            <w:pPr>
              <w:pStyle w:val="88"/>
              <w:spacing w:line="240" w:lineRule="exact"/>
              <w:ind w:firstLine="0" w:firstLineChars="0"/>
              <w:jc w:val="center"/>
              <w:rPr>
                <w:sz w:val="21"/>
                <w:szCs w:val="21"/>
              </w:rPr>
            </w:pPr>
          </w:p>
        </w:tc>
        <w:tc>
          <w:tcPr>
            <w:tcW w:w="1249" w:type="pct"/>
            <w:noWrap w:val="0"/>
            <w:vAlign w:val="center"/>
          </w:tcPr>
          <w:p w14:paraId="10C867AD">
            <w:pPr>
              <w:pStyle w:val="88"/>
              <w:spacing w:line="240" w:lineRule="exact"/>
              <w:ind w:firstLine="0" w:firstLineChars="0"/>
              <w:jc w:val="center"/>
              <w:rPr>
                <w:sz w:val="21"/>
                <w:szCs w:val="21"/>
              </w:rPr>
            </w:pPr>
            <w:r>
              <w:rPr>
                <w:sz w:val="21"/>
                <w:szCs w:val="21"/>
              </w:rPr>
              <w:t>稳定度</w:t>
            </w:r>
          </w:p>
        </w:tc>
        <w:tc>
          <w:tcPr>
            <w:tcW w:w="2500" w:type="pct"/>
            <w:noWrap w:val="0"/>
            <w:vAlign w:val="center"/>
          </w:tcPr>
          <w:p w14:paraId="58B7148F">
            <w:pPr>
              <w:pStyle w:val="88"/>
              <w:spacing w:line="240" w:lineRule="exact"/>
              <w:ind w:firstLine="0" w:firstLineChars="0"/>
              <w:jc w:val="center"/>
              <w:rPr>
                <w:sz w:val="21"/>
                <w:szCs w:val="21"/>
              </w:rPr>
            </w:pPr>
            <w:r>
              <w:rPr>
                <w:sz w:val="21"/>
                <w:szCs w:val="21"/>
              </w:rPr>
              <w:t>F</w:t>
            </w:r>
          </w:p>
        </w:tc>
      </w:tr>
      <w:tr w14:paraId="02EB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restart"/>
            <w:noWrap w:val="0"/>
            <w:vAlign w:val="center"/>
          </w:tcPr>
          <w:p w14:paraId="53D09288">
            <w:pPr>
              <w:pStyle w:val="88"/>
              <w:spacing w:line="240" w:lineRule="exact"/>
              <w:ind w:firstLine="0" w:firstLineChars="0"/>
              <w:jc w:val="center"/>
              <w:rPr>
                <w:sz w:val="21"/>
                <w:szCs w:val="21"/>
              </w:rPr>
            </w:pPr>
            <w:r>
              <w:rPr>
                <w:sz w:val="21"/>
                <w:szCs w:val="21"/>
              </w:rPr>
              <w:t>其他参数</w:t>
            </w:r>
          </w:p>
        </w:tc>
        <w:tc>
          <w:tcPr>
            <w:tcW w:w="1249" w:type="pct"/>
            <w:noWrap w:val="0"/>
            <w:vAlign w:val="center"/>
          </w:tcPr>
          <w:p w14:paraId="1DDF57AB">
            <w:pPr>
              <w:pStyle w:val="88"/>
              <w:spacing w:line="240" w:lineRule="exact"/>
              <w:ind w:firstLine="0" w:firstLineChars="0"/>
              <w:jc w:val="center"/>
              <w:rPr>
                <w:sz w:val="21"/>
                <w:szCs w:val="21"/>
              </w:rPr>
            </w:pPr>
            <w:r>
              <w:rPr>
                <w:sz w:val="21"/>
                <w:szCs w:val="21"/>
              </w:rPr>
              <w:t>地表粗糙度 m</w:t>
            </w:r>
          </w:p>
        </w:tc>
        <w:tc>
          <w:tcPr>
            <w:tcW w:w="2500" w:type="pct"/>
            <w:noWrap w:val="0"/>
            <w:vAlign w:val="center"/>
          </w:tcPr>
          <w:p w14:paraId="544F47D4">
            <w:pPr>
              <w:pStyle w:val="88"/>
              <w:spacing w:line="240" w:lineRule="exact"/>
              <w:ind w:firstLine="0" w:firstLineChars="0"/>
              <w:jc w:val="center"/>
              <w:rPr>
                <w:sz w:val="21"/>
                <w:szCs w:val="21"/>
              </w:rPr>
            </w:pPr>
            <w:r>
              <w:rPr>
                <w:sz w:val="21"/>
                <w:szCs w:val="21"/>
              </w:rPr>
              <w:t>1.0</w:t>
            </w:r>
          </w:p>
        </w:tc>
      </w:tr>
      <w:tr w14:paraId="5792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24585190">
            <w:pPr>
              <w:pStyle w:val="88"/>
              <w:spacing w:line="240" w:lineRule="exact"/>
              <w:ind w:firstLine="0" w:firstLineChars="0"/>
              <w:jc w:val="center"/>
              <w:rPr>
                <w:sz w:val="21"/>
                <w:szCs w:val="21"/>
              </w:rPr>
            </w:pPr>
          </w:p>
        </w:tc>
        <w:tc>
          <w:tcPr>
            <w:tcW w:w="1249" w:type="pct"/>
            <w:noWrap w:val="0"/>
            <w:vAlign w:val="center"/>
          </w:tcPr>
          <w:p w14:paraId="4F2673A3">
            <w:pPr>
              <w:pStyle w:val="88"/>
              <w:spacing w:line="240" w:lineRule="exact"/>
              <w:ind w:firstLine="0" w:firstLineChars="0"/>
              <w:jc w:val="center"/>
              <w:rPr>
                <w:sz w:val="21"/>
                <w:szCs w:val="21"/>
              </w:rPr>
            </w:pPr>
            <w:r>
              <w:rPr>
                <w:sz w:val="21"/>
                <w:szCs w:val="21"/>
              </w:rPr>
              <w:t>是否考虑地形</w:t>
            </w:r>
          </w:p>
        </w:tc>
        <w:tc>
          <w:tcPr>
            <w:tcW w:w="2500" w:type="pct"/>
            <w:noWrap w:val="0"/>
            <w:vAlign w:val="center"/>
          </w:tcPr>
          <w:p w14:paraId="056E1EB7">
            <w:pPr>
              <w:pStyle w:val="88"/>
              <w:spacing w:line="240" w:lineRule="exact"/>
              <w:ind w:firstLine="0" w:firstLineChars="0"/>
              <w:jc w:val="center"/>
              <w:rPr>
                <w:sz w:val="21"/>
                <w:szCs w:val="21"/>
              </w:rPr>
            </w:pPr>
            <w:r>
              <w:rPr>
                <w:sz w:val="21"/>
                <w:szCs w:val="21"/>
              </w:rPr>
              <w:t>是</w:t>
            </w:r>
          </w:p>
        </w:tc>
      </w:tr>
      <w:tr w14:paraId="56DF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Merge w:val="continue"/>
            <w:noWrap w:val="0"/>
            <w:vAlign w:val="center"/>
          </w:tcPr>
          <w:p w14:paraId="3BA1A77A">
            <w:pPr>
              <w:pStyle w:val="88"/>
              <w:spacing w:line="240" w:lineRule="exact"/>
              <w:ind w:firstLine="0" w:firstLineChars="0"/>
              <w:jc w:val="center"/>
              <w:rPr>
                <w:sz w:val="21"/>
                <w:szCs w:val="21"/>
              </w:rPr>
            </w:pPr>
          </w:p>
        </w:tc>
        <w:tc>
          <w:tcPr>
            <w:tcW w:w="1249" w:type="pct"/>
            <w:noWrap w:val="0"/>
            <w:vAlign w:val="center"/>
          </w:tcPr>
          <w:p w14:paraId="7C57681B">
            <w:pPr>
              <w:pStyle w:val="88"/>
              <w:spacing w:line="240" w:lineRule="exact"/>
              <w:ind w:firstLine="0" w:firstLineChars="0"/>
              <w:jc w:val="center"/>
              <w:rPr>
                <w:sz w:val="21"/>
                <w:szCs w:val="21"/>
              </w:rPr>
            </w:pPr>
            <w:r>
              <w:rPr>
                <w:sz w:val="21"/>
                <w:szCs w:val="21"/>
              </w:rPr>
              <w:t>地形数据精度 m</w:t>
            </w:r>
          </w:p>
        </w:tc>
        <w:tc>
          <w:tcPr>
            <w:tcW w:w="2500" w:type="pct"/>
            <w:noWrap w:val="0"/>
            <w:vAlign w:val="center"/>
          </w:tcPr>
          <w:p w14:paraId="794BFC7E">
            <w:pPr>
              <w:pStyle w:val="88"/>
              <w:spacing w:line="240" w:lineRule="exact"/>
              <w:ind w:firstLine="0" w:firstLineChars="0"/>
              <w:jc w:val="center"/>
              <w:rPr>
                <w:sz w:val="21"/>
                <w:szCs w:val="21"/>
              </w:rPr>
            </w:pPr>
            <w:r>
              <w:rPr>
                <w:sz w:val="21"/>
                <w:szCs w:val="21"/>
              </w:rPr>
              <w:t>90</w:t>
            </w:r>
          </w:p>
        </w:tc>
      </w:tr>
    </w:tbl>
    <w:p w14:paraId="1CBA0A66">
      <w:pPr>
        <w:spacing w:line="500" w:lineRule="exact"/>
        <w:ind w:firstLine="520"/>
        <w:rPr>
          <w:rFonts w:hint="eastAsia"/>
          <w:sz w:val="24"/>
        </w:rPr>
      </w:pPr>
      <w:r>
        <w:rPr>
          <w:rFonts w:hint="eastAsia"/>
          <w:sz w:val="24"/>
        </w:rPr>
        <w:t>2、预测结果</w:t>
      </w:r>
    </w:p>
    <w:p w14:paraId="604C8BDE">
      <w:pPr>
        <w:spacing w:line="500" w:lineRule="exact"/>
        <w:ind w:firstLine="520"/>
        <w:rPr>
          <w:rFonts w:hint="eastAsia"/>
          <w:sz w:val="24"/>
          <w:lang w:val="en-US"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醋酸泄漏</w:t>
      </w:r>
    </w:p>
    <w:p w14:paraId="000D8C2E">
      <w:pPr>
        <w:spacing w:line="500" w:lineRule="exact"/>
        <w:ind w:firstLine="520"/>
        <w:rPr>
          <w:rFonts w:hint="default"/>
          <w:sz w:val="24"/>
          <w:lang w:val="en-US" w:eastAsia="zh-CN"/>
        </w:rPr>
      </w:pPr>
      <w:r>
        <w:rPr>
          <w:rFonts w:hint="eastAsia"/>
          <w:sz w:val="24"/>
          <w:lang w:val="en-US" w:eastAsia="zh-CN"/>
        </w:rPr>
        <w:t>醋酸</w:t>
      </w:r>
      <w:r>
        <w:rPr>
          <w:rFonts w:hint="default"/>
          <w:sz w:val="24"/>
          <w:lang w:val="en-US" w:eastAsia="zh-CN"/>
        </w:rPr>
        <w:t>泄漏，污染物释放进入大气环境，造成大气环境风险事故，影响预测结果见表</w:t>
      </w:r>
      <w:r>
        <w:rPr>
          <w:rFonts w:hint="eastAsia"/>
          <w:sz w:val="24"/>
          <w:lang w:val="en-US" w:eastAsia="zh-CN"/>
        </w:rPr>
        <w:t>7.1-3</w:t>
      </w:r>
      <w:r>
        <w:rPr>
          <w:rFonts w:hint="default"/>
          <w:sz w:val="24"/>
          <w:lang w:val="en-US" w:eastAsia="zh-CN"/>
        </w:rPr>
        <w:t>。</w:t>
      </w:r>
    </w:p>
    <w:p w14:paraId="27034E6F">
      <w:pPr>
        <w:keepNext/>
        <w:keepLines/>
        <w:widowControl/>
        <w:tabs>
          <w:tab w:val="left" w:pos="795"/>
        </w:tabs>
        <w:spacing w:line="500" w:lineRule="exact"/>
        <w:ind w:left="795"/>
        <w:jc w:val="center"/>
        <w:outlineLvl w:val="3"/>
        <w:rPr>
          <w:b/>
          <w:kern w:val="0"/>
          <w:sz w:val="24"/>
        </w:rPr>
      </w:pPr>
      <w:r>
        <w:rPr>
          <w:rFonts w:hint="eastAsia"/>
          <w:b/>
          <w:kern w:val="0"/>
          <w:sz w:val="24"/>
        </w:rPr>
        <w:t>表7.1-</w:t>
      </w:r>
      <w:r>
        <w:rPr>
          <w:rFonts w:hint="eastAsia"/>
          <w:b/>
          <w:kern w:val="0"/>
          <w:sz w:val="24"/>
          <w:lang w:val="en-US" w:eastAsia="zh-CN"/>
        </w:rPr>
        <w:t>3醋酸泄漏排放下风向轴线预测结果表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90"/>
        <w:gridCol w:w="1629"/>
        <w:gridCol w:w="1200"/>
        <w:gridCol w:w="1606"/>
        <w:gridCol w:w="1635"/>
      </w:tblGrid>
      <w:tr w14:paraId="7D462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vMerge w:val="restart"/>
            <w:tcBorders>
              <w:top w:val="single" w:color="000000" w:sz="4" w:space="0"/>
              <w:left w:val="single" w:color="000000" w:sz="4" w:space="0"/>
              <w:bottom w:val="single" w:color="000000" w:sz="4" w:space="0"/>
              <w:right w:val="single" w:color="000000" w:sz="4" w:space="0"/>
            </w:tcBorders>
            <w:noWrap w:val="0"/>
            <w:vAlign w:val="center"/>
          </w:tcPr>
          <w:p w14:paraId="6167AC98">
            <w:pPr>
              <w:pStyle w:val="88"/>
              <w:spacing w:line="240" w:lineRule="exact"/>
              <w:ind w:firstLine="0" w:firstLineChars="0"/>
              <w:jc w:val="center"/>
              <w:rPr>
                <w:sz w:val="21"/>
                <w:szCs w:val="21"/>
              </w:rPr>
            </w:pPr>
            <w:r>
              <w:rPr>
                <w:sz w:val="21"/>
                <w:szCs w:val="21"/>
              </w:rPr>
              <w:t>距离 m</w:t>
            </w:r>
          </w:p>
        </w:tc>
        <w:tc>
          <w:tcPr>
            <w:tcW w:w="3349" w:type="pct"/>
            <w:gridSpan w:val="4"/>
            <w:tcBorders>
              <w:top w:val="single" w:color="000000" w:sz="4" w:space="0"/>
              <w:left w:val="single" w:color="000000" w:sz="4" w:space="0"/>
              <w:bottom w:val="single" w:color="000000" w:sz="4" w:space="0"/>
              <w:right w:val="single" w:color="000000" w:sz="4" w:space="0"/>
            </w:tcBorders>
            <w:noWrap w:val="0"/>
            <w:vAlign w:val="center"/>
          </w:tcPr>
          <w:p w14:paraId="2053A82F">
            <w:pPr>
              <w:pStyle w:val="88"/>
              <w:spacing w:line="240" w:lineRule="exact"/>
              <w:ind w:firstLine="0" w:firstLineChars="0"/>
              <w:jc w:val="center"/>
              <w:rPr>
                <w:sz w:val="21"/>
                <w:szCs w:val="21"/>
              </w:rPr>
            </w:pPr>
            <w:r>
              <w:rPr>
                <w:sz w:val="21"/>
                <w:szCs w:val="21"/>
              </w:rPr>
              <w:t>最不利气象条件（大气稳定度F）</w:t>
            </w:r>
          </w:p>
        </w:tc>
      </w:tr>
      <w:tr w14:paraId="656A8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652CB4">
            <w:pPr>
              <w:pStyle w:val="88"/>
              <w:spacing w:line="240" w:lineRule="exact"/>
              <w:ind w:firstLine="0" w:firstLineChars="0"/>
              <w:jc w:val="center"/>
              <w:rPr>
                <w:sz w:val="21"/>
                <w:szCs w:val="21"/>
              </w:rPr>
            </w:pP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2B5FAE89">
            <w:pPr>
              <w:pStyle w:val="88"/>
              <w:spacing w:line="240" w:lineRule="exact"/>
              <w:ind w:firstLine="0" w:firstLineChars="0"/>
              <w:jc w:val="center"/>
              <w:rPr>
                <w:sz w:val="21"/>
                <w:szCs w:val="21"/>
              </w:rPr>
            </w:pPr>
            <w:r>
              <w:rPr>
                <w:sz w:val="21"/>
                <w:szCs w:val="21"/>
              </w:rPr>
              <w:t>浓度出现时间 min</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4F9C6114">
            <w:pPr>
              <w:pStyle w:val="88"/>
              <w:spacing w:line="240" w:lineRule="exact"/>
              <w:ind w:firstLine="0" w:firstLineChars="0"/>
              <w:jc w:val="center"/>
              <w:rPr>
                <w:sz w:val="21"/>
                <w:szCs w:val="21"/>
              </w:rPr>
            </w:pPr>
            <w:r>
              <w:rPr>
                <w:sz w:val="21"/>
                <w:szCs w:val="21"/>
              </w:rPr>
              <w:t>高峰浓度 mg/m</w:t>
            </w:r>
            <w:r>
              <w:rPr>
                <w:sz w:val="21"/>
                <w:szCs w:val="21"/>
                <w:vertAlign w:val="superscript"/>
              </w:rPr>
              <w:t>3</w:t>
            </w:r>
          </w:p>
        </w:tc>
      </w:tr>
      <w:tr w14:paraId="6313E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5FCB3B8F">
            <w:pPr>
              <w:pStyle w:val="88"/>
              <w:spacing w:line="240" w:lineRule="exact"/>
              <w:ind w:firstLine="0" w:firstLineChars="0"/>
              <w:jc w:val="center"/>
              <w:rPr>
                <w:sz w:val="21"/>
                <w:szCs w:val="21"/>
              </w:rPr>
            </w:pPr>
            <w:r>
              <w:rPr>
                <w:sz w:val="21"/>
                <w:szCs w:val="21"/>
              </w:rPr>
              <w:t>10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48A9404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0.08</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25C94CD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12080</w:t>
            </w:r>
          </w:p>
        </w:tc>
      </w:tr>
      <w:tr w14:paraId="2E0DE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17831030">
            <w:pPr>
              <w:pStyle w:val="88"/>
              <w:spacing w:line="240" w:lineRule="exact"/>
              <w:ind w:firstLine="0" w:firstLineChars="0"/>
              <w:jc w:val="center"/>
              <w:rPr>
                <w:sz w:val="21"/>
                <w:szCs w:val="21"/>
              </w:rPr>
            </w:pPr>
            <w:r>
              <w:rPr>
                <w:sz w:val="21"/>
                <w:szCs w:val="21"/>
              </w:rPr>
              <w:t>50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324943EE">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0.42</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347EE3A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2203.5</w:t>
            </w:r>
          </w:p>
        </w:tc>
      </w:tr>
      <w:tr w14:paraId="7C55E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01EBB663">
            <w:pPr>
              <w:pStyle w:val="88"/>
              <w:spacing w:line="240" w:lineRule="exact"/>
              <w:ind w:firstLine="0" w:firstLineChars="0"/>
              <w:jc w:val="center"/>
              <w:rPr>
                <w:sz w:val="21"/>
                <w:szCs w:val="21"/>
              </w:rPr>
            </w:pPr>
            <w:r>
              <w:rPr>
                <w:sz w:val="21"/>
                <w:szCs w:val="21"/>
              </w:rPr>
              <w:t>100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6FE5ED12">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0.83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1ADCF4FA">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743.56</w:t>
            </w:r>
          </w:p>
        </w:tc>
      </w:tr>
      <w:tr w14:paraId="0EE58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537E5FFA">
            <w:pPr>
              <w:pStyle w:val="88"/>
              <w:spacing w:line="240" w:lineRule="exact"/>
              <w:ind w:firstLine="0" w:firstLineChars="0"/>
              <w:jc w:val="center"/>
              <w:rPr>
                <w:sz w:val="21"/>
                <w:szCs w:val="21"/>
              </w:rPr>
            </w:pPr>
            <w:r>
              <w:rPr>
                <w:sz w:val="21"/>
                <w:szCs w:val="21"/>
              </w:rPr>
              <w:t>200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7B45EE3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669F4D96">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239.65</w:t>
            </w:r>
          </w:p>
        </w:tc>
      </w:tr>
      <w:tr w14:paraId="4AA8C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1DD77117">
            <w:pPr>
              <w:pStyle w:val="88"/>
              <w:spacing w:line="240" w:lineRule="exact"/>
              <w:ind w:firstLine="0" w:firstLineChars="0"/>
              <w:jc w:val="center"/>
              <w:rPr>
                <w:sz w:val="21"/>
                <w:szCs w:val="21"/>
              </w:rPr>
            </w:pPr>
            <w:r>
              <w:rPr>
                <w:sz w:val="21"/>
                <w:szCs w:val="21"/>
              </w:rPr>
              <w:t>300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0BC0ECE1">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2.50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10DDF34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122.40</w:t>
            </w:r>
          </w:p>
        </w:tc>
      </w:tr>
      <w:tr w14:paraId="60ABB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44F3C0DC">
            <w:pPr>
              <w:pStyle w:val="88"/>
              <w:spacing w:line="240" w:lineRule="exact"/>
              <w:ind w:firstLine="0" w:firstLineChars="0"/>
              <w:jc w:val="center"/>
              <w:rPr>
                <w:sz w:val="21"/>
                <w:szCs w:val="21"/>
              </w:rPr>
            </w:pPr>
            <w:r>
              <w:rPr>
                <w:sz w:val="21"/>
                <w:szCs w:val="21"/>
              </w:rPr>
              <w:t>400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50FA000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3.33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62D8D191">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75.82</w:t>
            </w:r>
          </w:p>
        </w:tc>
      </w:tr>
      <w:tr w14:paraId="4DC86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465F9E7E">
            <w:pPr>
              <w:pStyle w:val="88"/>
              <w:spacing w:line="240" w:lineRule="exact"/>
              <w:ind w:firstLine="0" w:firstLineChars="0"/>
              <w:jc w:val="center"/>
              <w:rPr>
                <w:sz w:val="21"/>
                <w:szCs w:val="21"/>
              </w:rPr>
            </w:pPr>
            <w:r>
              <w:rPr>
                <w:sz w:val="21"/>
                <w:szCs w:val="21"/>
              </w:rPr>
              <w:t>500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26F6ED91">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4.17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7C206E65">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52.25</w:t>
            </w:r>
          </w:p>
        </w:tc>
      </w:tr>
      <w:tr w14:paraId="2BE83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54394742">
            <w:pPr>
              <w:pStyle w:val="88"/>
              <w:spacing w:line="240" w:lineRule="exact"/>
              <w:ind w:firstLine="0" w:firstLineChars="0"/>
              <w:jc w:val="center"/>
              <w:rPr>
                <w:sz w:val="21"/>
                <w:szCs w:val="21"/>
              </w:rPr>
            </w:pPr>
            <w:r>
              <w:rPr>
                <w:sz w:val="21"/>
                <w:szCs w:val="21"/>
              </w:rPr>
              <w:t>600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48F44F40">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5.00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706C2D1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38.52</w:t>
            </w:r>
          </w:p>
        </w:tc>
      </w:tr>
      <w:tr w14:paraId="1B067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21D78732">
            <w:pPr>
              <w:pStyle w:val="88"/>
              <w:spacing w:line="240" w:lineRule="exact"/>
              <w:ind w:firstLine="0" w:firstLineChars="0"/>
              <w:jc w:val="center"/>
              <w:rPr>
                <w:sz w:val="21"/>
                <w:szCs w:val="21"/>
              </w:rPr>
            </w:pPr>
            <w:r>
              <w:rPr>
                <w:sz w:val="21"/>
                <w:szCs w:val="21"/>
              </w:rPr>
              <w:t>700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248D9CB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5.83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156A5913">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29.77</w:t>
            </w:r>
          </w:p>
        </w:tc>
      </w:tr>
      <w:tr w14:paraId="6920C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5EBBC25C">
            <w:pPr>
              <w:pStyle w:val="88"/>
              <w:spacing w:line="240" w:lineRule="exact"/>
              <w:ind w:firstLine="0" w:firstLineChars="0"/>
              <w:jc w:val="center"/>
              <w:rPr>
                <w:sz w:val="21"/>
                <w:szCs w:val="21"/>
              </w:rPr>
            </w:pPr>
            <w:r>
              <w:rPr>
                <w:sz w:val="21"/>
                <w:szCs w:val="21"/>
              </w:rPr>
              <w:t>800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76439C67">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6.67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50F2D30B">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23.80</w:t>
            </w:r>
          </w:p>
        </w:tc>
      </w:tr>
      <w:tr w14:paraId="183E3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6B73D54B">
            <w:pPr>
              <w:pStyle w:val="88"/>
              <w:spacing w:line="240" w:lineRule="exact"/>
              <w:ind w:firstLine="0" w:firstLineChars="0"/>
              <w:jc w:val="center"/>
              <w:rPr>
                <w:sz w:val="21"/>
                <w:szCs w:val="21"/>
              </w:rPr>
            </w:pPr>
            <w:r>
              <w:rPr>
                <w:sz w:val="21"/>
                <w:szCs w:val="21"/>
              </w:rPr>
              <w:t>900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008D7C0E">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7.50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67F1A06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19.54</w:t>
            </w:r>
          </w:p>
        </w:tc>
      </w:tr>
      <w:tr w14:paraId="7FAEA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7835003A">
            <w:pPr>
              <w:pStyle w:val="88"/>
              <w:spacing w:line="240" w:lineRule="exact"/>
              <w:ind w:firstLine="0" w:firstLineChars="0"/>
              <w:jc w:val="center"/>
              <w:rPr>
                <w:sz w:val="21"/>
                <w:szCs w:val="21"/>
              </w:rPr>
            </w:pPr>
            <w:r>
              <w:rPr>
                <w:sz w:val="21"/>
                <w:szCs w:val="21"/>
              </w:rPr>
              <w:t>1000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16E2730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8.33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329EAD8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16.38</w:t>
            </w:r>
          </w:p>
        </w:tc>
      </w:tr>
      <w:tr w14:paraId="5CF70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4702EAE0">
            <w:pPr>
              <w:pStyle w:val="88"/>
              <w:spacing w:line="240" w:lineRule="exact"/>
              <w:ind w:firstLine="0" w:firstLineChars="0"/>
              <w:jc w:val="center"/>
              <w:rPr>
                <w:sz w:val="21"/>
                <w:szCs w:val="21"/>
              </w:rPr>
            </w:pPr>
            <w:r>
              <w:rPr>
                <w:sz w:val="21"/>
                <w:szCs w:val="21"/>
              </w:rPr>
              <w:t>1500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4BE00C4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12.50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12BDBFE5">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8.43</w:t>
            </w:r>
          </w:p>
        </w:tc>
      </w:tr>
      <w:tr w14:paraId="6A761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0CD60142">
            <w:pPr>
              <w:pStyle w:val="88"/>
              <w:spacing w:line="240" w:lineRule="exact"/>
              <w:ind w:firstLine="0" w:firstLineChars="0"/>
              <w:jc w:val="center"/>
              <w:rPr>
                <w:sz w:val="21"/>
                <w:szCs w:val="21"/>
              </w:rPr>
            </w:pPr>
            <w:r>
              <w:rPr>
                <w:sz w:val="21"/>
                <w:szCs w:val="21"/>
              </w:rPr>
              <w:t>2000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79A5D61D">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16.67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389A86F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5.74</w:t>
            </w:r>
          </w:p>
        </w:tc>
      </w:tr>
      <w:tr w14:paraId="01EA9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4487F1F8">
            <w:pPr>
              <w:pStyle w:val="88"/>
              <w:spacing w:line="240" w:lineRule="exact"/>
              <w:ind w:firstLine="0" w:firstLineChars="0"/>
              <w:jc w:val="center"/>
              <w:rPr>
                <w:sz w:val="21"/>
                <w:szCs w:val="21"/>
              </w:rPr>
            </w:pPr>
            <w:r>
              <w:rPr>
                <w:sz w:val="21"/>
                <w:szCs w:val="21"/>
              </w:rPr>
              <w:t>2500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279F3E9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20.83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4EA565F5">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4.26</w:t>
            </w:r>
          </w:p>
        </w:tc>
      </w:tr>
      <w:tr w14:paraId="76D5D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08B93F15">
            <w:pPr>
              <w:pStyle w:val="88"/>
              <w:spacing w:line="240" w:lineRule="exact"/>
              <w:ind w:firstLine="0" w:firstLineChars="0"/>
              <w:jc w:val="center"/>
              <w:rPr>
                <w:sz w:val="21"/>
                <w:szCs w:val="21"/>
              </w:rPr>
            </w:pPr>
            <w:r>
              <w:rPr>
                <w:sz w:val="21"/>
                <w:szCs w:val="21"/>
              </w:rPr>
              <w:t>3000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33C8781B">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25.00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08AB29A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3.34</w:t>
            </w:r>
          </w:p>
        </w:tc>
      </w:tr>
      <w:tr w14:paraId="6857D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0EAA0AD3">
            <w:pPr>
              <w:pStyle w:val="88"/>
              <w:spacing w:line="240" w:lineRule="exact"/>
              <w:ind w:firstLine="0" w:firstLineChars="0"/>
              <w:jc w:val="center"/>
              <w:rPr>
                <w:sz w:val="21"/>
                <w:szCs w:val="21"/>
              </w:rPr>
            </w:pPr>
            <w:r>
              <w:rPr>
                <w:sz w:val="21"/>
                <w:szCs w:val="21"/>
              </w:rPr>
              <w:t>3500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6F15F876">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29.17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01FA71F4">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2.72</w:t>
            </w:r>
          </w:p>
        </w:tc>
      </w:tr>
      <w:tr w14:paraId="0CF1E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1376F353">
            <w:pPr>
              <w:pStyle w:val="88"/>
              <w:spacing w:line="240" w:lineRule="exact"/>
              <w:ind w:firstLine="0" w:firstLineChars="0"/>
              <w:jc w:val="center"/>
              <w:rPr>
                <w:sz w:val="21"/>
                <w:szCs w:val="21"/>
              </w:rPr>
            </w:pPr>
            <w:r>
              <w:rPr>
                <w:sz w:val="21"/>
                <w:szCs w:val="21"/>
              </w:rPr>
              <w:t>4000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55CCED5E">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37.33</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175AA96A">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2.28</w:t>
            </w:r>
          </w:p>
        </w:tc>
      </w:tr>
      <w:tr w14:paraId="2880E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66E93EEF">
            <w:pPr>
              <w:pStyle w:val="88"/>
              <w:spacing w:line="240" w:lineRule="exact"/>
              <w:ind w:firstLine="0" w:firstLineChars="0"/>
              <w:jc w:val="center"/>
              <w:rPr>
                <w:sz w:val="21"/>
                <w:szCs w:val="21"/>
              </w:rPr>
            </w:pPr>
            <w:r>
              <w:rPr>
                <w:sz w:val="21"/>
                <w:szCs w:val="21"/>
              </w:rPr>
              <w:t>4500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7B5EE8D5">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42.00</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2CE86786">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1.94</w:t>
            </w:r>
          </w:p>
        </w:tc>
      </w:tr>
      <w:tr w14:paraId="49A09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5F790459">
            <w:pPr>
              <w:pStyle w:val="88"/>
              <w:spacing w:line="240" w:lineRule="exact"/>
              <w:ind w:firstLine="0" w:firstLineChars="0"/>
              <w:jc w:val="center"/>
              <w:rPr>
                <w:sz w:val="21"/>
                <w:szCs w:val="21"/>
              </w:rPr>
            </w:pPr>
            <w:r>
              <w:rPr>
                <w:sz w:val="21"/>
                <w:szCs w:val="21"/>
              </w:rPr>
              <w:t>5000</w:t>
            </w:r>
          </w:p>
        </w:tc>
        <w:tc>
          <w:tcPr>
            <w:tcW w:w="1561" w:type="pct"/>
            <w:gridSpan w:val="2"/>
            <w:tcBorders>
              <w:top w:val="single" w:color="000000" w:sz="4" w:space="0"/>
              <w:left w:val="single" w:color="000000" w:sz="4" w:space="0"/>
              <w:bottom w:val="single" w:color="000000" w:sz="4" w:space="0"/>
              <w:right w:val="single" w:color="000000" w:sz="4" w:space="0"/>
            </w:tcBorders>
            <w:noWrap w:val="0"/>
            <w:vAlign w:val="center"/>
          </w:tcPr>
          <w:p w14:paraId="44324577">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46.67</w:t>
            </w:r>
          </w:p>
        </w:tc>
        <w:tc>
          <w:tcPr>
            <w:tcW w:w="1788" w:type="pct"/>
            <w:gridSpan w:val="2"/>
            <w:tcBorders>
              <w:top w:val="single" w:color="000000" w:sz="4" w:space="0"/>
              <w:left w:val="single" w:color="000000" w:sz="4" w:space="0"/>
              <w:bottom w:val="single" w:color="000000" w:sz="4" w:space="0"/>
              <w:right w:val="single" w:color="000000" w:sz="4" w:space="0"/>
            </w:tcBorders>
            <w:noWrap w:val="0"/>
            <w:vAlign w:val="center"/>
          </w:tcPr>
          <w:p w14:paraId="42DC479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1.69</w:t>
            </w:r>
          </w:p>
        </w:tc>
      </w:tr>
      <w:tr w14:paraId="5E8DA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46A63CD2">
            <w:pPr>
              <w:pStyle w:val="88"/>
              <w:spacing w:line="240" w:lineRule="exact"/>
              <w:ind w:firstLine="0" w:firstLineChars="0"/>
              <w:jc w:val="center"/>
              <w:rPr>
                <w:sz w:val="21"/>
                <w:szCs w:val="21"/>
              </w:rPr>
            </w:pPr>
            <w:r>
              <w:rPr>
                <w:sz w:val="21"/>
                <w:szCs w:val="21"/>
              </w:rPr>
              <w:t>大气毒性终点浓度-1 对应位置 m</w:t>
            </w:r>
          </w:p>
        </w:tc>
        <w:tc>
          <w:tcPr>
            <w:tcW w:w="899" w:type="pct"/>
            <w:tcBorders>
              <w:top w:val="single" w:color="000000" w:sz="4" w:space="0"/>
              <w:left w:val="single" w:color="000000" w:sz="4" w:space="0"/>
              <w:bottom w:val="single" w:color="000000" w:sz="4" w:space="0"/>
              <w:right w:val="single" w:color="000000" w:sz="4" w:space="0"/>
            </w:tcBorders>
            <w:noWrap w:val="0"/>
            <w:vAlign w:val="center"/>
          </w:tcPr>
          <w:p w14:paraId="65CE6989">
            <w:pPr>
              <w:pStyle w:val="88"/>
              <w:spacing w:line="240" w:lineRule="exact"/>
              <w:ind w:firstLine="0" w:firstLineChars="0"/>
              <w:jc w:val="center"/>
              <w:rPr>
                <w:sz w:val="21"/>
                <w:szCs w:val="21"/>
              </w:rPr>
            </w:pPr>
            <w:r>
              <w:rPr>
                <w:sz w:val="21"/>
                <w:szCs w:val="21"/>
              </w:rPr>
              <w:t>起点</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1A03428F">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10</w:t>
            </w:r>
          </w:p>
        </w:tc>
        <w:tc>
          <w:tcPr>
            <w:tcW w:w="886" w:type="pct"/>
            <w:tcBorders>
              <w:top w:val="single" w:color="000000" w:sz="4" w:space="0"/>
              <w:left w:val="single" w:color="000000" w:sz="4" w:space="0"/>
              <w:bottom w:val="single" w:color="000000" w:sz="4" w:space="0"/>
              <w:right w:val="single" w:color="000000" w:sz="4" w:space="0"/>
            </w:tcBorders>
            <w:noWrap w:val="0"/>
            <w:vAlign w:val="center"/>
          </w:tcPr>
          <w:p w14:paraId="3D742D8F">
            <w:pPr>
              <w:pStyle w:val="88"/>
              <w:spacing w:line="240" w:lineRule="exact"/>
              <w:ind w:firstLine="0" w:firstLineChars="0"/>
              <w:jc w:val="center"/>
              <w:rPr>
                <w:sz w:val="21"/>
                <w:szCs w:val="21"/>
              </w:rPr>
            </w:pPr>
            <w:r>
              <w:rPr>
                <w:sz w:val="21"/>
                <w:szCs w:val="21"/>
              </w:rPr>
              <w:t>终点</w:t>
            </w:r>
          </w:p>
        </w:tc>
        <w:tc>
          <w:tcPr>
            <w:tcW w:w="902" w:type="pct"/>
            <w:tcBorders>
              <w:top w:val="single" w:color="000000" w:sz="4" w:space="0"/>
              <w:left w:val="single" w:color="000000" w:sz="4" w:space="0"/>
              <w:bottom w:val="single" w:color="000000" w:sz="4" w:space="0"/>
              <w:right w:val="single" w:color="000000" w:sz="4" w:space="0"/>
            </w:tcBorders>
            <w:noWrap w:val="0"/>
            <w:vAlign w:val="center"/>
          </w:tcPr>
          <w:p w14:paraId="138C4543">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110</w:t>
            </w:r>
          </w:p>
        </w:tc>
      </w:tr>
      <w:tr w14:paraId="1854F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650" w:type="pct"/>
            <w:tcBorders>
              <w:top w:val="single" w:color="000000" w:sz="4" w:space="0"/>
              <w:left w:val="single" w:color="000000" w:sz="4" w:space="0"/>
              <w:bottom w:val="single" w:color="000000" w:sz="4" w:space="0"/>
              <w:right w:val="single" w:color="000000" w:sz="4" w:space="0"/>
            </w:tcBorders>
            <w:noWrap w:val="0"/>
            <w:vAlign w:val="center"/>
          </w:tcPr>
          <w:p w14:paraId="02ED5266">
            <w:pPr>
              <w:pStyle w:val="88"/>
              <w:spacing w:line="240" w:lineRule="exact"/>
              <w:ind w:firstLine="0" w:firstLineChars="0"/>
              <w:jc w:val="center"/>
              <w:rPr>
                <w:sz w:val="21"/>
                <w:szCs w:val="21"/>
              </w:rPr>
            </w:pPr>
            <w:r>
              <w:rPr>
                <w:sz w:val="21"/>
                <w:szCs w:val="21"/>
              </w:rPr>
              <w:t>大气毒性终点浓度-2 对应位置 m</w:t>
            </w:r>
          </w:p>
        </w:tc>
        <w:tc>
          <w:tcPr>
            <w:tcW w:w="899" w:type="pct"/>
            <w:tcBorders>
              <w:top w:val="single" w:color="000000" w:sz="4" w:space="0"/>
              <w:left w:val="single" w:color="000000" w:sz="4" w:space="0"/>
              <w:bottom w:val="single" w:color="000000" w:sz="4" w:space="0"/>
              <w:right w:val="single" w:color="000000" w:sz="4" w:space="0"/>
            </w:tcBorders>
            <w:noWrap w:val="0"/>
            <w:vAlign w:val="center"/>
          </w:tcPr>
          <w:p w14:paraId="65820B92">
            <w:pPr>
              <w:pStyle w:val="88"/>
              <w:spacing w:line="240" w:lineRule="exact"/>
              <w:ind w:firstLine="0" w:firstLineChars="0"/>
              <w:jc w:val="center"/>
              <w:rPr>
                <w:sz w:val="21"/>
                <w:szCs w:val="21"/>
              </w:rPr>
            </w:pPr>
            <w:r>
              <w:rPr>
                <w:sz w:val="21"/>
                <w:szCs w:val="21"/>
              </w:rPr>
              <w:t>起点</w:t>
            </w:r>
          </w:p>
        </w:tc>
        <w:tc>
          <w:tcPr>
            <w:tcW w:w="662" w:type="pct"/>
            <w:tcBorders>
              <w:top w:val="single" w:color="000000" w:sz="4" w:space="0"/>
              <w:left w:val="single" w:color="000000" w:sz="4" w:space="0"/>
              <w:bottom w:val="single" w:color="000000" w:sz="4" w:space="0"/>
              <w:right w:val="single" w:color="000000" w:sz="4" w:space="0"/>
            </w:tcBorders>
            <w:noWrap w:val="0"/>
            <w:vAlign w:val="center"/>
          </w:tcPr>
          <w:p w14:paraId="581C0FDD">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10</w:t>
            </w:r>
          </w:p>
        </w:tc>
        <w:tc>
          <w:tcPr>
            <w:tcW w:w="886" w:type="pct"/>
            <w:tcBorders>
              <w:top w:val="single" w:color="000000" w:sz="4" w:space="0"/>
              <w:left w:val="single" w:color="000000" w:sz="4" w:space="0"/>
              <w:bottom w:val="single" w:color="000000" w:sz="4" w:space="0"/>
              <w:right w:val="single" w:color="000000" w:sz="4" w:space="0"/>
            </w:tcBorders>
            <w:noWrap w:val="0"/>
            <w:vAlign w:val="center"/>
          </w:tcPr>
          <w:p w14:paraId="022C08D7">
            <w:pPr>
              <w:pStyle w:val="88"/>
              <w:spacing w:line="240" w:lineRule="exact"/>
              <w:ind w:firstLine="0" w:firstLineChars="0"/>
              <w:jc w:val="center"/>
              <w:rPr>
                <w:sz w:val="21"/>
                <w:szCs w:val="21"/>
              </w:rPr>
            </w:pPr>
            <w:r>
              <w:rPr>
                <w:sz w:val="21"/>
                <w:szCs w:val="21"/>
              </w:rPr>
              <w:t>终点</w:t>
            </w:r>
          </w:p>
        </w:tc>
        <w:tc>
          <w:tcPr>
            <w:tcW w:w="902" w:type="pct"/>
            <w:tcBorders>
              <w:top w:val="single" w:color="000000" w:sz="4" w:space="0"/>
              <w:left w:val="single" w:color="000000" w:sz="4" w:space="0"/>
              <w:bottom w:val="single" w:color="000000" w:sz="4" w:space="0"/>
              <w:right w:val="single" w:color="000000" w:sz="4" w:space="0"/>
            </w:tcBorders>
            <w:noWrap w:val="0"/>
            <w:vAlign w:val="center"/>
          </w:tcPr>
          <w:p w14:paraId="0289C31B">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370</w:t>
            </w:r>
          </w:p>
        </w:tc>
      </w:tr>
    </w:tbl>
    <w:p w14:paraId="1BFF0747">
      <w:pPr>
        <w:spacing w:line="500" w:lineRule="exact"/>
        <w:ind w:firstLine="520"/>
        <w:rPr>
          <w:rFonts w:hint="eastAsia"/>
          <w:b w:val="0"/>
          <w:bCs/>
          <w:kern w:val="0"/>
          <w:sz w:val="24"/>
        </w:rPr>
      </w:pPr>
      <w:r>
        <w:rPr>
          <w:rFonts w:hint="eastAsia"/>
          <w:b w:val="0"/>
          <w:bCs/>
          <w:kern w:val="0"/>
          <w:sz w:val="24"/>
        </w:rPr>
        <w:t>由预测结果可知，</w:t>
      </w:r>
      <w:r>
        <w:rPr>
          <w:rFonts w:hint="eastAsia"/>
          <w:b w:val="0"/>
          <w:bCs/>
          <w:kern w:val="0"/>
          <w:sz w:val="24"/>
          <w:lang w:val="en-US" w:eastAsia="zh-CN"/>
        </w:rPr>
        <w:t>醋酸</w:t>
      </w:r>
      <w:r>
        <w:rPr>
          <w:rFonts w:hint="eastAsia"/>
          <w:b w:val="0"/>
          <w:bCs/>
          <w:kern w:val="0"/>
          <w:sz w:val="24"/>
        </w:rPr>
        <w:t>泄漏，污染物释放进入大气环境，造成大气风险事故情形下，出现超大气毒性终点浓度-1 的最远距离为</w:t>
      </w:r>
      <w:r>
        <w:rPr>
          <w:rFonts w:hint="eastAsia"/>
          <w:b w:val="0"/>
          <w:bCs/>
          <w:kern w:val="0"/>
          <w:sz w:val="24"/>
          <w:lang w:val="en-US" w:eastAsia="zh-CN"/>
        </w:rPr>
        <w:t>110</w:t>
      </w:r>
      <w:r>
        <w:rPr>
          <w:rFonts w:hint="eastAsia"/>
          <w:b w:val="0"/>
          <w:bCs/>
          <w:kern w:val="0"/>
          <w:sz w:val="24"/>
        </w:rPr>
        <w:t>m，出现超大气毒性终点浓度-2 的最远距离为</w:t>
      </w:r>
      <w:r>
        <w:rPr>
          <w:rFonts w:hint="eastAsia"/>
          <w:b w:val="0"/>
          <w:bCs/>
          <w:kern w:val="0"/>
          <w:sz w:val="24"/>
          <w:lang w:val="en-US" w:eastAsia="zh-CN"/>
        </w:rPr>
        <w:t>370</w:t>
      </w:r>
      <w:r>
        <w:rPr>
          <w:rFonts w:hint="eastAsia"/>
          <w:b w:val="0"/>
          <w:bCs/>
          <w:kern w:val="0"/>
          <w:sz w:val="24"/>
        </w:rPr>
        <w:t>m，此情境下，最大影响区域范围内无环境风险敏感点。</w:t>
      </w:r>
    </w:p>
    <w:p w14:paraId="1B056513">
      <w:pPr>
        <w:spacing w:line="500" w:lineRule="exact"/>
        <w:ind w:firstLine="520"/>
        <w:rPr>
          <w:rFonts w:hint="eastAsia"/>
          <w:b w:val="0"/>
          <w:bCs/>
          <w:kern w:val="0"/>
          <w:sz w:val="24"/>
          <w:lang w:eastAsia="zh-CN"/>
        </w:rPr>
      </w:pPr>
      <w:r>
        <w:rPr>
          <w:rFonts w:hint="eastAsia"/>
          <w:b w:val="0"/>
          <w:bCs/>
          <w:kern w:val="0"/>
          <w:sz w:val="24"/>
          <w:lang w:eastAsia="zh-CN"/>
        </w:rPr>
        <w:t>（</w:t>
      </w:r>
      <w:r>
        <w:rPr>
          <w:rFonts w:hint="eastAsia"/>
          <w:b w:val="0"/>
          <w:bCs/>
          <w:kern w:val="0"/>
          <w:sz w:val="24"/>
          <w:lang w:val="en-US" w:eastAsia="zh-CN"/>
        </w:rPr>
        <w:t>2</w:t>
      </w:r>
      <w:r>
        <w:rPr>
          <w:rFonts w:hint="eastAsia"/>
          <w:b w:val="0"/>
          <w:bCs/>
          <w:kern w:val="0"/>
          <w:sz w:val="24"/>
          <w:lang w:eastAsia="zh-CN"/>
        </w:rPr>
        <w:t>）</w:t>
      </w:r>
      <w:r>
        <w:rPr>
          <w:rFonts w:hint="eastAsia"/>
          <w:b w:val="0"/>
          <w:bCs/>
          <w:kern w:val="0"/>
          <w:sz w:val="24"/>
          <w:lang w:val="en-US" w:eastAsia="zh-CN"/>
        </w:rPr>
        <w:t>醋酸、废液</w:t>
      </w:r>
      <w:r>
        <w:rPr>
          <w:rFonts w:hint="eastAsia"/>
          <w:b w:val="0"/>
          <w:bCs/>
          <w:kern w:val="0"/>
          <w:sz w:val="24"/>
          <w:lang w:eastAsia="zh-CN"/>
        </w:rPr>
        <w:t>泄漏火灾伴生污染物CO</w:t>
      </w:r>
    </w:p>
    <w:p w14:paraId="6FDAAB67">
      <w:pPr>
        <w:spacing w:line="500" w:lineRule="exact"/>
        <w:ind w:firstLine="520"/>
        <w:rPr>
          <w:rFonts w:hint="eastAsia"/>
          <w:b w:val="0"/>
          <w:bCs/>
          <w:kern w:val="0"/>
          <w:sz w:val="24"/>
          <w:lang w:eastAsia="zh-CN"/>
        </w:rPr>
      </w:pPr>
      <w:r>
        <w:rPr>
          <w:rFonts w:hint="eastAsia"/>
          <w:b w:val="0"/>
          <w:bCs/>
          <w:kern w:val="0"/>
          <w:sz w:val="24"/>
          <w:lang w:eastAsia="zh-CN"/>
        </w:rPr>
        <w:t>按照设定，</w:t>
      </w:r>
      <w:r>
        <w:rPr>
          <w:rFonts w:hint="eastAsia"/>
          <w:b w:val="0"/>
          <w:bCs/>
          <w:kern w:val="0"/>
          <w:sz w:val="24"/>
          <w:lang w:val="en-US" w:eastAsia="zh-CN"/>
        </w:rPr>
        <w:t>醋酸、废液</w:t>
      </w:r>
      <w:r>
        <w:rPr>
          <w:rFonts w:hint="eastAsia"/>
          <w:b w:val="0"/>
          <w:bCs/>
          <w:kern w:val="0"/>
          <w:sz w:val="24"/>
          <w:lang w:eastAsia="zh-CN"/>
        </w:rPr>
        <w:t>泄漏并伴随火灾爆炸等燃烧，燃烧伴生污染物释放进入大气环境，造成大气环境风险事故，影响预测结果见表</w:t>
      </w:r>
      <w:r>
        <w:rPr>
          <w:rFonts w:hint="eastAsia"/>
          <w:b w:val="0"/>
          <w:bCs/>
          <w:kern w:val="0"/>
          <w:sz w:val="24"/>
          <w:lang w:val="en-US" w:eastAsia="zh-CN"/>
        </w:rPr>
        <w:t>7.1-4</w:t>
      </w:r>
      <w:r>
        <w:rPr>
          <w:rFonts w:hint="eastAsia"/>
          <w:b w:val="0"/>
          <w:bCs/>
          <w:kern w:val="0"/>
          <w:sz w:val="24"/>
          <w:lang w:eastAsia="zh-CN"/>
        </w:rPr>
        <w:t>。</w:t>
      </w:r>
    </w:p>
    <w:p w14:paraId="027C27FE">
      <w:pPr>
        <w:keepNext/>
        <w:keepLines/>
        <w:widowControl/>
        <w:tabs>
          <w:tab w:val="left" w:pos="795"/>
        </w:tabs>
        <w:spacing w:line="500" w:lineRule="exact"/>
        <w:ind w:left="795"/>
        <w:jc w:val="center"/>
        <w:outlineLvl w:val="3"/>
        <w:rPr>
          <w:b/>
          <w:kern w:val="0"/>
          <w:sz w:val="24"/>
        </w:rPr>
      </w:pPr>
      <w:r>
        <w:rPr>
          <w:b/>
          <w:kern w:val="0"/>
          <w:sz w:val="24"/>
        </w:rPr>
        <w:t>表</w:t>
      </w:r>
      <w:r>
        <w:rPr>
          <w:rFonts w:hint="eastAsia"/>
          <w:b/>
          <w:kern w:val="0"/>
          <w:sz w:val="24"/>
        </w:rPr>
        <w:t>7.1-</w:t>
      </w:r>
      <w:r>
        <w:rPr>
          <w:rFonts w:hint="eastAsia"/>
          <w:b/>
          <w:kern w:val="0"/>
          <w:sz w:val="24"/>
          <w:lang w:val="en-US" w:eastAsia="zh-CN"/>
        </w:rPr>
        <w:t>4</w:t>
      </w:r>
      <w:r>
        <w:rPr>
          <w:rFonts w:hint="eastAsia"/>
          <w:b/>
          <w:kern w:val="0"/>
          <w:sz w:val="24"/>
        </w:rPr>
        <w:t>伴生 CO 排放下风向轴线预测结果表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48"/>
        <w:gridCol w:w="1544"/>
        <w:gridCol w:w="1656"/>
        <w:gridCol w:w="803"/>
        <w:gridCol w:w="2609"/>
      </w:tblGrid>
      <w:tr w14:paraId="180D4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vMerge w:val="restart"/>
            <w:tcBorders>
              <w:top w:val="single" w:color="000000" w:sz="4" w:space="0"/>
              <w:left w:val="single" w:color="000000" w:sz="4" w:space="0"/>
              <w:bottom w:val="single" w:color="000000" w:sz="4" w:space="0"/>
              <w:right w:val="single" w:color="000000" w:sz="4" w:space="0"/>
            </w:tcBorders>
            <w:noWrap w:val="0"/>
            <w:vAlign w:val="center"/>
          </w:tcPr>
          <w:p w14:paraId="2455FCB8">
            <w:pPr>
              <w:pStyle w:val="88"/>
              <w:spacing w:line="240" w:lineRule="exact"/>
              <w:ind w:firstLine="0" w:firstLineChars="0"/>
              <w:jc w:val="center"/>
              <w:rPr>
                <w:sz w:val="21"/>
                <w:szCs w:val="21"/>
              </w:rPr>
            </w:pPr>
            <w:r>
              <w:rPr>
                <w:sz w:val="21"/>
                <w:szCs w:val="21"/>
              </w:rPr>
              <w:t>距离m</w:t>
            </w:r>
          </w:p>
        </w:tc>
        <w:tc>
          <w:tcPr>
            <w:tcW w:w="3649" w:type="pct"/>
            <w:gridSpan w:val="4"/>
            <w:tcBorders>
              <w:top w:val="single" w:color="000000" w:sz="4" w:space="0"/>
              <w:left w:val="single" w:color="000000" w:sz="4" w:space="0"/>
              <w:bottom w:val="single" w:color="000000" w:sz="4" w:space="0"/>
              <w:right w:val="single" w:color="000000" w:sz="4" w:space="0"/>
            </w:tcBorders>
            <w:noWrap w:val="0"/>
            <w:vAlign w:val="center"/>
          </w:tcPr>
          <w:p w14:paraId="21A319A1">
            <w:pPr>
              <w:pStyle w:val="88"/>
              <w:spacing w:line="240" w:lineRule="exact"/>
              <w:ind w:firstLine="0" w:firstLineChars="0"/>
              <w:jc w:val="center"/>
              <w:rPr>
                <w:sz w:val="21"/>
                <w:szCs w:val="21"/>
              </w:rPr>
            </w:pPr>
            <w:r>
              <w:rPr>
                <w:sz w:val="21"/>
                <w:szCs w:val="21"/>
              </w:rPr>
              <w:t>最不利气象条件（大气稳定度F）</w:t>
            </w:r>
          </w:p>
        </w:tc>
      </w:tr>
      <w:tr w14:paraId="4B0EB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BD8F43">
            <w:pPr>
              <w:pStyle w:val="88"/>
              <w:spacing w:line="240" w:lineRule="exact"/>
              <w:ind w:firstLine="0" w:firstLineChars="0"/>
              <w:jc w:val="center"/>
              <w:rPr>
                <w:sz w:val="21"/>
                <w:szCs w:val="21"/>
              </w:rPr>
            </w:pP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540A7339">
            <w:pPr>
              <w:pStyle w:val="88"/>
              <w:spacing w:line="240" w:lineRule="exact"/>
              <w:ind w:firstLine="0" w:firstLineChars="0"/>
              <w:jc w:val="center"/>
              <w:rPr>
                <w:sz w:val="21"/>
                <w:szCs w:val="21"/>
              </w:rPr>
            </w:pPr>
            <w:r>
              <w:rPr>
                <w:sz w:val="21"/>
                <w:szCs w:val="21"/>
              </w:rPr>
              <w:t>浓度出现时间min</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42873382">
            <w:pPr>
              <w:pStyle w:val="88"/>
              <w:spacing w:line="240" w:lineRule="exact"/>
              <w:ind w:firstLine="0" w:firstLineChars="0"/>
              <w:jc w:val="center"/>
              <w:rPr>
                <w:sz w:val="21"/>
                <w:szCs w:val="21"/>
              </w:rPr>
            </w:pPr>
            <w:r>
              <w:rPr>
                <w:sz w:val="21"/>
                <w:szCs w:val="21"/>
              </w:rPr>
              <w:t>高峰浓度mg/m</w:t>
            </w:r>
            <w:r>
              <w:rPr>
                <w:sz w:val="21"/>
                <w:szCs w:val="21"/>
                <w:vertAlign w:val="superscript"/>
              </w:rPr>
              <w:t>3</w:t>
            </w:r>
          </w:p>
        </w:tc>
      </w:tr>
      <w:tr w14:paraId="6D93B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46B0967A">
            <w:pPr>
              <w:pStyle w:val="88"/>
              <w:spacing w:line="240" w:lineRule="exact"/>
              <w:ind w:firstLine="0" w:firstLineChars="0"/>
              <w:jc w:val="center"/>
              <w:rPr>
                <w:sz w:val="21"/>
                <w:szCs w:val="21"/>
              </w:rPr>
            </w:pPr>
            <w:r>
              <w:rPr>
                <w:sz w:val="21"/>
                <w:szCs w:val="21"/>
              </w:rPr>
              <w:t>10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323F7742">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0.08</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446C2169">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171460</w:t>
            </w:r>
          </w:p>
        </w:tc>
      </w:tr>
      <w:tr w14:paraId="257F6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215D5EC2">
            <w:pPr>
              <w:pStyle w:val="88"/>
              <w:spacing w:line="240" w:lineRule="exact"/>
              <w:ind w:firstLine="0" w:firstLineChars="0"/>
              <w:jc w:val="center"/>
              <w:rPr>
                <w:sz w:val="21"/>
                <w:szCs w:val="21"/>
              </w:rPr>
            </w:pPr>
            <w:r>
              <w:rPr>
                <w:sz w:val="21"/>
                <w:szCs w:val="21"/>
              </w:rPr>
              <w:t>50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37F2F3B3">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0.42</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1CDED151">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24506</w:t>
            </w:r>
          </w:p>
        </w:tc>
      </w:tr>
      <w:tr w14:paraId="7D30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6B63B062">
            <w:pPr>
              <w:pStyle w:val="88"/>
              <w:spacing w:line="240" w:lineRule="exact"/>
              <w:ind w:firstLine="0" w:firstLineChars="0"/>
              <w:jc w:val="center"/>
              <w:rPr>
                <w:sz w:val="21"/>
                <w:szCs w:val="21"/>
              </w:rPr>
            </w:pPr>
            <w:r>
              <w:rPr>
                <w:sz w:val="21"/>
                <w:szCs w:val="21"/>
              </w:rPr>
              <w:t>100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3A04033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0.83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3A5F7424">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8581.5</w:t>
            </w:r>
          </w:p>
        </w:tc>
      </w:tr>
      <w:tr w14:paraId="0667F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018C20A1">
            <w:pPr>
              <w:pStyle w:val="88"/>
              <w:spacing w:line="240" w:lineRule="exact"/>
              <w:ind w:firstLine="0" w:firstLineChars="0"/>
              <w:jc w:val="center"/>
              <w:rPr>
                <w:sz w:val="21"/>
                <w:szCs w:val="21"/>
              </w:rPr>
            </w:pPr>
            <w:r>
              <w:rPr>
                <w:sz w:val="21"/>
                <w:szCs w:val="21"/>
              </w:rPr>
              <w:t>200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151CE797">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1.67</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546EC1F6">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2805.9</w:t>
            </w:r>
          </w:p>
        </w:tc>
      </w:tr>
      <w:tr w14:paraId="0EC1E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36C8EA2E">
            <w:pPr>
              <w:pStyle w:val="88"/>
              <w:spacing w:line="240" w:lineRule="exact"/>
              <w:ind w:firstLine="0" w:firstLineChars="0"/>
              <w:jc w:val="center"/>
              <w:rPr>
                <w:sz w:val="21"/>
                <w:szCs w:val="21"/>
              </w:rPr>
            </w:pPr>
            <w:r>
              <w:rPr>
                <w:sz w:val="21"/>
                <w:szCs w:val="21"/>
              </w:rPr>
              <w:t>300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67FA0284">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2.50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712CF849">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1438.4</w:t>
            </w:r>
          </w:p>
        </w:tc>
      </w:tr>
      <w:tr w14:paraId="553ED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377F8425">
            <w:pPr>
              <w:pStyle w:val="88"/>
              <w:spacing w:line="240" w:lineRule="exact"/>
              <w:ind w:firstLine="0" w:firstLineChars="0"/>
              <w:jc w:val="center"/>
              <w:rPr>
                <w:sz w:val="21"/>
                <w:szCs w:val="21"/>
              </w:rPr>
            </w:pPr>
            <w:r>
              <w:rPr>
                <w:sz w:val="21"/>
                <w:szCs w:val="21"/>
              </w:rPr>
              <w:t>400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77D185C9">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3.33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7BE2CE15">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892.30</w:t>
            </w:r>
          </w:p>
        </w:tc>
      </w:tr>
      <w:tr w14:paraId="13D04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728A6D54">
            <w:pPr>
              <w:pStyle w:val="88"/>
              <w:spacing w:line="240" w:lineRule="exact"/>
              <w:ind w:firstLine="0" w:firstLineChars="0"/>
              <w:jc w:val="center"/>
              <w:rPr>
                <w:sz w:val="21"/>
                <w:szCs w:val="21"/>
              </w:rPr>
            </w:pPr>
            <w:r>
              <w:rPr>
                <w:sz w:val="21"/>
                <w:szCs w:val="21"/>
              </w:rPr>
              <w:t>500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3846FE9A">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4.16</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58862A0A">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615.34</w:t>
            </w:r>
          </w:p>
        </w:tc>
      </w:tr>
      <w:tr w14:paraId="6DAFD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70B57924">
            <w:pPr>
              <w:pStyle w:val="88"/>
              <w:spacing w:line="240" w:lineRule="exact"/>
              <w:ind w:firstLine="0" w:firstLineChars="0"/>
              <w:jc w:val="center"/>
              <w:rPr>
                <w:sz w:val="21"/>
                <w:szCs w:val="21"/>
              </w:rPr>
            </w:pPr>
            <w:r>
              <w:rPr>
                <w:sz w:val="21"/>
                <w:szCs w:val="21"/>
              </w:rPr>
              <w:t>600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03FDE1A1">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5.00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1F39112B">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453.93</w:t>
            </w:r>
          </w:p>
        </w:tc>
      </w:tr>
      <w:tr w14:paraId="0296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349CFF4B">
            <w:pPr>
              <w:pStyle w:val="88"/>
              <w:spacing w:line="240" w:lineRule="exact"/>
              <w:ind w:firstLine="0" w:firstLineChars="0"/>
              <w:jc w:val="center"/>
              <w:rPr>
                <w:sz w:val="21"/>
                <w:szCs w:val="21"/>
              </w:rPr>
            </w:pPr>
            <w:r>
              <w:rPr>
                <w:sz w:val="21"/>
                <w:szCs w:val="21"/>
              </w:rPr>
              <w:t>700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1A23A7B4">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5.83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7B9BEE2D">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350.85</w:t>
            </w:r>
          </w:p>
        </w:tc>
      </w:tr>
      <w:tr w14:paraId="27C5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73711ECF">
            <w:pPr>
              <w:pStyle w:val="88"/>
              <w:spacing w:line="240" w:lineRule="exact"/>
              <w:ind w:firstLine="0" w:firstLineChars="0"/>
              <w:jc w:val="center"/>
              <w:rPr>
                <w:sz w:val="21"/>
                <w:szCs w:val="21"/>
              </w:rPr>
            </w:pPr>
            <w:r>
              <w:rPr>
                <w:sz w:val="21"/>
                <w:szCs w:val="21"/>
              </w:rPr>
              <w:t>800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2BC0BD3C">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6.66</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7A619E60">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280.63</w:t>
            </w:r>
          </w:p>
        </w:tc>
      </w:tr>
      <w:tr w14:paraId="40FB7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08727C57">
            <w:pPr>
              <w:pStyle w:val="88"/>
              <w:spacing w:line="240" w:lineRule="exact"/>
              <w:ind w:firstLine="0" w:firstLineChars="0"/>
              <w:jc w:val="center"/>
              <w:rPr>
                <w:sz w:val="21"/>
                <w:szCs w:val="21"/>
              </w:rPr>
            </w:pPr>
            <w:r>
              <w:rPr>
                <w:sz w:val="21"/>
                <w:szCs w:val="21"/>
              </w:rPr>
              <w:t>900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1D702E42">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7.50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23199E57">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230.43</w:t>
            </w:r>
          </w:p>
        </w:tc>
      </w:tr>
      <w:tr w14:paraId="5FDDA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5C15423A">
            <w:pPr>
              <w:pStyle w:val="88"/>
              <w:spacing w:line="240" w:lineRule="exact"/>
              <w:ind w:firstLine="0" w:firstLineChars="0"/>
              <w:jc w:val="center"/>
              <w:rPr>
                <w:sz w:val="21"/>
                <w:szCs w:val="21"/>
              </w:rPr>
            </w:pPr>
            <w:r>
              <w:rPr>
                <w:sz w:val="21"/>
                <w:szCs w:val="21"/>
              </w:rPr>
              <w:t>1000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265263BA">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8.33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228BB95B">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193.16</w:t>
            </w:r>
          </w:p>
        </w:tc>
      </w:tr>
      <w:tr w14:paraId="2D9ED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62CC6F97">
            <w:pPr>
              <w:pStyle w:val="88"/>
              <w:spacing w:line="240" w:lineRule="exact"/>
              <w:ind w:firstLine="0" w:firstLineChars="0"/>
              <w:jc w:val="center"/>
              <w:rPr>
                <w:sz w:val="21"/>
                <w:szCs w:val="21"/>
              </w:rPr>
            </w:pPr>
            <w:r>
              <w:rPr>
                <w:sz w:val="21"/>
                <w:szCs w:val="21"/>
              </w:rPr>
              <w:t>1500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038EEF79">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12.50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19A6CB60">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99.41</w:t>
            </w:r>
          </w:p>
        </w:tc>
      </w:tr>
      <w:tr w14:paraId="1396E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0D85B8D3">
            <w:pPr>
              <w:pStyle w:val="88"/>
              <w:spacing w:line="240" w:lineRule="exact"/>
              <w:ind w:firstLine="0" w:firstLineChars="0"/>
              <w:jc w:val="center"/>
              <w:rPr>
                <w:sz w:val="21"/>
                <w:szCs w:val="21"/>
              </w:rPr>
            </w:pPr>
            <w:r>
              <w:rPr>
                <w:sz w:val="21"/>
                <w:szCs w:val="21"/>
              </w:rPr>
              <w:t>2000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4BBB1C63">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16.67</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0271B68F">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67.73</w:t>
            </w:r>
          </w:p>
        </w:tc>
      </w:tr>
      <w:tr w14:paraId="07161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5B732678">
            <w:pPr>
              <w:pStyle w:val="88"/>
              <w:spacing w:line="240" w:lineRule="exact"/>
              <w:ind w:firstLine="0" w:firstLineChars="0"/>
              <w:jc w:val="center"/>
              <w:rPr>
                <w:sz w:val="21"/>
                <w:szCs w:val="21"/>
              </w:rPr>
            </w:pPr>
            <w:r>
              <w:rPr>
                <w:sz w:val="21"/>
                <w:szCs w:val="21"/>
              </w:rPr>
              <w:t>2500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50956F55">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20.83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749A8894">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50.29</w:t>
            </w:r>
          </w:p>
        </w:tc>
      </w:tr>
      <w:tr w14:paraId="7DB6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011557CF">
            <w:pPr>
              <w:pStyle w:val="88"/>
              <w:spacing w:line="240" w:lineRule="exact"/>
              <w:ind w:firstLine="0" w:firstLineChars="0"/>
              <w:jc w:val="center"/>
              <w:rPr>
                <w:sz w:val="21"/>
                <w:szCs w:val="21"/>
              </w:rPr>
            </w:pPr>
            <w:r>
              <w:rPr>
                <w:sz w:val="21"/>
                <w:szCs w:val="21"/>
              </w:rPr>
              <w:t>3000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28A5B7E6">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25.00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4529D461">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39.43</w:t>
            </w:r>
          </w:p>
        </w:tc>
      </w:tr>
      <w:tr w14:paraId="26B69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14E8F88F">
            <w:pPr>
              <w:pStyle w:val="88"/>
              <w:spacing w:line="240" w:lineRule="exact"/>
              <w:ind w:firstLine="0" w:firstLineChars="0"/>
              <w:jc w:val="center"/>
              <w:rPr>
                <w:sz w:val="21"/>
                <w:szCs w:val="21"/>
              </w:rPr>
            </w:pPr>
            <w:r>
              <w:rPr>
                <w:sz w:val="21"/>
                <w:szCs w:val="21"/>
              </w:rPr>
              <w:t>3500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4E495868">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29.17</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1706F344">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32.09</w:t>
            </w:r>
          </w:p>
        </w:tc>
      </w:tr>
      <w:tr w14:paraId="68A25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67266912">
            <w:pPr>
              <w:pStyle w:val="88"/>
              <w:spacing w:line="240" w:lineRule="exact"/>
              <w:ind w:firstLine="0" w:firstLineChars="0"/>
              <w:jc w:val="center"/>
              <w:rPr>
                <w:sz w:val="21"/>
                <w:szCs w:val="21"/>
              </w:rPr>
            </w:pPr>
            <w:r>
              <w:rPr>
                <w:sz w:val="21"/>
                <w:szCs w:val="21"/>
              </w:rPr>
              <w:t>4000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1C07C667">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37.33</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0EB9AE32">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26.86</w:t>
            </w:r>
          </w:p>
        </w:tc>
      </w:tr>
      <w:tr w14:paraId="23D3E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4672F495">
            <w:pPr>
              <w:pStyle w:val="88"/>
              <w:spacing w:line="240" w:lineRule="exact"/>
              <w:ind w:firstLine="0" w:firstLineChars="0"/>
              <w:jc w:val="center"/>
              <w:rPr>
                <w:sz w:val="21"/>
                <w:szCs w:val="21"/>
              </w:rPr>
            </w:pPr>
            <w:r>
              <w:rPr>
                <w:sz w:val="21"/>
                <w:szCs w:val="21"/>
              </w:rPr>
              <w:t>4500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198A1840">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42.00</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3F49AF63">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22.96</w:t>
            </w:r>
          </w:p>
        </w:tc>
      </w:tr>
      <w:tr w14:paraId="199A9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6E94C149">
            <w:pPr>
              <w:pStyle w:val="88"/>
              <w:spacing w:line="240" w:lineRule="exact"/>
              <w:ind w:firstLine="0" w:firstLineChars="0"/>
              <w:jc w:val="center"/>
              <w:rPr>
                <w:sz w:val="21"/>
                <w:szCs w:val="21"/>
              </w:rPr>
            </w:pPr>
            <w:r>
              <w:rPr>
                <w:sz w:val="21"/>
                <w:szCs w:val="21"/>
              </w:rPr>
              <w:t>5000</w:t>
            </w:r>
          </w:p>
        </w:tc>
        <w:tc>
          <w:tcPr>
            <w:tcW w:w="1766" w:type="pct"/>
            <w:gridSpan w:val="2"/>
            <w:tcBorders>
              <w:top w:val="single" w:color="000000" w:sz="4" w:space="0"/>
              <w:left w:val="single" w:color="000000" w:sz="4" w:space="0"/>
              <w:bottom w:val="single" w:color="000000" w:sz="4" w:space="0"/>
              <w:right w:val="single" w:color="000000" w:sz="4" w:space="0"/>
            </w:tcBorders>
            <w:noWrap w:val="0"/>
            <w:vAlign w:val="center"/>
          </w:tcPr>
          <w:p w14:paraId="5FC6573E">
            <w:pPr>
              <w:pStyle w:val="88"/>
              <w:spacing w:line="240" w:lineRule="exact"/>
              <w:ind w:firstLine="0" w:firstLineChars="0"/>
              <w:jc w:val="center"/>
              <w:rPr>
                <w:rFonts w:hint="default" w:eastAsia="宋体"/>
                <w:sz w:val="21"/>
                <w:szCs w:val="21"/>
                <w:lang w:val="en-US" w:eastAsia="zh-CN"/>
              </w:rPr>
            </w:pPr>
            <w:r>
              <w:rPr>
                <w:rFonts w:hint="eastAsia"/>
                <w:sz w:val="21"/>
                <w:szCs w:val="21"/>
                <w:lang w:val="en-US" w:eastAsia="zh-CN"/>
              </w:rPr>
              <w:t>46.67</w:t>
            </w:r>
          </w:p>
        </w:tc>
        <w:tc>
          <w:tcPr>
            <w:tcW w:w="1883" w:type="pct"/>
            <w:gridSpan w:val="2"/>
            <w:tcBorders>
              <w:top w:val="single" w:color="000000" w:sz="4" w:space="0"/>
              <w:left w:val="single" w:color="000000" w:sz="4" w:space="0"/>
              <w:bottom w:val="single" w:color="000000" w:sz="4" w:space="0"/>
              <w:right w:val="single" w:color="000000" w:sz="4" w:space="0"/>
            </w:tcBorders>
            <w:noWrap w:val="0"/>
            <w:vAlign w:val="center"/>
          </w:tcPr>
          <w:p w14:paraId="34F124DB">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19.97</w:t>
            </w:r>
          </w:p>
        </w:tc>
      </w:tr>
      <w:tr w14:paraId="4B03B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056E76E9">
            <w:pPr>
              <w:pStyle w:val="88"/>
              <w:spacing w:line="240" w:lineRule="exact"/>
              <w:ind w:firstLine="0" w:firstLineChars="0"/>
              <w:jc w:val="center"/>
              <w:rPr>
                <w:sz w:val="21"/>
                <w:szCs w:val="21"/>
              </w:rPr>
            </w:pPr>
            <w:r>
              <w:rPr>
                <w:sz w:val="21"/>
                <w:szCs w:val="21"/>
              </w:rPr>
              <w:t>大气毒性终点浓度-1 对应位置 m</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0999B896">
            <w:pPr>
              <w:pStyle w:val="88"/>
              <w:spacing w:line="240" w:lineRule="exact"/>
              <w:ind w:firstLine="0" w:firstLineChars="0"/>
              <w:jc w:val="center"/>
              <w:rPr>
                <w:sz w:val="21"/>
                <w:szCs w:val="21"/>
              </w:rPr>
            </w:pPr>
            <w:r>
              <w:rPr>
                <w:sz w:val="21"/>
                <w:szCs w:val="21"/>
              </w:rPr>
              <w:t>起点</w:t>
            </w:r>
          </w:p>
        </w:tc>
        <w:tc>
          <w:tcPr>
            <w:tcW w:w="914" w:type="pct"/>
            <w:tcBorders>
              <w:top w:val="single" w:color="000000" w:sz="4" w:space="0"/>
              <w:left w:val="single" w:color="000000" w:sz="4" w:space="0"/>
              <w:bottom w:val="single" w:color="000000" w:sz="4" w:space="0"/>
              <w:right w:val="single" w:color="000000" w:sz="4" w:space="0"/>
            </w:tcBorders>
            <w:noWrap w:val="0"/>
            <w:vAlign w:val="center"/>
          </w:tcPr>
          <w:p w14:paraId="7CDA9C8A">
            <w:pPr>
              <w:pStyle w:val="88"/>
              <w:spacing w:line="240" w:lineRule="exact"/>
              <w:ind w:firstLine="0" w:firstLineChars="0"/>
              <w:jc w:val="center"/>
              <w:rPr>
                <w:sz w:val="21"/>
                <w:szCs w:val="21"/>
              </w:rPr>
            </w:pPr>
            <w:r>
              <w:rPr>
                <w:sz w:val="21"/>
                <w:szCs w:val="21"/>
              </w:rPr>
              <w:t>10</w:t>
            </w:r>
          </w:p>
        </w:tc>
        <w:tc>
          <w:tcPr>
            <w:tcW w:w="443" w:type="pct"/>
            <w:tcBorders>
              <w:top w:val="single" w:color="000000" w:sz="4" w:space="0"/>
              <w:left w:val="single" w:color="000000" w:sz="4" w:space="0"/>
              <w:bottom w:val="single" w:color="000000" w:sz="4" w:space="0"/>
              <w:right w:val="single" w:color="000000" w:sz="4" w:space="0"/>
            </w:tcBorders>
            <w:noWrap w:val="0"/>
            <w:vAlign w:val="center"/>
          </w:tcPr>
          <w:p w14:paraId="61CC75CD">
            <w:pPr>
              <w:pStyle w:val="88"/>
              <w:spacing w:line="240" w:lineRule="exact"/>
              <w:ind w:firstLine="0" w:firstLineChars="0"/>
              <w:jc w:val="center"/>
              <w:rPr>
                <w:sz w:val="21"/>
                <w:szCs w:val="21"/>
              </w:rPr>
            </w:pPr>
            <w:r>
              <w:rPr>
                <w:sz w:val="21"/>
                <w:szCs w:val="21"/>
              </w:rPr>
              <w:t>终点</w:t>
            </w:r>
          </w:p>
        </w:tc>
        <w:tc>
          <w:tcPr>
            <w:tcW w:w="1441" w:type="pct"/>
            <w:tcBorders>
              <w:top w:val="single" w:color="000000" w:sz="4" w:space="0"/>
              <w:left w:val="single" w:color="000000" w:sz="4" w:space="0"/>
              <w:bottom w:val="single" w:color="000000" w:sz="4" w:space="0"/>
              <w:right w:val="single" w:color="000000" w:sz="4" w:space="0"/>
            </w:tcBorders>
            <w:noWrap w:val="0"/>
            <w:vAlign w:val="center"/>
          </w:tcPr>
          <w:p w14:paraId="4B1206A9">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660</w:t>
            </w:r>
          </w:p>
        </w:tc>
      </w:tr>
      <w:tr w14:paraId="59EFA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351" w:type="pct"/>
            <w:tcBorders>
              <w:top w:val="single" w:color="000000" w:sz="4" w:space="0"/>
              <w:left w:val="single" w:color="000000" w:sz="4" w:space="0"/>
              <w:bottom w:val="single" w:color="000000" w:sz="4" w:space="0"/>
              <w:right w:val="single" w:color="000000" w:sz="4" w:space="0"/>
            </w:tcBorders>
            <w:noWrap w:val="0"/>
            <w:vAlign w:val="center"/>
          </w:tcPr>
          <w:p w14:paraId="6AEE2F6B">
            <w:pPr>
              <w:pStyle w:val="88"/>
              <w:spacing w:line="240" w:lineRule="exact"/>
              <w:ind w:firstLine="0" w:firstLineChars="0"/>
              <w:jc w:val="center"/>
              <w:rPr>
                <w:sz w:val="21"/>
                <w:szCs w:val="21"/>
              </w:rPr>
            </w:pPr>
            <w:r>
              <w:rPr>
                <w:sz w:val="21"/>
                <w:szCs w:val="21"/>
              </w:rPr>
              <w:t>大气毒性终点浓度-2 对应位置 m</w:t>
            </w:r>
          </w:p>
        </w:tc>
        <w:tc>
          <w:tcPr>
            <w:tcW w:w="852" w:type="pct"/>
            <w:tcBorders>
              <w:top w:val="single" w:color="000000" w:sz="4" w:space="0"/>
              <w:left w:val="single" w:color="000000" w:sz="4" w:space="0"/>
              <w:bottom w:val="single" w:color="000000" w:sz="4" w:space="0"/>
              <w:right w:val="single" w:color="000000" w:sz="4" w:space="0"/>
            </w:tcBorders>
            <w:noWrap w:val="0"/>
            <w:vAlign w:val="center"/>
          </w:tcPr>
          <w:p w14:paraId="21220B72">
            <w:pPr>
              <w:pStyle w:val="88"/>
              <w:spacing w:line="240" w:lineRule="exact"/>
              <w:ind w:firstLine="0" w:firstLineChars="0"/>
              <w:jc w:val="center"/>
              <w:rPr>
                <w:sz w:val="21"/>
                <w:szCs w:val="21"/>
              </w:rPr>
            </w:pPr>
            <w:r>
              <w:rPr>
                <w:sz w:val="21"/>
                <w:szCs w:val="21"/>
              </w:rPr>
              <w:t>起点</w:t>
            </w:r>
          </w:p>
        </w:tc>
        <w:tc>
          <w:tcPr>
            <w:tcW w:w="914" w:type="pct"/>
            <w:tcBorders>
              <w:top w:val="single" w:color="000000" w:sz="4" w:space="0"/>
              <w:left w:val="single" w:color="000000" w:sz="4" w:space="0"/>
              <w:bottom w:val="single" w:color="000000" w:sz="4" w:space="0"/>
              <w:right w:val="single" w:color="000000" w:sz="4" w:space="0"/>
            </w:tcBorders>
            <w:noWrap w:val="0"/>
            <w:vAlign w:val="center"/>
          </w:tcPr>
          <w:p w14:paraId="104D89CE">
            <w:pPr>
              <w:pStyle w:val="88"/>
              <w:spacing w:line="240" w:lineRule="exact"/>
              <w:ind w:firstLine="0" w:firstLineChars="0"/>
              <w:jc w:val="center"/>
              <w:rPr>
                <w:sz w:val="21"/>
                <w:szCs w:val="21"/>
              </w:rPr>
            </w:pPr>
            <w:r>
              <w:rPr>
                <w:sz w:val="21"/>
                <w:szCs w:val="21"/>
              </w:rPr>
              <w:t>10</w:t>
            </w:r>
          </w:p>
        </w:tc>
        <w:tc>
          <w:tcPr>
            <w:tcW w:w="443" w:type="pct"/>
            <w:tcBorders>
              <w:top w:val="single" w:color="000000" w:sz="4" w:space="0"/>
              <w:left w:val="single" w:color="000000" w:sz="4" w:space="0"/>
              <w:bottom w:val="single" w:color="000000" w:sz="4" w:space="0"/>
              <w:right w:val="single" w:color="000000" w:sz="4" w:space="0"/>
            </w:tcBorders>
            <w:noWrap w:val="0"/>
            <w:vAlign w:val="center"/>
          </w:tcPr>
          <w:p w14:paraId="3AB7D29C">
            <w:pPr>
              <w:pStyle w:val="88"/>
              <w:spacing w:line="240" w:lineRule="exact"/>
              <w:ind w:firstLine="0" w:firstLineChars="0"/>
              <w:jc w:val="center"/>
              <w:rPr>
                <w:sz w:val="21"/>
                <w:szCs w:val="21"/>
              </w:rPr>
            </w:pPr>
            <w:r>
              <w:rPr>
                <w:sz w:val="21"/>
                <w:szCs w:val="21"/>
              </w:rPr>
              <w:t>终点</w:t>
            </w:r>
          </w:p>
        </w:tc>
        <w:tc>
          <w:tcPr>
            <w:tcW w:w="1441" w:type="pct"/>
            <w:tcBorders>
              <w:top w:val="single" w:color="000000" w:sz="4" w:space="0"/>
              <w:left w:val="single" w:color="000000" w:sz="4" w:space="0"/>
              <w:bottom w:val="single" w:color="000000" w:sz="4" w:space="0"/>
              <w:right w:val="single" w:color="000000" w:sz="4" w:space="0"/>
            </w:tcBorders>
            <w:noWrap w:val="0"/>
            <w:vAlign w:val="center"/>
          </w:tcPr>
          <w:p w14:paraId="0D7AC24C">
            <w:pPr>
              <w:pStyle w:val="88"/>
              <w:spacing w:line="240" w:lineRule="exact"/>
              <w:ind w:firstLine="0" w:firstLineChars="0"/>
              <w:jc w:val="center"/>
              <w:rPr>
                <w:rFonts w:hint="default" w:eastAsia="宋体"/>
                <w:sz w:val="21"/>
                <w:szCs w:val="21"/>
                <w:u w:val="single"/>
                <w:lang w:val="en-US" w:eastAsia="zh-CN"/>
              </w:rPr>
            </w:pPr>
            <w:r>
              <w:rPr>
                <w:rFonts w:hint="eastAsia"/>
                <w:sz w:val="21"/>
                <w:szCs w:val="21"/>
                <w:u w:val="single"/>
                <w:lang w:val="en-US" w:eastAsia="zh-CN"/>
              </w:rPr>
              <w:t>1150</w:t>
            </w:r>
          </w:p>
        </w:tc>
      </w:tr>
    </w:tbl>
    <w:p w14:paraId="4907417E">
      <w:pPr>
        <w:spacing w:line="500" w:lineRule="exact"/>
        <w:ind w:firstLine="520"/>
        <w:rPr>
          <w:rFonts w:hint="eastAsia"/>
          <w:b w:val="0"/>
          <w:bCs/>
          <w:kern w:val="0"/>
          <w:sz w:val="24"/>
          <w:u w:val="single"/>
        </w:rPr>
      </w:pPr>
      <w:r>
        <w:rPr>
          <w:rFonts w:hint="eastAsia"/>
          <w:b w:val="0"/>
          <w:bCs/>
          <w:kern w:val="0"/>
          <w:sz w:val="24"/>
          <w:u w:val="single"/>
        </w:rPr>
        <w:t>由预测结果可知，</w:t>
      </w:r>
      <w:r>
        <w:rPr>
          <w:rFonts w:hint="eastAsia"/>
          <w:b w:val="0"/>
          <w:bCs/>
          <w:kern w:val="0"/>
          <w:sz w:val="24"/>
          <w:u w:val="single"/>
          <w:lang w:val="en-US" w:eastAsia="zh-CN"/>
        </w:rPr>
        <w:t>醋酸、废液</w:t>
      </w:r>
      <w:r>
        <w:rPr>
          <w:rFonts w:hint="eastAsia"/>
          <w:b w:val="0"/>
          <w:bCs/>
          <w:kern w:val="0"/>
          <w:sz w:val="24"/>
          <w:u w:val="single"/>
        </w:rPr>
        <w:t>泄漏，遇明火，燃烧伴生污染物释放进入大气环境，造成大气风险事故情形下，大气CO出现超大气毒性终点浓度-1 的最远距离为</w:t>
      </w:r>
      <w:r>
        <w:rPr>
          <w:rFonts w:hint="eastAsia"/>
          <w:b w:val="0"/>
          <w:bCs/>
          <w:kern w:val="0"/>
          <w:sz w:val="24"/>
          <w:u w:val="single"/>
          <w:lang w:val="en-US" w:eastAsia="zh-CN"/>
        </w:rPr>
        <w:t>660</w:t>
      </w:r>
      <w:r>
        <w:rPr>
          <w:rFonts w:hint="eastAsia"/>
          <w:b w:val="0"/>
          <w:bCs/>
          <w:kern w:val="0"/>
          <w:sz w:val="24"/>
          <w:u w:val="single"/>
        </w:rPr>
        <w:t>m，出现超大气毒性终点浓度-2 的最远距离为</w:t>
      </w:r>
      <w:r>
        <w:rPr>
          <w:rFonts w:hint="eastAsia"/>
          <w:b w:val="0"/>
          <w:bCs/>
          <w:kern w:val="0"/>
          <w:sz w:val="24"/>
          <w:u w:val="single"/>
          <w:lang w:val="en-US" w:eastAsia="zh-CN"/>
        </w:rPr>
        <w:t>1150</w:t>
      </w:r>
      <w:r>
        <w:rPr>
          <w:rFonts w:hint="eastAsia"/>
          <w:b w:val="0"/>
          <w:bCs/>
          <w:kern w:val="0"/>
          <w:sz w:val="24"/>
          <w:u w:val="single"/>
        </w:rPr>
        <w:t>m，此情境下，最大影响区域范围内无环境风险敏感点。</w:t>
      </w:r>
    </w:p>
    <w:p w14:paraId="224B7B10">
      <w:pPr>
        <w:keepNext/>
        <w:keepLines/>
        <w:widowControl/>
        <w:numPr>
          <w:ilvl w:val="0"/>
          <w:numId w:val="19"/>
        </w:numPr>
        <w:spacing w:before="126" w:after="126" w:line="500" w:lineRule="exact"/>
        <w:jc w:val="left"/>
        <w:outlineLvl w:val="2"/>
        <w:rPr>
          <w:b/>
          <w:bCs/>
          <w:kern w:val="0"/>
          <w:sz w:val="24"/>
        </w:rPr>
      </w:pPr>
      <w:bookmarkStart w:id="73" w:name="_Toc10435"/>
      <w:bookmarkStart w:id="74" w:name="_Toc144992677"/>
      <w:r>
        <w:rPr>
          <w:b/>
          <w:bCs/>
          <w:kern w:val="0"/>
          <w:sz w:val="24"/>
        </w:rPr>
        <w:t>对地表水的风险影响分析</w:t>
      </w:r>
      <w:bookmarkEnd w:id="73"/>
      <w:bookmarkEnd w:id="74"/>
    </w:p>
    <w:p w14:paraId="37BDC228">
      <w:pPr>
        <w:widowControl/>
        <w:spacing w:line="500" w:lineRule="exact"/>
        <w:ind w:firstLine="480" w:firstLineChars="200"/>
        <w:rPr>
          <w:rFonts w:hint="eastAsia"/>
          <w:kern w:val="0"/>
          <w:sz w:val="24"/>
        </w:rPr>
      </w:pPr>
      <w:r>
        <w:rPr>
          <w:rFonts w:hint="eastAsia"/>
          <w:kern w:val="0"/>
          <w:sz w:val="24"/>
        </w:rPr>
        <w:t>1、厂内事故废水排放风险影响分析</w:t>
      </w:r>
    </w:p>
    <w:p w14:paraId="16A937E3">
      <w:pPr>
        <w:widowControl/>
        <w:spacing w:line="500" w:lineRule="exact"/>
        <w:ind w:firstLine="480" w:firstLineChars="200"/>
        <w:rPr>
          <w:rFonts w:hint="eastAsia"/>
          <w:kern w:val="0"/>
          <w:sz w:val="24"/>
        </w:rPr>
      </w:pPr>
      <w:r>
        <w:rPr>
          <w:rFonts w:hint="eastAsia"/>
          <w:kern w:val="0"/>
          <w:sz w:val="24"/>
        </w:rPr>
        <w:t>在发生风险事故的情况下，事故废水主要指初期雨水和消防废水。由于设备的跑冒滴漏等原因，生产区及储罐区地面上不可避免的含有物料，遇雨时会将随雨水通过雨水管线收集至围堰、初期雨水池，溢出部分收集能通过自流进入事故池；另一方面，在设计中消防废水是通过雨水管线进行收集，在发生爆炸火灾事故的时候，生产装置及储罐区的物料极有可能进入消防水中，并随消防水进入围堰或厂区管网，最终自流进入事故池。因此厂区发生风险事故时，能通过三级防控措施将事故废液、废水控制在厂内。</w:t>
      </w:r>
    </w:p>
    <w:p w14:paraId="00F12CE8">
      <w:pPr>
        <w:widowControl/>
        <w:spacing w:line="500" w:lineRule="exact"/>
        <w:ind w:firstLine="480" w:firstLineChars="200"/>
        <w:rPr>
          <w:rFonts w:hint="eastAsia"/>
          <w:kern w:val="0"/>
          <w:sz w:val="24"/>
        </w:rPr>
      </w:pPr>
      <w:r>
        <w:rPr>
          <w:rFonts w:hint="eastAsia"/>
          <w:kern w:val="0"/>
          <w:sz w:val="24"/>
        </w:rPr>
        <w:t>企业生产过程中产生事故废水主要有以下几种情况：</w:t>
      </w:r>
    </w:p>
    <w:p w14:paraId="0010FECC">
      <w:pPr>
        <w:widowControl/>
        <w:spacing w:line="500" w:lineRule="exact"/>
        <w:ind w:firstLine="480" w:firstLineChars="200"/>
        <w:rPr>
          <w:rFonts w:hint="eastAsia"/>
          <w:kern w:val="0"/>
          <w:sz w:val="24"/>
        </w:rPr>
      </w:pPr>
      <w:r>
        <w:rPr>
          <w:rFonts w:hint="eastAsia"/>
          <w:kern w:val="0"/>
          <w:sz w:val="24"/>
        </w:rPr>
        <w:t>① 当生产不正常造成工艺物料泄漏、生产污水排放量或者排放浓度大幅度增加超过了污水处理装置的承载负荷时；</w:t>
      </w:r>
    </w:p>
    <w:p w14:paraId="72CF5E2B">
      <w:pPr>
        <w:widowControl/>
        <w:spacing w:line="500" w:lineRule="exact"/>
        <w:ind w:firstLine="480" w:firstLineChars="200"/>
        <w:rPr>
          <w:rFonts w:hint="eastAsia"/>
          <w:kern w:val="0"/>
          <w:sz w:val="24"/>
        </w:rPr>
      </w:pPr>
      <w:r>
        <w:rPr>
          <w:rFonts w:hint="eastAsia"/>
          <w:kern w:val="0"/>
          <w:sz w:val="24"/>
        </w:rPr>
        <w:t>② 由于污水处理装置运行不正常、出水水质不能满足排放标准要求时；</w:t>
      </w:r>
    </w:p>
    <w:p w14:paraId="6859CB56">
      <w:pPr>
        <w:widowControl/>
        <w:spacing w:line="500" w:lineRule="exact"/>
        <w:ind w:firstLine="480" w:firstLineChars="200"/>
        <w:rPr>
          <w:rFonts w:hint="eastAsia"/>
          <w:kern w:val="0"/>
          <w:sz w:val="24"/>
        </w:rPr>
      </w:pPr>
      <w:r>
        <w:rPr>
          <w:rFonts w:hint="eastAsia"/>
          <w:kern w:val="0"/>
          <w:sz w:val="24"/>
        </w:rPr>
        <w:t>③ 发生火灾时污染区域内产生了大量消防废水；</w:t>
      </w:r>
    </w:p>
    <w:p w14:paraId="1744AE41">
      <w:pPr>
        <w:widowControl/>
        <w:spacing w:line="500" w:lineRule="exact"/>
        <w:ind w:firstLine="480" w:firstLineChars="200"/>
        <w:rPr>
          <w:rFonts w:hint="eastAsia"/>
          <w:kern w:val="0"/>
          <w:sz w:val="24"/>
        </w:rPr>
      </w:pPr>
      <w:r>
        <w:rPr>
          <w:rFonts w:hint="eastAsia"/>
          <w:kern w:val="0"/>
          <w:sz w:val="24"/>
        </w:rPr>
        <w:t>④ 污染区域内产生的初期污染雨水等。因此在厂区内设置事故废水系统用于收集事故中的工艺物料泄漏、消防废水以及可能被污染的雨水等。</w:t>
      </w:r>
    </w:p>
    <w:p w14:paraId="73141793">
      <w:pPr>
        <w:widowControl/>
        <w:spacing w:line="500" w:lineRule="exact"/>
        <w:ind w:firstLine="480" w:firstLineChars="200"/>
        <w:rPr>
          <w:rFonts w:hint="eastAsia"/>
          <w:kern w:val="0"/>
          <w:sz w:val="24"/>
        </w:rPr>
      </w:pPr>
      <w:r>
        <w:rPr>
          <w:rFonts w:hint="eastAsia"/>
          <w:kern w:val="0"/>
          <w:sz w:val="24"/>
        </w:rPr>
        <w:t>企业生产过程中产生事故废水主要有以下几种情况：</w:t>
      </w:r>
    </w:p>
    <w:p w14:paraId="7C282290">
      <w:pPr>
        <w:widowControl/>
        <w:spacing w:line="500" w:lineRule="exact"/>
        <w:ind w:firstLine="480" w:firstLineChars="200"/>
        <w:rPr>
          <w:rFonts w:hint="eastAsia"/>
          <w:kern w:val="0"/>
          <w:sz w:val="24"/>
        </w:rPr>
      </w:pPr>
      <w:r>
        <w:rPr>
          <w:rFonts w:hint="eastAsia"/>
          <w:kern w:val="0"/>
          <w:sz w:val="24"/>
        </w:rPr>
        <w:t>① 当生产不正常造成工艺物料泄漏、生产污水排放量或者排放浓度大幅度增加超过了污水处理装置的承载负荷时；</w:t>
      </w:r>
    </w:p>
    <w:p w14:paraId="7A2B5F6D">
      <w:pPr>
        <w:widowControl/>
        <w:spacing w:line="500" w:lineRule="exact"/>
        <w:ind w:firstLine="480" w:firstLineChars="200"/>
        <w:rPr>
          <w:rFonts w:hint="eastAsia"/>
          <w:kern w:val="0"/>
          <w:sz w:val="24"/>
        </w:rPr>
      </w:pPr>
      <w:r>
        <w:rPr>
          <w:rFonts w:hint="eastAsia"/>
          <w:kern w:val="0"/>
          <w:sz w:val="24"/>
        </w:rPr>
        <w:t>② 由于污水处理装置运行不正常、出水水质不能满足排放标准要求时；</w:t>
      </w:r>
    </w:p>
    <w:p w14:paraId="3B159E0B">
      <w:pPr>
        <w:widowControl/>
        <w:spacing w:line="500" w:lineRule="exact"/>
        <w:ind w:firstLine="480" w:firstLineChars="200"/>
        <w:rPr>
          <w:rFonts w:hint="eastAsia"/>
          <w:kern w:val="0"/>
          <w:sz w:val="24"/>
        </w:rPr>
      </w:pPr>
      <w:r>
        <w:rPr>
          <w:rFonts w:hint="eastAsia"/>
          <w:kern w:val="0"/>
          <w:sz w:val="24"/>
        </w:rPr>
        <w:t>③ 发生火灾时污染区域内产生了大量消防废水；</w:t>
      </w:r>
    </w:p>
    <w:p w14:paraId="1A7D80A9">
      <w:pPr>
        <w:widowControl/>
        <w:spacing w:line="500" w:lineRule="exact"/>
        <w:ind w:firstLine="480" w:firstLineChars="200"/>
        <w:rPr>
          <w:rFonts w:hint="eastAsia"/>
          <w:kern w:val="0"/>
          <w:sz w:val="24"/>
        </w:rPr>
      </w:pPr>
      <w:r>
        <w:rPr>
          <w:rFonts w:hint="eastAsia"/>
          <w:kern w:val="0"/>
          <w:sz w:val="24"/>
        </w:rPr>
        <w:t>④ 污染区域内产生的初期污染雨水等。因此在厂区内设置事故废水系统用于收集事故中的工艺物料泄漏、消防废水以及可能被污染的雨水等。</w:t>
      </w:r>
    </w:p>
    <w:p w14:paraId="443B98F2">
      <w:pPr>
        <w:widowControl/>
        <w:spacing w:line="500" w:lineRule="exact"/>
        <w:ind w:firstLine="480" w:firstLineChars="200"/>
        <w:rPr>
          <w:rFonts w:hint="eastAsia"/>
          <w:kern w:val="0"/>
          <w:sz w:val="24"/>
        </w:rPr>
      </w:pPr>
      <w:r>
        <w:rPr>
          <w:rFonts w:hint="eastAsia"/>
          <w:kern w:val="0"/>
          <w:sz w:val="24"/>
        </w:rPr>
        <w:t>⑴ 事故污水收集系统设置</w:t>
      </w:r>
    </w:p>
    <w:p w14:paraId="30C5A0AE">
      <w:pPr>
        <w:widowControl/>
        <w:spacing w:line="500" w:lineRule="exact"/>
        <w:ind w:firstLine="480" w:firstLineChars="200"/>
        <w:rPr>
          <w:rFonts w:hint="eastAsia"/>
          <w:kern w:val="0"/>
          <w:sz w:val="24"/>
        </w:rPr>
      </w:pPr>
      <w:r>
        <w:rPr>
          <w:rFonts w:hint="eastAsia"/>
          <w:kern w:val="0"/>
          <w:sz w:val="24"/>
        </w:rPr>
        <w:t>为了阻断事故泄漏液和消防水进入环境，立足工程配套设施，采取“收→调→输→储→处理”事故泄漏和事故消防水，设置“三级防控措施”防范事故泄漏液和消防污水进入外环境和海域水环境。</w:t>
      </w:r>
    </w:p>
    <w:p w14:paraId="63728508">
      <w:pPr>
        <w:widowControl/>
        <w:spacing w:line="500" w:lineRule="exact"/>
        <w:ind w:firstLine="480" w:firstLineChars="200"/>
        <w:rPr>
          <w:rFonts w:hint="eastAsia"/>
          <w:kern w:val="0"/>
          <w:sz w:val="24"/>
        </w:rPr>
      </w:pPr>
      <w:r>
        <w:rPr>
          <w:rFonts w:hint="eastAsia"/>
          <w:kern w:val="0"/>
          <w:sz w:val="24"/>
        </w:rPr>
        <w:t>⑵ 事故废水储存能力核算分析</w:t>
      </w:r>
    </w:p>
    <w:p w14:paraId="4A2B7BED">
      <w:pPr>
        <w:widowControl/>
        <w:spacing w:line="500" w:lineRule="exact"/>
        <w:ind w:firstLine="480" w:firstLineChars="200"/>
        <w:rPr>
          <w:rFonts w:hint="eastAsia"/>
          <w:kern w:val="0"/>
          <w:sz w:val="24"/>
        </w:rPr>
      </w:pPr>
      <w:r>
        <w:rPr>
          <w:rFonts w:hint="eastAsia"/>
          <w:kern w:val="0"/>
          <w:sz w:val="24"/>
        </w:rPr>
        <w:t>事故应急池参考《化工建设项目环境保护设计规范》（GB50483-2009）中的相关规定设置。事故应急池主要用于区内发生事故或火灾时，控制、收集和存放污染事故水（包括污染雨水及污染消防水）。污染事故水及污染消防水通过雨水的管道收集。</w:t>
      </w:r>
    </w:p>
    <w:p w14:paraId="52C8A65D">
      <w:pPr>
        <w:widowControl/>
        <w:spacing w:line="500" w:lineRule="exact"/>
        <w:ind w:firstLine="480" w:firstLineChars="200"/>
        <w:rPr>
          <w:rFonts w:hint="eastAsia"/>
          <w:kern w:val="0"/>
          <w:sz w:val="24"/>
        </w:rPr>
      </w:pPr>
      <w:r>
        <w:rPr>
          <w:rFonts w:hint="eastAsia"/>
          <w:kern w:val="0"/>
          <w:sz w:val="24"/>
        </w:rPr>
        <w:t>项目厂区事故废水收集系统，极端情况下事故污水量通过下式计算：</w:t>
      </w:r>
    </w:p>
    <w:p w14:paraId="7636028D">
      <w:pPr>
        <w:widowControl/>
        <w:spacing w:line="500" w:lineRule="exact"/>
        <w:ind w:firstLine="480" w:firstLineChars="200"/>
        <w:rPr>
          <w:rFonts w:hint="eastAsia"/>
          <w:kern w:val="0"/>
          <w:sz w:val="24"/>
        </w:rPr>
      </w:pPr>
      <w:r>
        <w:rPr>
          <w:rFonts w:hint="eastAsia"/>
          <w:kern w:val="0"/>
          <w:sz w:val="24"/>
        </w:rPr>
        <w:t>V 事故池=（V1+V2-V3）max+V4+V5</w:t>
      </w:r>
    </w:p>
    <w:p w14:paraId="1B05524F">
      <w:pPr>
        <w:widowControl/>
        <w:spacing w:line="500" w:lineRule="exact"/>
        <w:ind w:firstLine="480" w:firstLineChars="200"/>
        <w:rPr>
          <w:rFonts w:hint="default" w:eastAsia="宋体"/>
          <w:kern w:val="0"/>
          <w:sz w:val="24"/>
          <w:lang w:val="en-US" w:eastAsia="zh-CN"/>
        </w:rPr>
      </w:pPr>
      <w:r>
        <w:rPr>
          <w:rFonts w:hint="eastAsia"/>
          <w:kern w:val="0"/>
          <w:sz w:val="24"/>
        </w:rPr>
        <w:t>① V1——收集系统范围内发生事故的一个罐组或一套装置的物料量（储存相同物料的罐组按一个最大储罐计，装置物料量按残留最大物料量的一台反应器或中间储罐计）</w:t>
      </w:r>
      <w:r>
        <w:rPr>
          <w:rFonts w:hint="eastAsia"/>
          <w:kern w:val="0"/>
          <w:sz w:val="24"/>
          <w:lang w:val="en-US" w:eastAsia="zh-CN"/>
        </w:rPr>
        <w:t>。</w:t>
      </w:r>
    </w:p>
    <w:p w14:paraId="41B1F78A">
      <w:pPr>
        <w:widowControl/>
        <w:spacing w:line="500" w:lineRule="exact"/>
        <w:ind w:firstLine="480" w:firstLineChars="200"/>
        <w:rPr>
          <w:rFonts w:hint="eastAsia"/>
          <w:kern w:val="0"/>
          <w:sz w:val="24"/>
        </w:rPr>
      </w:pPr>
      <w:r>
        <w:rPr>
          <w:rFonts w:hint="eastAsia"/>
          <w:kern w:val="0"/>
          <w:sz w:val="24"/>
        </w:rPr>
        <w:t xml:space="preserve">② 发生事故的储罐或装置的消防水量； </w:t>
      </w:r>
    </w:p>
    <w:p w14:paraId="57DB24ED">
      <w:pPr>
        <w:widowControl/>
        <w:spacing w:line="500" w:lineRule="exact"/>
        <w:ind w:firstLine="480" w:firstLineChars="200"/>
        <w:rPr>
          <w:rFonts w:hint="eastAsia"/>
          <w:kern w:val="0"/>
          <w:sz w:val="24"/>
        </w:rPr>
      </w:pPr>
      <w:r>
        <w:rPr>
          <w:rFonts w:hint="eastAsia"/>
          <w:kern w:val="0"/>
          <w:sz w:val="24"/>
        </w:rPr>
        <w:t>③ 可以转移的物料量 V3；</w:t>
      </w:r>
    </w:p>
    <w:p w14:paraId="3F2BCD0E">
      <w:pPr>
        <w:widowControl/>
        <w:spacing w:line="500" w:lineRule="exact"/>
        <w:ind w:firstLine="480" w:firstLineChars="200"/>
        <w:rPr>
          <w:rFonts w:hint="eastAsia"/>
          <w:kern w:val="0"/>
          <w:sz w:val="24"/>
        </w:rPr>
      </w:pPr>
      <w:r>
        <w:rPr>
          <w:rFonts w:hint="eastAsia"/>
          <w:kern w:val="0"/>
          <w:sz w:val="24"/>
        </w:rPr>
        <w:t>④ 发生事故时仍必须进入该收集系统的生产废水量 V4：</w:t>
      </w:r>
    </w:p>
    <w:p w14:paraId="65E18C35">
      <w:pPr>
        <w:widowControl/>
        <w:spacing w:line="500" w:lineRule="exact"/>
        <w:ind w:firstLine="480" w:firstLineChars="200"/>
        <w:rPr>
          <w:rFonts w:hint="eastAsia"/>
          <w:kern w:val="0"/>
          <w:sz w:val="24"/>
        </w:rPr>
      </w:pPr>
      <w:r>
        <w:rPr>
          <w:rFonts w:hint="eastAsia"/>
          <w:kern w:val="0"/>
          <w:sz w:val="24"/>
        </w:rPr>
        <w:t>⑤ 发生事故时降雨量 V5；</w:t>
      </w:r>
    </w:p>
    <w:p w14:paraId="303C21D1">
      <w:pPr>
        <w:widowControl/>
        <w:spacing w:line="500" w:lineRule="exact"/>
        <w:ind w:firstLine="480" w:firstLineChars="200"/>
        <w:rPr>
          <w:rFonts w:hint="eastAsia"/>
          <w:kern w:val="0"/>
          <w:sz w:val="24"/>
        </w:rPr>
      </w:pPr>
      <w:r>
        <w:rPr>
          <w:rFonts w:hint="eastAsia"/>
          <w:kern w:val="0"/>
          <w:sz w:val="24"/>
        </w:rPr>
        <w:t>项目无新增消防水量，项目依托现有18000m</w:t>
      </w:r>
      <w:r>
        <w:rPr>
          <w:rFonts w:hint="eastAsia"/>
          <w:kern w:val="0"/>
          <w:sz w:val="24"/>
          <w:vertAlign w:val="superscript"/>
        </w:rPr>
        <w:t>3</w:t>
      </w:r>
      <w:r>
        <w:rPr>
          <w:rFonts w:hint="eastAsia"/>
          <w:kern w:val="0"/>
          <w:sz w:val="24"/>
        </w:rPr>
        <w:t>的事故应急池</w:t>
      </w:r>
      <w:r>
        <w:rPr>
          <w:rFonts w:hint="eastAsia"/>
          <w:kern w:val="0"/>
          <w:sz w:val="24"/>
          <w:lang w:eastAsia="zh-CN"/>
        </w:rPr>
        <w:t>，</w:t>
      </w:r>
      <w:r>
        <w:rPr>
          <w:rFonts w:hint="eastAsia"/>
          <w:kern w:val="0"/>
          <w:sz w:val="24"/>
          <w:lang w:val="en-US" w:eastAsia="zh-CN"/>
        </w:rPr>
        <w:t>事故应急池远远大于本项目储罐物料量及消防水量，</w:t>
      </w:r>
      <w:r>
        <w:rPr>
          <w:rFonts w:hint="eastAsia"/>
          <w:kern w:val="0"/>
          <w:sz w:val="24"/>
        </w:rPr>
        <w:t>可满足要求。</w:t>
      </w:r>
    </w:p>
    <w:p w14:paraId="0D2FDF70">
      <w:pPr>
        <w:widowControl/>
        <w:spacing w:line="500" w:lineRule="exact"/>
        <w:ind w:firstLine="480" w:firstLineChars="200"/>
        <w:rPr>
          <w:rFonts w:hint="eastAsia"/>
          <w:kern w:val="0"/>
          <w:sz w:val="24"/>
        </w:rPr>
      </w:pPr>
      <w:r>
        <w:rPr>
          <w:rFonts w:hint="eastAsia"/>
          <w:kern w:val="0"/>
          <w:sz w:val="24"/>
        </w:rPr>
        <w:t>⑶ 事故水污染环境风险分析</w:t>
      </w:r>
    </w:p>
    <w:p w14:paraId="2221D0C5">
      <w:pPr>
        <w:widowControl/>
        <w:spacing w:line="500" w:lineRule="exact"/>
        <w:ind w:firstLine="480" w:firstLineChars="200"/>
        <w:rPr>
          <w:rFonts w:hint="eastAsia"/>
          <w:kern w:val="0"/>
          <w:sz w:val="24"/>
        </w:rPr>
      </w:pPr>
      <w:r>
        <w:rPr>
          <w:rFonts w:hint="eastAsia"/>
          <w:kern w:val="0"/>
          <w:sz w:val="24"/>
        </w:rPr>
        <w:t>事故状态下废水厂内三级防控暂存。携带物料的消防水收集后送入事故池，通过调节和切换，分批（限流）送入排入天宜公司污水处理厂一期工程进行处理，最终经由其生产废水处理单元处理达标后深海排放。罐区设置有围堰，每个独立单元设置初期雨水池，雨水管网排放口设置切换阀，均作为储存事故废水与调控手段，可确保发生较大或重大事故时泄漏物料和污染消防水控制在厂区，罐区的围堰、事故水池等必须进行防渗处理，经采取上述措施后，事故状态下产生的废水对周围环境的影响较小。</w:t>
      </w:r>
    </w:p>
    <w:p w14:paraId="468A00F3">
      <w:pPr>
        <w:keepNext/>
        <w:keepLines/>
        <w:widowControl/>
        <w:numPr>
          <w:ilvl w:val="0"/>
          <w:numId w:val="19"/>
        </w:numPr>
        <w:spacing w:before="126" w:after="126" w:line="500" w:lineRule="exact"/>
        <w:jc w:val="left"/>
        <w:outlineLvl w:val="2"/>
        <w:rPr>
          <w:b/>
          <w:bCs/>
          <w:kern w:val="0"/>
          <w:sz w:val="24"/>
        </w:rPr>
      </w:pPr>
      <w:bookmarkStart w:id="75" w:name="_Toc27325"/>
      <w:r>
        <w:rPr>
          <w:rFonts w:hint="eastAsia"/>
          <w:b/>
          <w:bCs/>
          <w:kern w:val="0"/>
          <w:sz w:val="24"/>
        </w:rPr>
        <w:t>对地下水的风险影响分析</w:t>
      </w:r>
      <w:bookmarkEnd w:id="75"/>
    </w:p>
    <w:p w14:paraId="0D742A70">
      <w:pPr>
        <w:widowControl/>
        <w:spacing w:line="500" w:lineRule="exact"/>
        <w:ind w:firstLine="480" w:firstLineChars="200"/>
        <w:rPr>
          <w:rFonts w:hint="default" w:eastAsia="宋体"/>
          <w:kern w:val="0"/>
          <w:sz w:val="24"/>
          <w:lang w:val="en-US" w:eastAsia="zh-CN"/>
        </w:rPr>
      </w:pPr>
      <w:r>
        <w:rPr>
          <w:rFonts w:hint="eastAsia"/>
          <w:kern w:val="0"/>
          <w:sz w:val="24"/>
          <w:lang w:val="en-US" w:eastAsia="zh-CN"/>
        </w:rPr>
        <w:t>本项目废液罐、丙酸缓冲罐最大贮存量约为42.5m</w:t>
      </w:r>
      <w:r>
        <w:rPr>
          <w:rFonts w:hint="eastAsia"/>
          <w:kern w:val="0"/>
          <w:sz w:val="24"/>
          <w:vertAlign w:val="superscript"/>
          <w:lang w:val="en-US" w:eastAsia="zh-CN"/>
        </w:rPr>
        <w:t>3</w:t>
      </w:r>
      <w:r>
        <w:rPr>
          <w:rFonts w:hint="eastAsia"/>
          <w:kern w:val="0"/>
          <w:sz w:val="24"/>
          <w:lang w:val="en-US" w:eastAsia="zh-CN"/>
        </w:rPr>
        <w:t>，储罐均设有一个17.4m×10.95m×1.1m的围堰，围堰容积约210m</w:t>
      </w:r>
      <w:r>
        <w:rPr>
          <w:rFonts w:hint="eastAsia"/>
          <w:kern w:val="0"/>
          <w:sz w:val="24"/>
          <w:vertAlign w:val="superscript"/>
          <w:lang w:val="en-US" w:eastAsia="zh-CN"/>
        </w:rPr>
        <w:t>3</w:t>
      </w:r>
      <w:r>
        <w:rPr>
          <w:rFonts w:hint="eastAsia"/>
          <w:kern w:val="0"/>
          <w:sz w:val="24"/>
          <w:lang w:val="en-US" w:eastAsia="zh-CN"/>
        </w:rPr>
        <w:t>，可以满足储罐泄漏丙酸、废液暂时暂存需求；罐区、装置区均做围堰和防渗措施，</w:t>
      </w:r>
      <w:r>
        <w:rPr>
          <w:rFonts w:hint="eastAsia"/>
          <w:kern w:val="0"/>
          <w:sz w:val="24"/>
        </w:rPr>
        <w:t>正常生产运营状况或轻微火灾事故状态下</w:t>
      </w:r>
      <w:r>
        <w:rPr>
          <w:rFonts w:hint="eastAsia"/>
          <w:kern w:val="0"/>
          <w:sz w:val="24"/>
          <w:lang w:eastAsia="zh-CN"/>
        </w:rPr>
        <w:t>，</w:t>
      </w:r>
      <w:r>
        <w:rPr>
          <w:rFonts w:hint="eastAsia"/>
          <w:kern w:val="0"/>
          <w:sz w:val="24"/>
          <w:lang w:val="en-US" w:eastAsia="zh-CN"/>
        </w:rPr>
        <w:t>装置、储罐等发生泄漏，各类风险物质、污废水得到了有效收集处理，</w:t>
      </w:r>
      <w:r>
        <w:rPr>
          <w:rFonts w:hint="eastAsia"/>
          <w:kern w:val="0"/>
          <w:sz w:val="24"/>
        </w:rPr>
        <w:t>不轻易下渗污染到土壤及地下水</w:t>
      </w:r>
      <w:r>
        <w:rPr>
          <w:rFonts w:hint="eastAsia"/>
          <w:kern w:val="0"/>
          <w:sz w:val="24"/>
          <w:lang w:eastAsia="zh-CN"/>
        </w:rPr>
        <w:t>，</w:t>
      </w:r>
      <w:r>
        <w:rPr>
          <w:rFonts w:hint="eastAsia"/>
          <w:kern w:val="0"/>
          <w:sz w:val="24"/>
          <w:lang w:val="en-US" w:eastAsia="zh-CN"/>
        </w:rPr>
        <w:t>对地下水环境影响不大。</w:t>
      </w:r>
    </w:p>
    <w:p w14:paraId="0B315FE9">
      <w:pPr>
        <w:keepNext/>
        <w:keepLines/>
        <w:widowControl/>
        <w:numPr>
          <w:ilvl w:val="0"/>
          <w:numId w:val="19"/>
        </w:numPr>
        <w:spacing w:before="126" w:after="126" w:line="500" w:lineRule="exact"/>
        <w:jc w:val="left"/>
        <w:outlineLvl w:val="2"/>
        <w:rPr>
          <w:rFonts w:hint="eastAsia"/>
          <w:kern w:val="0"/>
          <w:sz w:val="24"/>
        </w:rPr>
      </w:pPr>
      <w:bookmarkStart w:id="76" w:name="_Toc5539"/>
      <w:r>
        <w:rPr>
          <w:rFonts w:hint="eastAsia"/>
          <w:b/>
          <w:bCs/>
          <w:kern w:val="0"/>
          <w:sz w:val="24"/>
        </w:rPr>
        <w:t>土壤环境风险影响分析</w:t>
      </w:r>
      <w:bookmarkEnd w:id="76"/>
    </w:p>
    <w:p w14:paraId="66879C6C">
      <w:pPr>
        <w:autoSpaceDE w:val="0"/>
        <w:autoSpaceDN w:val="0"/>
        <w:spacing w:line="500" w:lineRule="exact"/>
        <w:ind w:left="116" w:right="395" w:firstLine="480"/>
        <w:rPr>
          <w:rFonts w:hint="eastAsia" w:eastAsia="宋体"/>
          <w:spacing w:val="-6"/>
          <w:sz w:val="24"/>
          <w:szCs w:val="24"/>
        </w:rPr>
      </w:pPr>
      <w:r>
        <w:rPr>
          <w:rFonts w:hint="eastAsia" w:eastAsia="宋体"/>
          <w:spacing w:val="-6"/>
          <w:sz w:val="24"/>
          <w:szCs w:val="24"/>
        </w:rPr>
        <w:t>项目发生泄漏事故时，泄漏的物料一旦进入土壤可能对周围土壤造成污染，影响土壤中的微生物生存，造成土壤的盐碱化，破坏土壤的结构，增加土壤中石油类污染物，对土壤环境造成局部斑块状的影响。</w:t>
      </w:r>
    </w:p>
    <w:p w14:paraId="1207E18B">
      <w:pPr>
        <w:autoSpaceDE w:val="0"/>
        <w:autoSpaceDN w:val="0"/>
        <w:spacing w:line="500" w:lineRule="exact"/>
        <w:ind w:left="116" w:right="395" w:firstLine="480"/>
        <w:rPr>
          <w:rFonts w:hint="eastAsia" w:eastAsia="宋体"/>
          <w:spacing w:val="-6"/>
          <w:sz w:val="24"/>
          <w:szCs w:val="24"/>
        </w:rPr>
      </w:pPr>
      <w:r>
        <w:rPr>
          <w:rFonts w:hint="eastAsia" w:eastAsia="宋体"/>
          <w:spacing w:val="-6"/>
          <w:sz w:val="24"/>
          <w:szCs w:val="24"/>
        </w:rPr>
        <w:t>但是，考虑到一旦大量危险化学品泄漏能够及时发现，因此在发生风险事故时也能够及时有效地对泄漏物质进行处置，减少其在地面停留的时间，从而降低物料渗入土壤的风险。</w:t>
      </w:r>
    </w:p>
    <w:p w14:paraId="29C9B1DA">
      <w:pPr>
        <w:autoSpaceDE w:val="0"/>
        <w:autoSpaceDN w:val="0"/>
        <w:spacing w:line="500" w:lineRule="exact"/>
        <w:ind w:left="116" w:right="395" w:firstLine="480"/>
        <w:rPr>
          <w:rFonts w:hint="eastAsia" w:eastAsia="宋体"/>
          <w:spacing w:val="-6"/>
          <w:sz w:val="24"/>
          <w:szCs w:val="24"/>
        </w:rPr>
      </w:pPr>
      <w:r>
        <w:rPr>
          <w:rFonts w:hint="eastAsia" w:eastAsia="宋体"/>
          <w:spacing w:val="-6"/>
          <w:sz w:val="24"/>
          <w:szCs w:val="24"/>
        </w:rPr>
        <w:t>项目厂界内除了绿化用地以外，其他全部都是混凝土路面，基本没有直接裸露的土壤存在，因此，本工程发生物料泄漏时对厂界内的土壤影响有限，事故后及时控制基本不会对厂界内的土壤造成严重污染。</w:t>
      </w:r>
    </w:p>
    <w:p w14:paraId="601F2694">
      <w:pPr>
        <w:autoSpaceDE w:val="0"/>
        <w:autoSpaceDN w:val="0"/>
        <w:spacing w:line="500" w:lineRule="exact"/>
        <w:ind w:left="116" w:right="395" w:firstLine="480"/>
        <w:rPr>
          <w:rFonts w:hint="eastAsia" w:eastAsia="宋体"/>
          <w:spacing w:val="-6"/>
          <w:sz w:val="24"/>
          <w:szCs w:val="24"/>
        </w:rPr>
      </w:pPr>
      <w:r>
        <w:rPr>
          <w:rFonts w:hint="eastAsia" w:eastAsia="宋体"/>
          <w:spacing w:val="-6"/>
          <w:sz w:val="24"/>
          <w:szCs w:val="24"/>
        </w:rPr>
        <w:t>项目事故泄漏物料对厂区外部的土壤污染较低，其对土壤的污染主要是由泄漏到大气环境中的事故污染物沉降到土壤中引起的。但是项目事故泄漏污染物总量不高，</w:t>
      </w:r>
      <w:r>
        <w:rPr>
          <w:rFonts w:hint="eastAsia"/>
          <w:spacing w:val="-6"/>
          <w:sz w:val="24"/>
          <w:szCs w:val="24"/>
          <w:lang w:eastAsia="zh-CN"/>
        </w:rPr>
        <w:t>而且</w:t>
      </w:r>
      <w:r>
        <w:rPr>
          <w:rFonts w:hint="eastAsia" w:eastAsia="宋体"/>
          <w:spacing w:val="-6"/>
          <w:sz w:val="24"/>
          <w:szCs w:val="24"/>
        </w:rPr>
        <w:t>属于短期事故，通过大气沉降对厂界外土壤造成污染的可能性很小。</w:t>
      </w:r>
    </w:p>
    <w:p w14:paraId="2426A576">
      <w:pPr>
        <w:widowControl/>
        <w:spacing w:line="500" w:lineRule="exact"/>
        <w:ind w:firstLine="456" w:firstLineChars="200"/>
        <w:rPr>
          <w:rFonts w:hint="eastAsia"/>
          <w:kern w:val="0"/>
          <w:sz w:val="24"/>
        </w:rPr>
      </w:pPr>
      <w:r>
        <w:rPr>
          <w:rFonts w:hint="eastAsia" w:eastAsia="宋体"/>
          <w:spacing w:val="-6"/>
          <w:sz w:val="24"/>
          <w:szCs w:val="24"/>
        </w:rPr>
        <w:t>因此，在发生物料事故泄漏时对厂区内外的土壤都不会造成明显的影响</w:t>
      </w:r>
    </w:p>
    <w:p w14:paraId="2879E829">
      <w:pPr>
        <w:keepNext/>
        <w:keepLines/>
        <w:widowControl/>
        <w:numPr>
          <w:ilvl w:val="0"/>
          <w:numId w:val="19"/>
        </w:numPr>
        <w:spacing w:before="126" w:after="126" w:line="500" w:lineRule="exact"/>
        <w:jc w:val="left"/>
        <w:outlineLvl w:val="2"/>
        <w:rPr>
          <w:rFonts w:hint="eastAsia"/>
          <w:kern w:val="0"/>
          <w:sz w:val="24"/>
        </w:rPr>
      </w:pPr>
      <w:bookmarkStart w:id="77" w:name="_Toc5411"/>
      <w:r>
        <w:rPr>
          <w:rFonts w:hint="eastAsia"/>
          <w:b/>
          <w:bCs/>
          <w:kern w:val="0"/>
          <w:sz w:val="24"/>
        </w:rPr>
        <w:t>事故次生/伴生污染影响分析</w:t>
      </w:r>
      <w:bookmarkEnd w:id="77"/>
    </w:p>
    <w:p w14:paraId="3C34ACA8">
      <w:pPr>
        <w:widowControl/>
        <w:spacing w:line="500" w:lineRule="exact"/>
        <w:ind w:firstLine="480" w:firstLineChars="200"/>
        <w:rPr>
          <w:rFonts w:hint="eastAsia"/>
          <w:kern w:val="0"/>
          <w:sz w:val="24"/>
        </w:rPr>
      </w:pPr>
      <w:r>
        <w:rPr>
          <w:rFonts w:hint="eastAsia"/>
          <w:kern w:val="0"/>
          <w:sz w:val="24"/>
        </w:rPr>
        <w:t>项目各原料、产品，如醋酸、</w:t>
      </w:r>
      <w:r>
        <w:rPr>
          <w:rFonts w:hint="eastAsia"/>
          <w:kern w:val="0"/>
          <w:sz w:val="24"/>
          <w:lang w:val="en-US" w:eastAsia="zh-CN"/>
        </w:rPr>
        <w:t>丙酸</w:t>
      </w:r>
      <w:r>
        <w:rPr>
          <w:rFonts w:hint="eastAsia"/>
          <w:kern w:val="0"/>
          <w:sz w:val="24"/>
        </w:rPr>
        <w:t>等物料的输送管线，均采用架空管道铺设，再接管引入项目生产装置。根据安全设计规范，管线设置了紧急切断装置和管线泄漏实时监控系统， 当管道发生泄漏时，管线两端阀门会紧急切断，将事故环境影响降到最低。</w:t>
      </w:r>
    </w:p>
    <w:p w14:paraId="6B07934E">
      <w:pPr>
        <w:widowControl/>
        <w:spacing w:line="500" w:lineRule="exact"/>
        <w:ind w:firstLine="480" w:firstLineChars="200"/>
        <w:rPr>
          <w:rFonts w:hint="eastAsia"/>
          <w:kern w:val="0"/>
          <w:sz w:val="24"/>
        </w:rPr>
      </w:pPr>
      <w:r>
        <w:rPr>
          <w:rFonts w:hint="eastAsia"/>
          <w:kern w:val="0"/>
          <w:sz w:val="24"/>
        </w:rPr>
        <w:t xml:space="preserve">项目输送管线、各生产工艺装置间的连接管线发生泄漏时，会造成毒性气体释放，对职工及附近居民的身体健康造成损害，另外还会产生消防废水，若处理不当则漫游出厂，对周边地表水体及土壤产生次生污染影响，造成水质、土壤污染事故。 </w:t>
      </w:r>
    </w:p>
    <w:p w14:paraId="5F61E367">
      <w:pPr>
        <w:widowControl/>
        <w:spacing w:line="500" w:lineRule="exact"/>
        <w:ind w:firstLine="480" w:firstLineChars="200"/>
        <w:rPr>
          <w:rFonts w:hint="eastAsia"/>
          <w:kern w:val="0"/>
          <w:sz w:val="24"/>
        </w:rPr>
      </w:pPr>
      <w:r>
        <w:rPr>
          <w:rFonts w:hint="eastAsia"/>
          <w:kern w:val="0"/>
          <w:sz w:val="24"/>
        </w:rPr>
        <w:t>本项目风险物质</w:t>
      </w:r>
      <w:r>
        <w:rPr>
          <w:rFonts w:hint="eastAsia"/>
          <w:kern w:val="0"/>
          <w:sz w:val="24"/>
          <w:lang w:val="en-US" w:eastAsia="zh-CN"/>
        </w:rPr>
        <w:t>醋酸、丙酸等</w:t>
      </w:r>
      <w:r>
        <w:rPr>
          <w:rFonts w:hint="eastAsia"/>
          <w:kern w:val="0"/>
          <w:sz w:val="24"/>
        </w:rPr>
        <w:t>易燃品，一旦发生物料泄漏进入空气中，可能会引起火灾爆炸，救火过程产生的消防污水如没有得到有效控制，可能会进入雨水系统，造成厂区蓄水池的水体污染。同时火灾爆炸后破坏地表覆盖物，会有部分液体物料、受污染消防水进入土壤，甚至污染地下水。火灾、爆炸时产生的 CO 及浓烟对职工及附近居民的身体健康造成损害。</w:t>
      </w:r>
    </w:p>
    <w:p w14:paraId="3D981E28">
      <w:pPr>
        <w:widowControl/>
        <w:spacing w:line="500" w:lineRule="exact"/>
        <w:ind w:firstLine="480" w:firstLineChars="200"/>
        <w:rPr>
          <w:rFonts w:hint="eastAsia"/>
          <w:kern w:val="0"/>
          <w:sz w:val="24"/>
        </w:rPr>
      </w:pPr>
      <w:r>
        <w:rPr>
          <w:rFonts w:hint="eastAsia"/>
          <w:kern w:val="0"/>
          <w:sz w:val="24"/>
        </w:rPr>
        <w:t>因此要求企业严格管理厂区内各危险装置，减少事故发生概率，完善事故处理措施， 确保事故发生时能够快速有效处理。同时事故发生时，应立即向当地消防部门求助，协助消防部门合理有效疏散周边群众，开展事故抢险和救援工作，确保将事故影响控制在厂区内，不对周边环境造成影响。</w:t>
      </w:r>
    </w:p>
    <w:p w14:paraId="7045A47C">
      <w:pPr>
        <w:keepNext/>
        <w:keepLines/>
        <w:widowControl/>
        <w:numPr>
          <w:ilvl w:val="0"/>
          <w:numId w:val="18"/>
        </w:numPr>
        <w:spacing w:before="210" w:after="210" w:line="500" w:lineRule="exact"/>
        <w:jc w:val="left"/>
        <w:outlineLvl w:val="1"/>
        <w:rPr>
          <w:rFonts w:hint="default" w:eastAsia="宋体"/>
          <w:kern w:val="0"/>
          <w:sz w:val="24"/>
          <w:lang w:val="en-US" w:eastAsia="zh-CN"/>
        </w:rPr>
      </w:pPr>
      <w:bookmarkStart w:id="78" w:name="_Toc24061"/>
      <w:bookmarkStart w:id="79" w:name="_Toc30919"/>
      <w:r>
        <w:rPr>
          <w:rFonts w:hint="eastAsia"/>
          <w:b/>
          <w:kern w:val="0"/>
          <w:sz w:val="28"/>
          <w:szCs w:val="20"/>
          <w:lang w:val="en-US" w:eastAsia="zh-CN"/>
        </w:rPr>
        <w:t>风险管理</w:t>
      </w:r>
      <w:bookmarkEnd w:id="78"/>
      <w:bookmarkEnd w:id="79"/>
    </w:p>
    <w:p w14:paraId="58A08339">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1、现有风险管理总体评述</w:t>
      </w:r>
    </w:p>
    <w:p w14:paraId="625AD097">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环境风险管理目标是采用最低合理可行原则管控环境风险。采取的环境风险防范措施应与社会经济技术发展水平相适应，运用科学的技术手段和管理方法，对环境风险进行有效</w:t>
      </w:r>
      <w:r>
        <w:rPr>
          <w:rFonts w:hint="eastAsia"/>
          <w:spacing w:val="-6"/>
          <w:sz w:val="24"/>
          <w:szCs w:val="24"/>
          <w:lang w:eastAsia="zh-CN"/>
        </w:rPr>
        <w:t>地</w:t>
      </w:r>
      <w:r>
        <w:rPr>
          <w:rFonts w:hint="eastAsia" w:eastAsia="宋体"/>
          <w:spacing w:val="-6"/>
          <w:sz w:val="24"/>
          <w:szCs w:val="24"/>
        </w:rPr>
        <w:t>预防、监控、响应。</w:t>
      </w:r>
    </w:p>
    <w:p w14:paraId="7211A4F7">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华谊集团在环境风险管理上，充分重视源头控制和过程风险管理管控，通过采用更为安全的工艺、原辅料等措施，体现出本质安全的管理要求。</w:t>
      </w:r>
    </w:p>
    <w:p w14:paraId="113E718C">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rPr>
        <w:t>2、废水环境风险防范措施可依托性分析</w:t>
      </w:r>
    </w:p>
    <w:p w14:paraId="15FE9D86">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rPr>
        <w:t>厂区已</w:t>
      </w:r>
      <w:r>
        <w:rPr>
          <w:rFonts w:eastAsia="宋体"/>
          <w:spacing w:val="-6"/>
          <w:sz w:val="24"/>
          <w:szCs w:val="24"/>
          <w:u w:val="none"/>
        </w:rPr>
        <w:t>按照化工企业污水三级防控要求建设三级防控体系。</w:t>
      </w:r>
      <w:r>
        <w:rPr>
          <w:rFonts w:hint="eastAsia" w:eastAsia="宋体"/>
          <w:spacing w:val="-6"/>
          <w:sz w:val="24"/>
          <w:szCs w:val="24"/>
          <w:u w:val="none"/>
        </w:rPr>
        <w:t>事故状态下废水厂内三级防控暂存。携带物料的消防水收集后送入事故池，通过调节和切换，分批（限流）送入排入天宜公司污水处理厂一期工程进行处理，最终经由其生产废水处理单元处理达标后深海排放。罐区</w:t>
      </w:r>
      <w:r>
        <w:rPr>
          <w:rFonts w:hint="eastAsia"/>
          <w:spacing w:val="-6"/>
          <w:sz w:val="24"/>
          <w:szCs w:val="24"/>
          <w:u w:val="none"/>
          <w:lang w:eastAsia="zh-CN"/>
        </w:rPr>
        <w:t>、</w:t>
      </w:r>
      <w:r>
        <w:rPr>
          <w:rFonts w:hint="eastAsia"/>
          <w:spacing w:val="-6"/>
          <w:sz w:val="24"/>
          <w:szCs w:val="24"/>
          <w:u w:val="none"/>
          <w:lang w:val="en-US" w:eastAsia="zh-CN"/>
        </w:rPr>
        <w:t>装置区均</w:t>
      </w:r>
      <w:r>
        <w:rPr>
          <w:rFonts w:hint="eastAsia" w:eastAsia="宋体"/>
          <w:spacing w:val="-6"/>
          <w:sz w:val="24"/>
          <w:szCs w:val="24"/>
          <w:u w:val="none"/>
        </w:rPr>
        <w:t>设置有围堰，每个独立单元设置初期雨水池，雨水管网排放口设置切换阀，均作为储存事故废水与调控手段，可确保发生较大或重大事故时泄漏物料和污染消防水控制在厂区，罐区的围堰、事故水池等必须进行防渗处理。</w:t>
      </w:r>
    </w:p>
    <w:p w14:paraId="2F0ECB4E">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rPr>
        <w:t>项目</w:t>
      </w:r>
      <w:r>
        <w:rPr>
          <w:rFonts w:hint="eastAsia" w:eastAsia="宋体"/>
          <w:spacing w:val="-6"/>
          <w:sz w:val="24"/>
          <w:szCs w:val="24"/>
          <w:u w:val="none"/>
          <w:lang w:val="en-US" w:eastAsia="zh-CN"/>
        </w:rPr>
        <w:t>醋酸分离</w:t>
      </w:r>
      <w:r>
        <w:rPr>
          <w:rFonts w:hint="eastAsia" w:eastAsia="宋体"/>
          <w:spacing w:val="-6"/>
          <w:sz w:val="24"/>
          <w:szCs w:val="24"/>
          <w:u w:val="none"/>
        </w:rPr>
        <w:t>装置四周设有地沟，装置区内设有事故/初期雨水池，装置内泄漏的废水首先收集在初期雨水池内，自动监控初期雨水池液位，启动输送泵将废水送至天宜污水处理厂。</w:t>
      </w:r>
    </w:p>
    <w:p w14:paraId="3FE81A8F">
      <w:pPr>
        <w:autoSpaceDE w:val="0"/>
        <w:autoSpaceDN w:val="0"/>
        <w:spacing w:line="500" w:lineRule="exact"/>
        <w:ind w:left="116" w:right="395" w:firstLine="480"/>
        <w:rPr>
          <w:rFonts w:hint="eastAsia"/>
          <w:kern w:val="0"/>
          <w:sz w:val="24"/>
          <w:u w:val="single"/>
          <w:lang w:val="en-US" w:eastAsia="zh-CN"/>
        </w:rPr>
      </w:pPr>
      <w:r>
        <w:rPr>
          <w:rFonts w:hint="eastAsia"/>
          <w:kern w:val="0"/>
          <w:sz w:val="24"/>
          <w:u w:val="single"/>
          <w:lang w:val="en-US" w:eastAsia="zh-CN"/>
        </w:rPr>
        <w:t>本项目废液罐、丙酸缓冲罐最大贮存量约为42.5m</w:t>
      </w:r>
      <w:r>
        <w:rPr>
          <w:rFonts w:hint="eastAsia"/>
          <w:kern w:val="0"/>
          <w:sz w:val="24"/>
          <w:u w:val="single"/>
          <w:vertAlign w:val="superscript"/>
          <w:lang w:val="en-US" w:eastAsia="zh-CN"/>
        </w:rPr>
        <w:t>3</w:t>
      </w:r>
      <w:r>
        <w:rPr>
          <w:rFonts w:hint="eastAsia"/>
          <w:kern w:val="0"/>
          <w:sz w:val="24"/>
          <w:u w:val="single"/>
          <w:lang w:val="en-US" w:eastAsia="zh-CN"/>
        </w:rPr>
        <w:t>，储罐均设有一个17.4m×10.95m×1.1m的围堰，围堰容积约210m</w:t>
      </w:r>
      <w:r>
        <w:rPr>
          <w:rFonts w:hint="eastAsia"/>
          <w:kern w:val="0"/>
          <w:sz w:val="24"/>
          <w:u w:val="single"/>
          <w:vertAlign w:val="superscript"/>
          <w:lang w:val="en-US" w:eastAsia="zh-CN"/>
        </w:rPr>
        <w:t>3</w:t>
      </w:r>
      <w:r>
        <w:rPr>
          <w:rFonts w:hint="eastAsia"/>
          <w:kern w:val="0"/>
          <w:sz w:val="24"/>
          <w:u w:val="single"/>
          <w:lang w:val="en-US" w:eastAsia="zh-CN"/>
        </w:rPr>
        <w:t>，可以满足储罐泄漏丙酸、废液暂时暂存需求；事故废水依托现有18000m</w:t>
      </w:r>
      <w:r>
        <w:rPr>
          <w:rFonts w:hint="eastAsia"/>
          <w:kern w:val="0"/>
          <w:sz w:val="24"/>
          <w:u w:val="single"/>
          <w:vertAlign w:val="superscript"/>
          <w:lang w:val="en-US" w:eastAsia="zh-CN"/>
        </w:rPr>
        <w:t>3</w:t>
      </w:r>
      <w:r>
        <w:rPr>
          <w:rFonts w:hint="eastAsia"/>
          <w:kern w:val="0"/>
          <w:sz w:val="24"/>
          <w:u w:val="single"/>
          <w:lang w:val="en-US" w:eastAsia="zh-CN"/>
        </w:rPr>
        <w:t>的事故应急池，事故应急池容积远远大于本项目储罐物料量及消防水量，可满足要求。</w:t>
      </w:r>
    </w:p>
    <w:p w14:paraId="58492994">
      <w:pPr>
        <w:autoSpaceDE w:val="0"/>
        <w:autoSpaceDN w:val="0"/>
        <w:spacing w:line="500" w:lineRule="exact"/>
        <w:ind w:left="116" w:right="395" w:firstLine="480"/>
        <w:rPr>
          <w:rFonts w:hint="default" w:eastAsia="宋体"/>
          <w:spacing w:val="-6"/>
          <w:sz w:val="24"/>
          <w:szCs w:val="24"/>
          <w:u w:val="single"/>
          <w:lang w:val="en-US"/>
        </w:rPr>
      </w:pPr>
      <w:r>
        <w:rPr>
          <w:rFonts w:hint="eastAsia"/>
          <w:kern w:val="0"/>
          <w:sz w:val="24"/>
          <w:u w:val="single"/>
          <w:lang w:val="en-US" w:eastAsia="zh-CN"/>
        </w:rPr>
        <w:t>罐区、装置区均做围堰和防渗措施情况下，储罐等发生泄漏，各类风险物质、污废水得到了有效收集处理，不轻易污染周边环境。</w:t>
      </w:r>
    </w:p>
    <w:p w14:paraId="6A4DBED6">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rPr>
        <w:t>3、大气环境风险防范措施可依托性分析</w:t>
      </w:r>
    </w:p>
    <w:p w14:paraId="4DCFD0D3">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lang w:val="en-US" w:eastAsia="zh-CN"/>
        </w:rPr>
        <w:t>现有</w:t>
      </w:r>
      <w:r>
        <w:rPr>
          <w:rFonts w:hint="eastAsia" w:eastAsia="宋体"/>
          <w:spacing w:val="-6"/>
          <w:sz w:val="24"/>
          <w:szCs w:val="24"/>
          <w:u w:val="none"/>
        </w:rPr>
        <w:t>醋酸装置共</w:t>
      </w:r>
      <w:r>
        <w:rPr>
          <w:rFonts w:hint="eastAsia" w:eastAsia="宋体"/>
          <w:spacing w:val="-6"/>
          <w:sz w:val="24"/>
          <w:szCs w:val="24"/>
          <w:u w:val="none"/>
          <w:lang w:val="en-US" w:eastAsia="zh-CN"/>
        </w:rPr>
        <w:t>已</w:t>
      </w:r>
      <w:r>
        <w:rPr>
          <w:rFonts w:hint="eastAsia" w:eastAsia="宋体"/>
          <w:spacing w:val="-6"/>
          <w:sz w:val="24"/>
          <w:szCs w:val="24"/>
          <w:u w:val="none"/>
        </w:rPr>
        <w:t>设置94个可燃、有毒有害气体检测报警器，对生产过程的各种变量实施监视、控制，并在系统中设置了联锁，严格控制反应的温度、压力、物料的流量，防止因超温超压而引起中毒等事故，以确保安全生产。一旦发现有毒气体超标，立即通知相关部门，尽快停止生产设备运行，保持废气治理设施正常运行一段时间，经检测浓度达标后，关闭治理设施。</w:t>
      </w:r>
    </w:p>
    <w:p w14:paraId="78B7A3B2">
      <w:pPr>
        <w:autoSpaceDE w:val="0"/>
        <w:autoSpaceDN w:val="0"/>
        <w:spacing w:line="500" w:lineRule="exact"/>
        <w:ind w:left="116" w:right="395" w:firstLine="480"/>
        <w:rPr>
          <w:rFonts w:eastAsia="宋体"/>
          <w:spacing w:val="-6"/>
          <w:sz w:val="24"/>
          <w:szCs w:val="24"/>
          <w:u w:val="none"/>
        </w:rPr>
      </w:pPr>
      <w:r>
        <w:rPr>
          <w:rFonts w:hint="eastAsia" w:eastAsia="宋体"/>
          <w:spacing w:val="-6"/>
          <w:sz w:val="24"/>
          <w:szCs w:val="24"/>
          <w:u w:val="none"/>
        </w:rPr>
        <w:t>3、地下水防渗措施</w:t>
      </w:r>
    </w:p>
    <w:p w14:paraId="5DC5E911">
      <w:pPr>
        <w:autoSpaceDE w:val="0"/>
        <w:autoSpaceDN w:val="0"/>
        <w:spacing w:line="500" w:lineRule="exact"/>
        <w:ind w:left="116" w:right="395" w:firstLine="480"/>
        <w:rPr>
          <w:rFonts w:eastAsia="宋体"/>
          <w:spacing w:val="-6"/>
          <w:sz w:val="24"/>
          <w:szCs w:val="24"/>
          <w:u w:val="none"/>
        </w:rPr>
      </w:pPr>
      <w:r>
        <w:rPr>
          <w:rFonts w:hint="eastAsia" w:eastAsia="宋体"/>
          <w:spacing w:val="-6"/>
          <w:sz w:val="24"/>
          <w:szCs w:val="24"/>
          <w:u w:val="none"/>
        </w:rPr>
        <w:t>本项目所有装置区按照GB/T 50934设计、建设地下水污染防渗措施；</w:t>
      </w:r>
      <w:r>
        <w:rPr>
          <w:rFonts w:hint="eastAsia"/>
          <w:spacing w:val="-6"/>
          <w:sz w:val="24"/>
          <w:szCs w:val="24"/>
          <w:u w:val="single"/>
          <w:lang w:val="en-US" w:eastAsia="zh-CN"/>
        </w:rPr>
        <w:t>本次新增的废液罐、丙酸缓冲罐均做围堰和防渗措施。</w:t>
      </w:r>
      <w:r>
        <w:rPr>
          <w:rFonts w:hint="eastAsia" w:eastAsia="宋体"/>
          <w:spacing w:val="-6"/>
          <w:sz w:val="24"/>
          <w:szCs w:val="24"/>
          <w:u w:val="none"/>
        </w:rPr>
        <w:t>对易腐蚀区域设置防腐处理，地下的收集池按重点防渗要求设置了相应的防渗层。</w:t>
      </w:r>
    </w:p>
    <w:p w14:paraId="7933339C">
      <w:pPr>
        <w:autoSpaceDE w:val="0"/>
        <w:autoSpaceDN w:val="0"/>
        <w:spacing w:line="500" w:lineRule="exact"/>
        <w:ind w:left="116" w:right="395" w:firstLine="480"/>
        <w:rPr>
          <w:rFonts w:hint="eastAsia" w:eastAsia="宋体"/>
          <w:spacing w:val="-6"/>
          <w:sz w:val="24"/>
          <w:szCs w:val="24"/>
          <w:u w:val="none"/>
        </w:rPr>
      </w:pPr>
      <w:r>
        <w:rPr>
          <w:rFonts w:hint="eastAsia" w:eastAsia="宋体"/>
          <w:spacing w:val="-6"/>
          <w:sz w:val="24"/>
          <w:szCs w:val="24"/>
          <w:u w:val="none"/>
        </w:rPr>
        <w:t>针对厂区外物料输送管道，企业采取明管敷设，并设置巡检制度，可及时发现泄漏事故，及时处理，不会对地下水环境造成明显影响。</w:t>
      </w:r>
    </w:p>
    <w:p w14:paraId="7016F14C">
      <w:pPr>
        <w:autoSpaceDE w:val="0"/>
        <w:autoSpaceDN w:val="0"/>
        <w:spacing w:line="500" w:lineRule="exact"/>
        <w:ind w:left="116" w:right="395" w:firstLine="480"/>
        <w:rPr>
          <w:rFonts w:eastAsia="宋体"/>
          <w:spacing w:val="-6"/>
          <w:sz w:val="24"/>
          <w:szCs w:val="24"/>
          <w:u w:val="single"/>
        </w:rPr>
      </w:pPr>
      <w:r>
        <w:rPr>
          <w:rFonts w:hint="eastAsia" w:eastAsia="宋体"/>
          <w:spacing w:val="-6"/>
          <w:sz w:val="24"/>
          <w:szCs w:val="24"/>
          <w:u w:val="none"/>
        </w:rPr>
        <w:t>同时，企业每年均进行土壤和地下水监测，形成污染防控监控和跟踪。</w:t>
      </w:r>
    </w:p>
    <w:p w14:paraId="3AD08382">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4、突发环境事件应急预案</w:t>
      </w:r>
    </w:p>
    <w:p w14:paraId="4475C615">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本项目建成后，企业应根据《企业事业单位突发环境事件应急预案备案管理办法（试行）》《企业突发环境事件风险分级方法》（HJ941-2018）、《企业事业单位突发环境事件应急预案评审工作指南》等要求更新突发环境事件应急预案，并在钦州市生态环境局备案。</w:t>
      </w:r>
    </w:p>
    <w:p w14:paraId="5AF8088C">
      <w:pPr>
        <w:autoSpaceDE w:val="0"/>
        <w:autoSpaceDN w:val="0"/>
        <w:spacing w:line="500" w:lineRule="exact"/>
        <w:ind w:left="116" w:right="395" w:firstLine="480"/>
        <w:rPr>
          <w:rFonts w:eastAsia="宋体"/>
          <w:spacing w:val="-6"/>
          <w:sz w:val="24"/>
          <w:szCs w:val="24"/>
        </w:rPr>
      </w:pPr>
      <w:r>
        <w:rPr>
          <w:rFonts w:hint="eastAsia" w:ascii="宋体" w:hAnsi="宋体" w:eastAsia="宋体"/>
          <w:spacing w:val="-6"/>
          <w:sz w:val="24"/>
          <w:szCs w:val="24"/>
        </w:rPr>
        <w:t>⑴</w:t>
      </w:r>
      <w:r>
        <w:rPr>
          <w:rFonts w:hint="eastAsia" w:eastAsia="宋体"/>
          <w:spacing w:val="-6"/>
          <w:sz w:val="24"/>
          <w:szCs w:val="24"/>
        </w:rPr>
        <w:t xml:space="preserve"> 预案编制的重点</w:t>
      </w:r>
    </w:p>
    <w:p w14:paraId="6F1E7835">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企业应根据HJ941-2018，识别风险物质及其最大存在量，将本项目内容纳入突发环境事件应急预案中。</w:t>
      </w:r>
    </w:p>
    <w:p w14:paraId="08EF713B">
      <w:pPr>
        <w:autoSpaceDE w:val="0"/>
        <w:autoSpaceDN w:val="0"/>
        <w:spacing w:line="500" w:lineRule="exact"/>
        <w:ind w:left="116" w:right="395" w:firstLine="480"/>
        <w:rPr>
          <w:rFonts w:eastAsia="宋体"/>
          <w:spacing w:val="-6"/>
          <w:sz w:val="24"/>
          <w:szCs w:val="24"/>
        </w:rPr>
      </w:pPr>
      <w:r>
        <w:rPr>
          <w:rFonts w:hint="eastAsia" w:ascii="宋体" w:hAnsi="宋体" w:eastAsia="宋体"/>
          <w:spacing w:val="-6"/>
          <w:sz w:val="24"/>
          <w:szCs w:val="24"/>
        </w:rPr>
        <w:t>⑵</w:t>
      </w:r>
      <w:r>
        <w:rPr>
          <w:rFonts w:hint="eastAsia" w:eastAsia="宋体"/>
          <w:spacing w:val="-6"/>
          <w:sz w:val="24"/>
          <w:szCs w:val="24"/>
        </w:rPr>
        <w:t xml:space="preserve"> 应急联动</w:t>
      </w:r>
    </w:p>
    <w:p w14:paraId="09A4F196">
      <w:pPr>
        <w:autoSpaceDE w:val="0"/>
        <w:autoSpaceDN w:val="0"/>
        <w:spacing w:line="500" w:lineRule="exact"/>
        <w:ind w:left="116" w:right="395" w:firstLine="480"/>
        <w:rPr>
          <w:rFonts w:eastAsia="宋体"/>
          <w:spacing w:val="-6"/>
          <w:sz w:val="24"/>
          <w:szCs w:val="24"/>
        </w:rPr>
      </w:pPr>
      <w:r>
        <w:rPr>
          <w:rFonts w:hint="eastAsia" w:eastAsia="宋体"/>
          <w:spacing w:val="-6"/>
          <w:sz w:val="24"/>
          <w:szCs w:val="24"/>
        </w:rPr>
        <w:t>突发环境事件预案应与广西钦州石化产业园突发环境事件专项应急预案相衔接，形成有效的联动关系；在应急演练中应突出与广西钦州石化产业园管委会的联动演练，为突发环境事件的有效处置奠定基础。</w:t>
      </w:r>
    </w:p>
    <w:p w14:paraId="54D49236">
      <w:pPr>
        <w:autoSpaceDE w:val="0"/>
        <w:autoSpaceDN w:val="0"/>
        <w:spacing w:line="500" w:lineRule="exact"/>
        <w:ind w:left="116" w:right="395" w:firstLine="480"/>
        <w:rPr>
          <w:rFonts w:eastAsia="宋体"/>
          <w:spacing w:val="-6"/>
          <w:sz w:val="24"/>
          <w:szCs w:val="24"/>
        </w:rPr>
      </w:pPr>
      <w:r>
        <w:rPr>
          <w:rFonts w:hint="eastAsia" w:ascii="宋体" w:hAnsi="宋体" w:eastAsia="宋体"/>
          <w:spacing w:val="-6"/>
          <w:sz w:val="24"/>
          <w:szCs w:val="24"/>
        </w:rPr>
        <w:t>⑶</w:t>
      </w:r>
      <w:r>
        <w:rPr>
          <w:rFonts w:hint="eastAsia" w:eastAsia="宋体"/>
          <w:spacing w:val="-6"/>
          <w:sz w:val="24"/>
          <w:szCs w:val="24"/>
        </w:rPr>
        <w:t xml:space="preserve"> 应急监测</w:t>
      </w:r>
    </w:p>
    <w:p w14:paraId="4E8ADEFC">
      <w:pPr>
        <w:widowControl/>
        <w:spacing w:line="500" w:lineRule="exact"/>
        <w:ind w:firstLine="456" w:firstLineChars="200"/>
        <w:rPr>
          <w:rFonts w:hint="eastAsia"/>
          <w:kern w:val="0"/>
          <w:sz w:val="24"/>
        </w:rPr>
      </w:pPr>
      <w:r>
        <w:rPr>
          <w:rFonts w:hint="eastAsia" w:eastAsia="宋体"/>
          <w:spacing w:val="-6"/>
          <w:sz w:val="24"/>
          <w:szCs w:val="24"/>
        </w:rPr>
        <w:t>应根据《突发环境事件应急监测技术规范》（HJ589-2021）做好污染态势初步判别和跟踪监测两个阶段的工作；污染态势初步判别为突发环境事件应急监测的第一阶段，预案中应明确企业各单元发生事故时的应急监测方案；并根据企业所在位置及所在地的区域特征，明确跟踪监测的布点原则和选择监测方法的原则。</w:t>
      </w:r>
    </w:p>
    <w:p w14:paraId="7909581A">
      <w:pPr>
        <w:keepNext/>
        <w:keepLines/>
        <w:widowControl/>
        <w:numPr>
          <w:ilvl w:val="0"/>
          <w:numId w:val="18"/>
        </w:numPr>
        <w:spacing w:before="210" w:after="210" w:line="500" w:lineRule="exact"/>
        <w:jc w:val="left"/>
        <w:outlineLvl w:val="1"/>
        <w:rPr>
          <w:b/>
          <w:kern w:val="0"/>
          <w:sz w:val="28"/>
          <w:szCs w:val="20"/>
        </w:rPr>
      </w:pPr>
      <w:bookmarkStart w:id="80" w:name="_Toc13327"/>
      <w:bookmarkStart w:id="81" w:name="_Toc5514"/>
      <w:r>
        <w:rPr>
          <w:rFonts w:hint="eastAsia"/>
          <w:b/>
          <w:kern w:val="0"/>
          <w:sz w:val="28"/>
          <w:szCs w:val="20"/>
          <w:lang w:val="en-US" w:eastAsia="zh-CN"/>
        </w:rPr>
        <w:t>风险评价结论</w:t>
      </w:r>
      <w:bookmarkEnd w:id="80"/>
      <w:bookmarkEnd w:id="81"/>
    </w:p>
    <w:p w14:paraId="7CB3A620">
      <w:pPr>
        <w:widowControl/>
        <w:spacing w:line="500" w:lineRule="exact"/>
        <w:ind w:firstLine="480" w:firstLineChars="200"/>
        <w:rPr>
          <w:rFonts w:hint="eastAsia"/>
          <w:kern w:val="0"/>
          <w:sz w:val="24"/>
        </w:rPr>
      </w:pPr>
      <w:r>
        <w:rPr>
          <w:rFonts w:hint="eastAsia"/>
          <w:kern w:val="0"/>
          <w:sz w:val="24"/>
        </w:rPr>
        <w:t>1、项目危险因素</w:t>
      </w:r>
    </w:p>
    <w:p w14:paraId="13DE1BB1">
      <w:pPr>
        <w:widowControl/>
        <w:spacing w:line="500" w:lineRule="exact"/>
        <w:ind w:firstLine="480" w:firstLineChars="200"/>
        <w:rPr>
          <w:rFonts w:hint="eastAsia"/>
          <w:kern w:val="0"/>
          <w:sz w:val="24"/>
        </w:rPr>
      </w:pPr>
      <w:r>
        <w:rPr>
          <w:rFonts w:hint="eastAsia"/>
          <w:kern w:val="0"/>
          <w:sz w:val="24"/>
        </w:rPr>
        <w:t>项目涉及的主要原料、产品及中间产品中多数物质属于易燃易爆和有毒有害物质，其中醋酸</w:t>
      </w:r>
      <w:r>
        <w:rPr>
          <w:rFonts w:hint="eastAsia"/>
          <w:kern w:val="0"/>
          <w:sz w:val="24"/>
          <w:lang w:eastAsia="zh-CN"/>
        </w:rPr>
        <w:t>、</w:t>
      </w:r>
      <w:r>
        <w:rPr>
          <w:rFonts w:hint="eastAsia"/>
          <w:kern w:val="0"/>
          <w:sz w:val="24"/>
          <w:lang w:val="en-US" w:eastAsia="zh-CN"/>
        </w:rPr>
        <w:t>丙酸、废液</w:t>
      </w:r>
      <w:r>
        <w:rPr>
          <w:rFonts w:hint="eastAsia"/>
          <w:kern w:val="0"/>
          <w:sz w:val="24"/>
        </w:rPr>
        <w:t>具有泄漏及火灾爆炸的危险性，属于本次评价的风险物质。根据风险识别，项目的</w:t>
      </w:r>
      <w:r>
        <w:rPr>
          <w:rFonts w:hint="eastAsia"/>
          <w:kern w:val="0"/>
          <w:sz w:val="24"/>
          <w:lang w:val="en-US" w:eastAsia="zh-CN"/>
        </w:rPr>
        <w:t>醋酸储罐、废液罐</w:t>
      </w:r>
      <w:r>
        <w:rPr>
          <w:rFonts w:hint="eastAsia"/>
          <w:kern w:val="0"/>
          <w:sz w:val="24"/>
        </w:rPr>
        <w:t>为重点风险源。</w:t>
      </w:r>
    </w:p>
    <w:p w14:paraId="3646AB24">
      <w:pPr>
        <w:widowControl/>
        <w:spacing w:line="500" w:lineRule="exact"/>
        <w:ind w:firstLine="480" w:firstLineChars="200"/>
        <w:rPr>
          <w:rFonts w:hint="eastAsia"/>
          <w:kern w:val="0"/>
          <w:sz w:val="24"/>
        </w:rPr>
      </w:pPr>
      <w:r>
        <w:rPr>
          <w:rFonts w:hint="eastAsia"/>
          <w:kern w:val="0"/>
          <w:sz w:val="24"/>
        </w:rPr>
        <w:t>2、环境敏感性及事故环境影响</w:t>
      </w:r>
    </w:p>
    <w:p w14:paraId="076C47BB">
      <w:pPr>
        <w:widowControl/>
        <w:spacing w:line="500" w:lineRule="exact"/>
        <w:ind w:firstLine="480" w:firstLineChars="200"/>
        <w:rPr>
          <w:rFonts w:hint="default" w:eastAsia="宋体"/>
          <w:kern w:val="0"/>
          <w:sz w:val="24"/>
          <w:lang w:val="en-US" w:eastAsia="zh-CN"/>
        </w:rPr>
      </w:pPr>
      <w:r>
        <w:rPr>
          <w:rFonts w:hint="eastAsia"/>
          <w:kern w:val="0"/>
          <w:sz w:val="24"/>
        </w:rPr>
        <w:t>根据《建设项目环境风险评价技术导则》（HJ169-2018）附录 D，大气、地表水、地下水环境风险潜势分别为III、III和III，本项目环境风险潜势相对高值为III，环境风险评价等级为二级。</w:t>
      </w:r>
    </w:p>
    <w:p w14:paraId="668F80FE">
      <w:pPr>
        <w:widowControl/>
        <w:spacing w:line="500" w:lineRule="exact"/>
        <w:ind w:firstLine="480" w:firstLineChars="200"/>
        <w:rPr>
          <w:rFonts w:hint="eastAsia"/>
          <w:kern w:val="0"/>
          <w:sz w:val="24"/>
        </w:rPr>
      </w:pPr>
      <w:r>
        <w:rPr>
          <w:rFonts w:hint="eastAsia"/>
          <w:kern w:val="0"/>
          <w:sz w:val="24"/>
        </w:rPr>
        <w:t>项目设定的最大可信环境风险事故，根据预测结果：</w:t>
      </w:r>
    </w:p>
    <w:p w14:paraId="1521295A">
      <w:pPr>
        <w:widowControl/>
        <w:spacing w:line="500" w:lineRule="exact"/>
        <w:ind w:firstLine="480" w:firstLineChars="200"/>
        <w:rPr>
          <w:rFonts w:hint="eastAsia"/>
          <w:kern w:val="0"/>
          <w:sz w:val="24"/>
        </w:rPr>
      </w:pPr>
      <w:r>
        <w:rPr>
          <w:rFonts w:hint="eastAsia"/>
          <w:kern w:val="0"/>
          <w:sz w:val="24"/>
        </w:rPr>
        <w:t xml:space="preserve">⑴ </w:t>
      </w:r>
      <w:r>
        <w:rPr>
          <w:rFonts w:hint="eastAsia"/>
          <w:kern w:val="0"/>
          <w:sz w:val="24"/>
          <w:lang w:val="en-US" w:eastAsia="zh-CN"/>
        </w:rPr>
        <w:t>醋酸中间罐</w:t>
      </w:r>
      <w:r>
        <w:rPr>
          <w:rFonts w:hint="eastAsia"/>
          <w:kern w:val="0"/>
          <w:sz w:val="24"/>
        </w:rPr>
        <w:t>泄漏，污染物释放进入大气环境，造成大气风险事故情形下，出现超大气毒性终点浓度-1 的最远距离为110m，出现超大气毒性终点浓度-2 的最远距离为370m，此情境下，风险源（醋酸储罐）最大影响区域范围内无环境风险敏感点。</w:t>
      </w:r>
    </w:p>
    <w:p w14:paraId="2F3D3807">
      <w:pPr>
        <w:widowControl/>
        <w:spacing w:line="500" w:lineRule="exact"/>
        <w:ind w:firstLine="480" w:firstLineChars="200"/>
        <w:rPr>
          <w:rFonts w:hint="eastAsia"/>
          <w:kern w:val="0"/>
          <w:sz w:val="24"/>
          <w:u w:val="single"/>
        </w:rPr>
      </w:pPr>
      <w:r>
        <w:rPr>
          <w:rFonts w:hint="eastAsia"/>
          <w:kern w:val="0"/>
          <w:sz w:val="24"/>
          <w:u w:val="single"/>
        </w:rPr>
        <w:t xml:space="preserve">⑵ </w:t>
      </w:r>
      <w:r>
        <w:rPr>
          <w:rFonts w:hint="eastAsia"/>
          <w:kern w:val="0"/>
          <w:sz w:val="24"/>
          <w:u w:val="single"/>
          <w:lang w:val="en-US" w:eastAsia="zh-CN"/>
        </w:rPr>
        <w:t>醋酸、废液</w:t>
      </w:r>
      <w:r>
        <w:rPr>
          <w:rFonts w:hint="eastAsia"/>
          <w:kern w:val="0"/>
          <w:sz w:val="24"/>
          <w:u w:val="single"/>
        </w:rPr>
        <w:t>泄漏，遇明火，燃烧伴生污染物释放进入大气环境，造成大气风险事故情形下，大气CO出现超大气毒性终点浓度-1 的最远距离为</w:t>
      </w:r>
      <w:r>
        <w:rPr>
          <w:rFonts w:hint="eastAsia"/>
          <w:kern w:val="0"/>
          <w:sz w:val="24"/>
          <w:u w:val="single"/>
          <w:lang w:val="en-US" w:eastAsia="zh-CN"/>
        </w:rPr>
        <w:t>660</w:t>
      </w:r>
      <w:r>
        <w:rPr>
          <w:rFonts w:hint="eastAsia"/>
          <w:kern w:val="0"/>
          <w:sz w:val="24"/>
          <w:u w:val="single"/>
        </w:rPr>
        <w:t>m，出现超大气毒性终点浓度-2 的最远距离为</w:t>
      </w:r>
      <w:r>
        <w:rPr>
          <w:rFonts w:hint="eastAsia"/>
          <w:kern w:val="0"/>
          <w:sz w:val="24"/>
          <w:u w:val="single"/>
          <w:lang w:val="en-US" w:eastAsia="zh-CN"/>
        </w:rPr>
        <w:t>1150</w:t>
      </w:r>
      <w:r>
        <w:rPr>
          <w:rFonts w:hint="eastAsia"/>
          <w:kern w:val="0"/>
          <w:sz w:val="24"/>
          <w:u w:val="single"/>
        </w:rPr>
        <w:t>m，此情境下，风险源（醋酸储罐、废液罐）下风向最大影响区域范围内无环境风险敏感点。</w:t>
      </w:r>
    </w:p>
    <w:p w14:paraId="76C45589">
      <w:pPr>
        <w:widowControl/>
        <w:spacing w:line="500" w:lineRule="exact"/>
        <w:ind w:firstLine="480" w:firstLineChars="200"/>
        <w:rPr>
          <w:rFonts w:hint="eastAsia"/>
          <w:kern w:val="0"/>
          <w:sz w:val="24"/>
        </w:rPr>
      </w:pPr>
      <w:r>
        <w:rPr>
          <w:rFonts w:hint="eastAsia"/>
          <w:kern w:val="0"/>
          <w:sz w:val="24"/>
        </w:rPr>
        <w:t>3、环境风险防范措施和应急预案</w:t>
      </w:r>
    </w:p>
    <w:p w14:paraId="1CB67E50">
      <w:pPr>
        <w:widowControl/>
        <w:spacing w:line="500" w:lineRule="exact"/>
        <w:ind w:firstLine="480" w:firstLineChars="200"/>
        <w:rPr>
          <w:rFonts w:hint="eastAsia"/>
          <w:kern w:val="0"/>
          <w:sz w:val="24"/>
        </w:rPr>
      </w:pPr>
      <w:r>
        <w:rPr>
          <w:rFonts w:hint="eastAsia"/>
          <w:kern w:val="0"/>
          <w:sz w:val="24"/>
        </w:rPr>
        <w:t>项目风险防范措施及应急预案合理、可行，项目建设水体污染事故三级防控系统可有效防控本项目事故废水不排出厂区。应急预案应在厂区内企业应急预案的基础上，纳入园区环境风险防控体系和管理的衔接要求，实现厂内与园区环境风险防控设施及管理的有效联动，有效防控环境风险。</w:t>
      </w:r>
    </w:p>
    <w:p w14:paraId="3F82B08D">
      <w:pPr>
        <w:widowControl/>
        <w:spacing w:line="500" w:lineRule="exact"/>
        <w:ind w:firstLine="480" w:firstLineChars="200"/>
        <w:rPr>
          <w:rFonts w:hint="eastAsia"/>
          <w:kern w:val="0"/>
          <w:sz w:val="24"/>
        </w:rPr>
      </w:pPr>
      <w:r>
        <w:rPr>
          <w:rFonts w:hint="eastAsia"/>
          <w:kern w:val="0"/>
          <w:sz w:val="24"/>
        </w:rPr>
        <w:t>4、环境风险评价结论与建议</w:t>
      </w:r>
    </w:p>
    <w:p w14:paraId="3132B72F">
      <w:pPr>
        <w:widowControl/>
        <w:spacing w:line="500" w:lineRule="exact"/>
        <w:ind w:firstLine="480" w:firstLineChars="200"/>
        <w:rPr>
          <w:kern w:val="0"/>
          <w:sz w:val="24"/>
        </w:rPr>
      </w:pPr>
      <w:r>
        <w:rPr>
          <w:rFonts w:hint="eastAsia"/>
          <w:kern w:val="0"/>
          <w:sz w:val="24"/>
        </w:rPr>
        <w:t>项目环境风险的影响范围内没有敏感点。在落实本报告提出的各项风险管控措施和建议的前提下，并与现有工程风险事故应急体系有效衔接的基础上，项目环境风险可防可控。</w:t>
      </w:r>
    </w:p>
    <w:bookmarkEnd w:id="54"/>
    <w:p w14:paraId="7115B645">
      <w:pPr>
        <w:widowControl/>
        <w:spacing w:line="500" w:lineRule="exact"/>
        <w:ind w:firstLine="480" w:firstLineChars="200"/>
        <w:jc w:val="left"/>
        <w:rPr>
          <w:kern w:val="0"/>
          <w:sz w:val="24"/>
        </w:rPr>
      </w:pPr>
    </w:p>
    <w:p w14:paraId="6D1A58C3">
      <w:pPr>
        <w:jc w:val="left"/>
        <w:rPr>
          <w:rFonts w:hint="eastAsia" w:ascii="Times New Roman" w:hAnsi="Times New Roman" w:eastAsia="宋体" w:cs="Times New Roman"/>
          <w:sz w:val="21"/>
          <w:szCs w:val="21"/>
          <w:u w:val="none"/>
        </w:rPr>
      </w:pPr>
    </w:p>
    <w:sectPr>
      <w:footerReference r:id="rId12" w:type="default"/>
      <w:type w:val="continuous"/>
      <w:pgSz w:w="11906" w:h="16838"/>
      <w:pgMar w:top="1701" w:right="1531" w:bottom="1701" w:left="1531" w:header="851" w:footer="851"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D715">
    <w:pPr>
      <w:pStyle w:val="17"/>
      <w:jc w:val="center"/>
    </w:pPr>
  </w:p>
  <w:p w14:paraId="52D8D28F">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6FEB6">
    <w:pPr>
      <w:pStyle w:val="17"/>
      <w:framePr w:wrap="around" w:vAnchor="text" w:hAnchor="margin" w:xAlign="center" w:y="1"/>
      <w:rPr>
        <w:rStyle w:val="30"/>
      </w:rPr>
    </w:pPr>
    <w:r>
      <w:fldChar w:fldCharType="begin"/>
    </w:r>
    <w:r>
      <w:rPr>
        <w:rStyle w:val="30"/>
      </w:rPr>
      <w:instrText xml:space="preserve">PAGE  </w:instrText>
    </w:r>
    <w:r>
      <w:fldChar w:fldCharType="end"/>
    </w:r>
  </w:p>
  <w:p w14:paraId="66A79196">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ECA21">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5643943"/>
      <w:docPartObj>
        <w:docPartGallery w:val="autotext"/>
      </w:docPartObj>
    </w:sdtPr>
    <w:sdtContent>
      <w:p w14:paraId="45ED22F1">
        <w:pPr>
          <w:pStyle w:val="17"/>
          <w:jc w:val="center"/>
        </w:pPr>
        <w:r>
          <w:fldChar w:fldCharType="begin"/>
        </w:r>
        <w:r>
          <w:instrText xml:space="preserve">PAGE   \* MERGEFORMAT</w:instrText>
        </w:r>
        <w:r>
          <w:fldChar w:fldCharType="separate"/>
        </w:r>
        <w:r>
          <w:rPr>
            <w:lang w:val="zh-CN"/>
          </w:rPr>
          <w:t>57</w:t>
        </w:r>
        <w:r>
          <w:fldChar w:fldCharType="end"/>
        </w:r>
      </w:p>
    </w:sdtContent>
  </w:sdt>
  <w:p w14:paraId="4DD7B7D3">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5403"/>
      <w:docPartObj>
        <w:docPartGallery w:val="autotext"/>
      </w:docPartObj>
    </w:sdtPr>
    <w:sdtContent>
      <w:p w14:paraId="26CACB39">
        <w:pPr>
          <w:pStyle w:val="17"/>
          <w:jc w:val="center"/>
        </w:pPr>
        <w:r>
          <w:fldChar w:fldCharType="begin"/>
        </w:r>
        <w:r>
          <w:instrText xml:space="preserve">PAGE   \* MERGEFORMAT</w:instrText>
        </w:r>
        <w:r>
          <w:fldChar w:fldCharType="separate"/>
        </w:r>
        <w:r>
          <w:rPr>
            <w:lang w:val="zh-CN"/>
          </w:rPr>
          <w:t>57</w:t>
        </w:r>
        <w:r>
          <w:fldChar w:fldCharType="end"/>
        </w:r>
      </w:p>
    </w:sdtContent>
  </w:sdt>
  <w:p w14:paraId="2AFB1B1E">
    <w:pPr>
      <w:pStyle w:val="1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1332E">
    <w:pPr>
      <w:pStyle w:val="17"/>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5A46">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36A53">
    <w:pPr>
      <w:jc w:val="center"/>
    </w:pPr>
    <w:r>
      <w:rPr>
        <w:sz w:val="18"/>
      </w:rPr>
      <w:fldChar w:fldCharType="begin"/>
    </w:r>
    <w:r>
      <w:rPr>
        <w:rStyle w:val="30"/>
        <w:sz w:val="18"/>
      </w:rPr>
      <w:instrText xml:space="preserve"> PAGE </w:instrText>
    </w:r>
    <w:r>
      <w:rPr>
        <w:sz w:val="18"/>
      </w:rPr>
      <w:fldChar w:fldCharType="separate"/>
    </w:r>
    <w:r>
      <w:rPr>
        <w:rStyle w:val="30"/>
        <w:sz w:val="18"/>
      </w:rPr>
      <w:t>2</w:t>
    </w:r>
    <w:r>
      <w:rPr>
        <w:sz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29B8">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291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E8CF9C"/>
    <w:multiLevelType w:val="singleLevel"/>
    <w:tmpl w:val="DDE8CF9C"/>
    <w:lvl w:ilvl="0" w:tentative="0">
      <w:start w:val="4"/>
      <w:numFmt w:val="decimal"/>
      <w:suff w:val="space"/>
      <w:lvlText w:val="%1."/>
      <w:lvlJc w:val="left"/>
    </w:lvl>
  </w:abstractNum>
  <w:abstractNum w:abstractNumId="1">
    <w:nsid w:val="00000005"/>
    <w:multiLevelType w:val="multilevel"/>
    <w:tmpl w:val="00000005"/>
    <w:lvl w:ilvl="0" w:tentative="0">
      <w:start w:val="1"/>
      <w:numFmt w:val="decimal"/>
      <w:pStyle w:val="60"/>
      <w:lvlText w:val="第%1章  "/>
      <w:lvlJc w:val="left"/>
      <w:pPr>
        <w:tabs>
          <w:tab w:val="left" w:pos="3065"/>
        </w:tabs>
        <w:ind w:left="2410" w:hanging="425"/>
      </w:pPr>
      <w:rPr>
        <w:rFonts w:hint="eastAsia"/>
        <w:color w:val="auto"/>
      </w:rPr>
    </w:lvl>
    <w:lvl w:ilvl="1" w:tentative="0">
      <w:start w:val="1"/>
      <w:numFmt w:val="decimal"/>
      <w:pStyle w:val="61"/>
      <w:lvlText w:val="%1.%2 "/>
      <w:lvlJc w:val="left"/>
      <w:pPr>
        <w:tabs>
          <w:tab w:val="left" w:pos="3217"/>
        </w:tabs>
        <w:ind w:left="3217" w:hanging="567"/>
      </w:pPr>
      <w:rPr>
        <w:rFonts w:hint="eastAsia"/>
        <w:lang w:val="en-US"/>
      </w:rPr>
    </w:lvl>
    <w:lvl w:ilvl="2" w:tentative="0">
      <w:start w:val="1"/>
      <w:numFmt w:val="decimal"/>
      <w:lvlText w:val="%1.%2.%3 "/>
      <w:lvlJc w:val="left"/>
      <w:pPr>
        <w:tabs>
          <w:tab w:val="left" w:pos="1080"/>
        </w:tabs>
        <w:ind w:left="709" w:hanging="709"/>
      </w:pPr>
      <w:rPr>
        <w:rFonts w:hint="default" w:ascii="Times New Roman" w:hAnsi="Times New Roman"/>
        <w:b/>
        <w:i w:val="0"/>
      </w:rPr>
    </w:lvl>
    <w:lvl w:ilvl="3" w:tentative="0">
      <w:start w:val="1"/>
      <w:numFmt w:val="decimal"/>
      <w:lvlRestart w:val="1"/>
      <w:lvlText w:val="表%1-%4"/>
      <w:lvlJc w:val="center"/>
      <w:pPr>
        <w:tabs>
          <w:tab w:val="left" w:pos="2973"/>
        </w:tabs>
        <w:ind w:left="2973" w:hanging="563"/>
      </w:pPr>
      <w:rPr>
        <w:rFonts w:hint="default" w:ascii="Times New Roman" w:hAnsi="Times New Roman" w:eastAsia="宋体"/>
        <w:b/>
        <w:i w:val="0"/>
        <w:color w:val="auto"/>
        <w:sz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AD66A74"/>
    <w:multiLevelType w:val="multilevel"/>
    <w:tmpl w:val="0AD66A74"/>
    <w:lvl w:ilvl="0" w:tentative="0">
      <w:start w:val="1"/>
      <w:numFmt w:val="decimal"/>
      <w:lvlText w:val="表1-%1"/>
      <w:lvlJc w:val="left"/>
      <w:pPr>
        <w:ind w:left="2224" w:hanging="420"/>
      </w:pPr>
      <w:rPr>
        <w:rFonts w:hint="eastAsia"/>
      </w:rPr>
    </w:lvl>
    <w:lvl w:ilvl="1" w:tentative="0">
      <w:start w:val="1"/>
      <w:numFmt w:val="lowerLetter"/>
      <w:lvlText w:val="%2)"/>
      <w:lvlJc w:val="left"/>
      <w:pPr>
        <w:ind w:left="840" w:hanging="420"/>
      </w:pPr>
    </w:lvl>
    <w:lvl w:ilvl="2" w:tentative="0">
      <w:start w:val="1"/>
      <w:numFmt w:val="decimal"/>
      <w:lvlText w:val="表2-%3"/>
      <w:lvlJc w:val="right"/>
      <w:pPr>
        <w:ind w:left="1260" w:hanging="420"/>
      </w:pPr>
      <w:rPr>
        <w:rFonts w:hint="default"/>
        <w:b/>
        <w:bC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133AB3"/>
    <w:multiLevelType w:val="multilevel"/>
    <w:tmpl w:val="11133AB3"/>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D54458C"/>
    <w:multiLevelType w:val="multilevel"/>
    <w:tmpl w:val="1D54458C"/>
    <w:lvl w:ilvl="0" w:tentative="0">
      <w:start w:val="1"/>
      <w:numFmt w:val="decimal"/>
      <w:lvlText w:val="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07091A"/>
    <w:multiLevelType w:val="multilevel"/>
    <w:tmpl w:val="3D07091A"/>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41BF712D"/>
    <w:multiLevelType w:val="multilevel"/>
    <w:tmpl w:val="41BF712D"/>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BE270C8"/>
    <w:multiLevelType w:val="multilevel"/>
    <w:tmpl w:val="4BE270C8"/>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7505783"/>
    <w:multiLevelType w:val="multilevel"/>
    <w:tmpl w:val="57505783"/>
    <w:lvl w:ilvl="0" w:tentative="0">
      <w:start w:val="1"/>
      <w:numFmt w:val="decimal"/>
      <w:lvlText w:val="表1-%1"/>
      <w:lvlJc w:val="left"/>
      <w:pPr>
        <w:ind w:left="2224" w:hanging="420"/>
      </w:pPr>
      <w:rPr>
        <w:rFonts w:hint="eastAsia"/>
      </w:rPr>
    </w:lvl>
    <w:lvl w:ilvl="1" w:tentative="0">
      <w:start w:val="1"/>
      <w:numFmt w:val="lowerLetter"/>
      <w:lvlText w:val="%2)"/>
      <w:lvlJc w:val="left"/>
      <w:pPr>
        <w:ind w:left="840" w:hanging="420"/>
      </w:pPr>
    </w:lvl>
    <w:lvl w:ilvl="2" w:tentative="0">
      <w:start w:val="1"/>
      <w:numFmt w:val="decimal"/>
      <w:lvlText w:val="表3-%3"/>
      <w:lvlJc w:val="right"/>
      <w:pPr>
        <w:ind w:left="1260" w:hanging="420"/>
      </w:pPr>
      <w:rPr>
        <w:rFonts w:hint="default"/>
        <w:b/>
        <w:bCs/>
        <w:lang w:val="en-US"/>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E02331D"/>
    <w:multiLevelType w:val="multilevel"/>
    <w:tmpl w:val="5E02331D"/>
    <w:lvl w:ilvl="0" w:tentative="0">
      <w:start w:val="1"/>
      <w:numFmt w:val="decimal"/>
      <w:lvlText w:val="6.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0322413"/>
    <w:multiLevelType w:val="multilevel"/>
    <w:tmpl w:val="60322413"/>
    <w:lvl w:ilvl="0" w:tentative="0">
      <w:start w:val="1"/>
      <w:numFmt w:val="decimal"/>
      <w:lvlText w:val="7.1.%1."/>
      <w:lvlJc w:val="left"/>
      <w:pPr>
        <w:ind w:left="420" w:hanging="42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40E4B1B"/>
    <w:multiLevelType w:val="multilevel"/>
    <w:tmpl w:val="640E4B1B"/>
    <w:lvl w:ilvl="0" w:tentative="0">
      <w:start w:val="1"/>
      <w:numFmt w:val="decimal"/>
      <w:lvlText w:val="表1-%1"/>
      <w:lvlJc w:val="left"/>
      <w:pPr>
        <w:ind w:left="2224" w:hanging="420"/>
      </w:pPr>
      <w:rPr>
        <w:rFonts w:hint="eastAsia"/>
      </w:rPr>
    </w:lvl>
    <w:lvl w:ilvl="1" w:tentative="0">
      <w:start w:val="1"/>
      <w:numFmt w:val="lowerLetter"/>
      <w:lvlText w:val="%2)"/>
      <w:lvlJc w:val="left"/>
      <w:pPr>
        <w:ind w:left="840" w:hanging="420"/>
      </w:pPr>
    </w:lvl>
    <w:lvl w:ilvl="2" w:tentative="0">
      <w:start w:val="1"/>
      <w:numFmt w:val="decimal"/>
      <w:lvlText w:val="表4-%3"/>
      <w:lvlJc w:val="right"/>
      <w:pPr>
        <w:ind w:left="1260" w:hanging="420"/>
      </w:pPr>
      <w:rPr>
        <w:rFonts w:hint="default"/>
        <w:b/>
        <w:bCs/>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4E5039C"/>
    <w:multiLevelType w:val="multilevel"/>
    <w:tmpl w:val="64E5039C"/>
    <w:lvl w:ilvl="0" w:tentative="0">
      <w:start w:val="1"/>
      <w:numFmt w:val="decimal"/>
      <w:lvlText w:val="7.%1."/>
      <w:lvlJc w:val="left"/>
      <w:pPr>
        <w:ind w:left="420" w:hanging="42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3.%3"/>
      <w:lvlJc w:val="left"/>
      <w:pPr>
        <w:tabs>
          <w:tab w:val="left" w:pos="1080"/>
        </w:tabs>
        <w:ind w:left="709" w:hanging="709"/>
      </w:pPr>
      <w:rPr>
        <w:rFonts w:hint="eastAsia"/>
        <w:b/>
        <w:i w:val="0"/>
      </w:rPr>
    </w:lvl>
    <w:lvl w:ilvl="3" w:tentative="0">
      <w:start w:val="1"/>
      <w:numFmt w:val="decimal"/>
      <w:lvlRestart w:val="1"/>
      <w:lvlText w:val="表%1-%4"/>
      <w:lvlJc w:val="center"/>
      <w:pPr>
        <w:tabs>
          <w:tab w:val="left" w:pos="2153"/>
        </w:tabs>
        <w:ind w:left="2153" w:hanging="563"/>
      </w:pPr>
      <w:rPr>
        <w:rFonts w:hint="eastAsia" w:ascii="宋体" w:hAnsi="宋体" w:eastAsia="宋体"/>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68BC409B"/>
    <w:multiLevelType w:val="multilevel"/>
    <w:tmpl w:val="68BC409B"/>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E114D3C"/>
    <w:multiLevelType w:val="multilevel"/>
    <w:tmpl w:val="6E114D3C"/>
    <w:lvl w:ilvl="0" w:tentative="0">
      <w:start w:val="1"/>
      <w:numFmt w:val="decimal"/>
      <w:lvlText w:val="5.1.%1."/>
      <w:lvlJc w:val="left"/>
      <w:pPr>
        <w:ind w:left="420" w:hanging="42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7095E60"/>
    <w:multiLevelType w:val="multilevel"/>
    <w:tmpl w:val="77095E60"/>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7D86E39"/>
    <w:multiLevelType w:val="multilevel"/>
    <w:tmpl w:val="77D86E39"/>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D6850B4"/>
    <w:multiLevelType w:val="multilevel"/>
    <w:tmpl w:val="7D6850B4"/>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18"/>
  </w:num>
  <w:num w:numId="5">
    <w:abstractNumId w:val="5"/>
  </w:num>
  <w:num w:numId="6">
    <w:abstractNumId w:val="8"/>
  </w:num>
  <w:num w:numId="7">
    <w:abstractNumId w:val="11"/>
  </w:num>
  <w:num w:numId="8">
    <w:abstractNumId w:val="17"/>
  </w:num>
  <w:num w:numId="9">
    <w:abstractNumId w:val="13"/>
  </w:num>
  <w:num w:numId="10">
    <w:abstractNumId w:val="16"/>
  </w:num>
  <w:num w:numId="11">
    <w:abstractNumId w:val="4"/>
  </w:num>
  <w:num w:numId="12">
    <w:abstractNumId w:val="7"/>
  </w:num>
  <w:num w:numId="13">
    <w:abstractNumId w:val="14"/>
  </w:num>
  <w:num w:numId="14">
    <w:abstractNumId w:val="6"/>
  </w:num>
  <w:num w:numId="15">
    <w:abstractNumId w:val="15"/>
  </w:num>
  <w:num w:numId="16">
    <w:abstractNumId w:val="3"/>
  </w:num>
  <w:num w:numId="17">
    <w:abstractNumId w:val="9"/>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zM2JmZTA0YWVhODM5MTU0NWI3ZGFhYmY2NTM4MjQifQ=="/>
  </w:docVars>
  <w:rsids>
    <w:rsidRoot w:val="00A14947"/>
    <w:rsid w:val="00001189"/>
    <w:rsid w:val="00002DD1"/>
    <w:rsid w:val="00003367"/>
    <w:rsid w:val="0000346C"/>
    <w:rsid w:val="00004FE8"/>
    <w:rsid w:val="000060B3"/>
    <w:rsid w:val="000109A1"/>
    <w:rsid w:val="000123B8"/>
    <w:rsid w:val="00014524"/>
    <w:rsid w:val="000149FF"/>
    <w:rsid w:val="00015088"/>
    <w:rsid w:val="00015B9C"/>
    <w:rsid w:val="000162EA"/>
    <w:rsid w:val="00016B5C"/>
    <w:rsid w:val="00017E6F"/>
    <w:rsid w:val="00021138"/>
    <w:rsid w:val="0002175D"/>
    <w:rsid w:val="000219DF"/>
    <w:rsid w:val="00022155"/>
    <w:rsid w:val="00023480"/>
    <w:rsid w:val="000247E4"/>
    <w:rsid w:val="00024938"/>
    <w:rsid w:val="00024E26"/>
    <w:rsid w:val="000261E7"/>
    <w:rsid w:val="0002633D"/>
    <w:rsid w:val="00032883"/>
    <w:rsid w:val="00033D30"/>
    <w:rsid w:val="00033F79"/>
    <w:rsid w:val="000349C4"/>
    <w:rsid w:val="00035BD7"/>
    <w:rsid w:val="0003641D"/>
    <w:rsid w:val="00036DC8"/>
    <w:rsid w:val="00036F10"/>
    <w:rsid w:val="0003701A"/>
    <w:rsid w:val="000372E3"/>
    <w:rsid w:val="00037475"/>
    <w:rsid w:val="000375F7"/>
    <w:rsid w:val="0003780A"/>
    <w:rsid w:val="0004060A"/>
    <w:rsid w:val="00040889"/>
    <w:rsid w:val="00041748"/>
    <w:rsid w:val="00041FEF"/>
    <w:rsid w:val="0004342E"/>
    <w:rsid w:val="0004364B"/>
    <w:rsid w:val="00043805"/>
    <w:rsid w:val="00044D2B"/>
    <w:rsid w:val="00044E18"/>
    <w:rsid w:val="00045140"/>
    <w:rsid w:val="000453CD"/>
    <w:rsid w:val="00050FD7"/>
    <w:rsid w:val="000514E0"/>
    <w:rsid w:val="00052003"/>
    <w:rsid w:val="00052406"/>
    <w:rsid w:val="000551A7"/>
    <w:rsid w:val="00055F6E"/>
    <w:rsid w:val="00056991"/>
    <w:rsid w:val="000570BD"/>
    <w:rsid w:val="00060D03"/>
    <w:rsid w:val="00061B1F"/>
    <w:rsid w:val="00061BFC"/>
    <w:rsid w:val="00061C96"/>
    <w:rsid w:val="000624E5"/>
    <w:rsid w:val="00063AA2"/>
    <w:rsid w:val="00067529"/>
    <w:rsid w:val="00067DAD"/>
    <w:rsid w:val="00070574"/>
    <w:rsid w:val="00070A9C"/>
    <w:rsid w:val="000710D0"/>
    <w:rsid w:val="000715AE"/>
    <w:rsid w:val="0007215E"/>
    <w:rsid w:val="0007254E"/>
    <w:rsid w:val="000733C4"/>
    <w:rsid w:val="00073737"/>
    <w:rsid w:val="00073EF1"/>
    <w:rsid w:val="00074783"/>
    <w:rsid w:val="00077AD6"/>
    <w:rsid w:val="0008070B"/>
    <w:rsid w:val="00080A2E"/>
    <w:rsid w:val="000810AC"/>
    <w:rsid w:val="00081A02"/>
    <w:rsid w:val="00082149"/>
    <w:rsid w:val="00082231"/>
    <w:rsid w:val="00082C3B"/>
    <w:rsid w:val="000840A1"/>
    <w:rsid w:val="00084D30"/>
    <w:rsid w:val="0008577E"/>
    <w:rsid w:val="00092C14"/>
    <w:rsid w:val="00092D38"/>
    <w:rsid w:val="0009377B"/>
    <w:rsid w:val="00093819"/>
    <w:rsid w:val="000938BC"/>
    <w:rsid w:val="000939AC"/>
    <w:rsid w:val="0009612A"/>
    <w:rsid w:val="0009795F"/>
    <w:rsid w:val="000A0376"/>
    <w:rsid w:val="000A0657"/>
    <w:rsid w:val="000A20C9"/>
    <w:rsid w:val="000A42AC"/>
    <w:rsid w:val="000A475C"/>
    <w:rsid w:val="000A500E"/>
    <w:rsid w:val="000A52F1"/>
    <w:rsid w:val="000A5F40"/>
    <w:rsid w:val="000A6016"/>
    <w:rsid w:val="000A6E90"/>
    <w:rsid w:val="000B04CE"/>
    <w:rsid w:val="000B058F"/>
    <w:rsid w:val="000B171C"/>
    <w:rsid w:val="000B1875"/>
    <w:rsid w:val="000B1C93"/>
    <w:rsid w:val="000B390E"/>
    <w:rsid w:val="000B4467"/>
    <w:rsid w:val="000B47A7"/>
    <w:rsid w:val="000B4DB9"/>
    <w:rsid w:val="000B59E7"/>
    <w:rsid w:val="000B5A0F"/>
    <w:rsid w:val="000B783C"/>
    <w:rsid w:val="000C09AC"/>
    <w:rsid w:val="000C09E9"/>
    <w:rsid w:val="000C19F1"/>
    <w:rsid w:val="000C54EF"/>
    <w:rsid w:val="000C5752"/>
    <w:rsid w:val="000C6956"/>
    <w:rsid w:val="000C767F"/>
    <w:rsid w:val="000D0337"/>
    <w:rsid w:val="000D0B34"/>
    <w:rsid w:val="000D1451"/>
    <w:rsid w:val="000D1A8D"/>
    <w:rsid w:val="000D2D3A"/>
    <w:rsid w:val="000D46C9"/>
    <w:rsid w:val="000D4B29"/>
    <w:rsid w:val="000D5A44"/>
    <w:rsid w:val="000D5F5C"/>
    <w:rsid w:val="000D6980"/>
    <w:rsid w:val="000E07A5"/>
    <w:rsid w:val="000E17E8"/>
    <w:rsid w:val="000E251C"/>
    <w:rsid w:val="000E28C2"/>
    <w:rsid w:val="000E2E2E"/>
    <w:rsid w:val="000E3ED2"/>
    <w:rsid w:val="000E49E8"/>
    <w:rsid w:val="000E5566"/>
    <w:rsid w:val="000E5716"/>
    <w:rsid w:val="000E726B"/>
    <w:rsid w:val="000E727F"/>
    <w:rsid w:val="000F0977"/>
    <w:rsid w:val="000F1384"/>
    <w:rsid w:val="000F5BA1"/>
    <w:rsid w:val="000F60A5"/>
    <w:rsid w:val="000F7303"/>
    <w:rsid w:val="000F7480"/>
    <w:rsid w:val="00101222"/>
    <w:rsid w:val="001014DE"/>
    <w:rsid w:val="00103B0B"/>
    <w:rsid w:val="00104148"/>
    <w:rsid w:val="00106FD6"/>
    <w:rsid w:val="00112748"/>
    <w:rsid w:val="001132C7"/>
    <w:rsid w:val="00114E60"/>
    <w:rsid w:val="00115453"/>
    <w:rsid w:val="0011596E"/>
    <w:rsid w:val="0012019E"/>
    <w:rsid w:val="00124B0A"/>
    <w:rsid w:val="00125796"/>
    <w:rsid w:val="00125D02"/>
    <w:rsid w:val="00126149"/>
    <w:rsid w:val="001272BD"/>
    <w:rsid w:val="00130498"/>
    <w:rsid w:val="00130B37"/>
    <w:rsid w:val="00130F3B"/>
    <w:rsid w:val="00131F42"/>
    <w:rsid w:val="00131FD9"/>
    <w:rsid w:val="0013260B"/>
    <w:rsid w:val="00132B0F"/>
    <w:rsid w:val="001339F4"/>
    <w:rsid w:val="001357F1"/>
    <w:rsid w:val="00135D90"/>
    <w:rsid w:val="001364ED"/>
    <w:rsid w:val="00140013"/>
    <w:rsid w:val="00140FA8"/>
    <w:rsid w:val="00142FEB"/>
    <w:rsid w:val="00143052"/>
    <w:rsid w:val="001430E5"/>
    <w:rsid w:val="00143A2D"/>
    <w:rsid w:val="00144C54"/>
    <w:rsid w:val="00145A41"/>
    <w:rsid w:val="00145D67"/>
    <w:rsid w:val="00145ED5"/>
    <w:rsid w:val="0015006E"/>
    <w:rsid w:val="00151015"/>
    <w:rsid w:val="00151675"/>
    <w:rsid w:val="00151F16"/>
    <w:rsid w:val="00152013"/>
    <w:rsid w:val="00152CF0"/>
    <w:rsid w:val="00153C00"/>
    <w:rsid w:val="00154BD0"/>
    <w:rsid w:val="00157435"/>
    <w:rsid w:val="00157A8E"/>
    <w:rsid w:val="00157BC8"/>
    <w:rsid w:val="00157C9E"/>
    <w:rsid w:val="00157CE1"/>
    <w:rsid w:val="00160A71"/>
    <w:rsid w:val="0016214D"/>
    <w:rsid w:val="001626A7"/>
    <w:rsid w:val="00164A4D"/>
    <w:rsid w:val="00164BEA"/>
    <w:rsid w:val="001650CA"/>
    <w:rsid w:val="00165EC4"/>
    <w:rsid w:val="00166E4A"/>
    <w:rsid w:val="00166E8B"/>
    <w:rsid w:val="00170912"/>
    <w:rsid w:val="00171999"/>
    <w:rsid w:val="0017289D"/>
    <w:rsid w:val="00173606"/>
    <w:rsid w:val="00174655"/>
    <w:rsid w:val="00174C56"/>
    <w:rsid w:val="0017504D"/>
    <w:rsid w:val="0017671A"/>
    <w:rsid w:val="00176773"/>
    <w:rsid w:val="00176F71"/>
    <w:rsid w:val="00177422"/>
    <w:rsid w:val="001812DC"/>
    <w:rsid w:val="0018164C"/>
    <w:rsid w:val="0018398E"/>
    <w:rsid w:val="00184590"/>
    <w:rsid w:val="00184AE1"/>
    <w:rsid w:val="00184F64"/>
    <w:rsid w:val="001870D1"/>
    <w:rsid w:val="0018781E"/>
    <w:rsid w:val="0019013D"/>
    <w:rsid w:val="00190B45"/>
    <w:rsid w:val="00192012"/>
    <w:rsid w:val="0019262D"/>
    <w:rsid w:val="00192C34"/>
    <w:rsid w:val="00193594"/>
    <w:rsid w:val="00194C20"/>
    <w:rsid w:val="0019670C"/>
    <w:rsid w:val="001A094C"/>
    <w:rsid w:val="001A1B35"/>
    <w:rsid w:val="001A1CC2"/>
    <w:rsid w:val="001A2419"/>
    <w:rsid w:val="001A2825"/>
    <w:rsid w:val="001A48A2"/>
    <w:rsid w:val="001A5AF0"/>
    <w:rsid w:val="001A6AE1"/>
    <w:rsid w:val="001A6F61"/>
    <w:rsid w:val="001A74AD"/>
    <w:rsid w:val="001B0E10"/>
    <w:rsid w:val="001B3727"/>
    <w:rsid w:val="001B70A5"/>
    <w:rsid w:val="001B712D"/>
    <w:rsid w:val="001B72B8"/>
    <w:rsid w:val="001B7703"/>
    <w:rsid w:val="001B7A6D"/>
    <w:rsid w:val="001C075E"/>
    <w:rsid w:val="001C14C0"/>
    <w:rsid w:val="001C2A74"/>
    <w:rsid w:val="001C4409"/>
    <w:rsid w:val="001C5A05"/>
    <w:rsid w:val="001C69B3"/>
    <w:rsid w:val="001C7797"/>
    <w:rsid w:val="001C781C"/>
    <w:rsid w:val="001D17F6"/>
    <w:rsid w:val="001D27BA"/>
    <w:rsid w:val="001D35FD"/>
    <w:rsid w:val="001D46F9"/>
    <w:rsid w:val="001D5595"/>
    <w:rsid w:val="001D580E"/>
    <w:rsid w:val="001D6452"/>
    <w:rsid w:val="001D7874"/>
    <w:rsid w:val="001D7B08"/>
    <w:rsid w:val="001D7F22"/>
    <w:rsid w:val="001E06DC"/>
    <w:rsid w:val="001E0735"/>
    <w:rsid w:val="001E1291"/>
    <w:rsid w:val="001E163E"/>
    <w:rsid w:val="001E212F"/>
    <w:rsid w:val="001E21FF"/>
    <w:rsid w:val="001E294E"/>
    <w:rsid w:val="001E3207"/>
    <w:rsid w:val="001E33DE"/>
    <w:rsid w:val="001E439D"/>
    <w:rsid w:val="001E4D97"/>
    <w:rsid w:val="001E5EEC"/>
    <w:rsid w:val="001E7BA3"/>
    <w:rsid w:val="001F088F"/>
    <w:rsid w:val="001F0F17"/>
    <w:rsid w:val="001F1674"/>
    <w:rsid w:val="001F21DD"/>
    <w:rsid w:val="001F3347"/>
    <w:rsid w:val="001F3375"/>
    <w:rsid w:val="001F3679"/>
    <w:rsid w:val="001F5F82"/>
    <w:rsid w:val="001F5FBE"/>
    <w:rsid w:val="001F69E4"/>
    <w:rsid w:val="001F7106"/>
    <w:rsid w:val="002033E7"/>
    <w:rsid w:val="00204E7C"/>
    <w:rsid w:val="0020574B"/>
    <w:rsid w:val="00205D62"/>
    <w:rsid w:val="00210217"/>
    <w:rsid w:val="00210293"/>
    <w:rsid w:val="00211C96"/>
    <w:rsid w:val="00211E53"/>
    <w:rsid w:val="00212493"/>
    <w:rsid w:val="002125B4"/>
    <w:rsid w:val="002125E7"/>
    <w:rsid w:val="00212745"/>
    <w:rsid w:val="0021278E"/>
    <w:rsid w:val="002127E9"/>
    <w:rsid w:val="00213CD9"/>
    <w:rsid w:val="00214B88"/>
    <w:rsid w:val="002155B8"/>
    <w:rsid w:val="00215621"/>
    <w:rsid w:val="0021663E"/>
    <w:rsid w:val="0021737C"/>
    <w:rsid w:val="002178DC"/>
    <w:rsid w:val="00222350"/>
    <w:rsid w:val="002235E9"/>
    <w:rsid w:val="00224839"/>
    <w:rsid w:val="002249B2"/>
    <w:rsid w:val="0022548B"/>
    <w:rsid w:val="00225FDF"/>
    <w:rsid w:val="00226574"/>
    <w:rsid w:val="00226CF0"/>
    <w:rsid w:val="002273AD"/>
    <w:rsid w:val="002278EC"/>
    <w:rsid w:val="00230592"/>
    <w:rsid w:val="0023227A"/>
    <w:rsid w:val="0023280E"/>
    <w:rsid w:val="00233175"/>
    <w:rsid w:val="00233E02"/>
    <w:rsid w:val="00234BDB"/>
    <w:rsid w:val="002355C5"/>
    <w:rsid w:val="00235854"/>
    <w:rsid w:val="0023620A"/>
    <w:rsid w:val="002377D1"/>
    <w:rsid w:val="00240FD3"/>
    <w:rsid w:val="002415EE"/>
    <w:rsid w:val="002416E7"/>
    <w:rsid w:val="00241DC0"/>
    <w:rsid w:val="002436F7"/>
    <w:rsid w:val="00243FA1"/>
    <w:rsid w:val="0024421E"/>
    <w:rsid w:val="002443DD"/>
    <w:rsid w:val="00244500"/>
    <w:rsid w:val="00244B3A"/>
    <w:rsid w:val="00244F10"/>
    <w:rsid w:val="002461A2"/>
    <w:rsid w:val="00246BC3"/>
    <w:rsid w:val="002477C1"/>
    <w:rsid w:val="002477CB"/>
    <w:rsid w:val="00247963"/>
    <w:rsid w:val="002506BC"/>
    <w:rsid w:val="00250C59"/>
    <w:rsid w:val="00250D39"/>
    <w:rsid w:val="002510DD"/>
    <w:rsid w:val="00251104"/>
    <w:rsid w:val="00251B47"/>
    <w:rsid w:val="00252F0F"/>
    <w:rsid w:val="00254345"/>
    <w:rsid w:val="00255787"/>
    <w:rsid w:val="002560E8"/>
    <w:rsid w:val="00256D23"/>
    <w:rsid w:val="002571D3"/>
    <w:rsid w:val="00257673"/>
    <w:rsid w:val="00260F46"/>
    <w:rsid w:val="0026149B"/>
    <w:rsid w:val="00262912"/>
    <w:rsid w:val="00263174"/>
    <w:rsid w:val="002631B1"/>
    <w:rsid w:val="00263903"/>
    <w:rsid w:val="00264104"/>
    <w:rsid w:val="00264557"/>
    <w:rsid w:val="00266A5D"/>
    <w:rsid w:val="002670FB"/>
    <w:rsid w:val="00267167"/>
    <w:rsid w:val="00271651"/>
    <w:rsid w:val="0027262B"/>
    <w:rsid w:val="00273162"/>
    <w:rsid w:val="0027319D"/>
    <w:rsid w:val="00273268"/>
    <w:rsid w:val="002740BD"/>
    <w:rsid w:val="00275B78"/>
    <w:rsid w:val="00275C61"/>
    <w:rsid w:val="00276105"/>
    <w:rsid w:val="00276FB3"/>
    <w:rsid w:val="002774D1"/>
    <w:rsid w:val="00277814"/>
    <w:rsid w:val="00277B37"/>
    <w:rsid w:val="002805AB"/>
    <w:rsid w:val="0028353F"/>
    <w:rsid w:val="00283F2D"/>
    <w:rsid w:val="00284204"/>
    <w:rsid w:val="0028597B"/>
    <w:rsid w:val="00285B9A"/>
    <w:rsid w:val="0028628B"/>
    <w:rsid w:val="00286E5E"/>
    <w:rsid w:val="00290A9F"/>
    <w:rsid w:val="00290CDB"/>
    <w:rsid w:val="00291145"/>
    <w:rsid w:val="0029175E"/>
    <w:rsid w:val="00291773"/>
    <w:rsid w:val="00292AA1"/>
    <w:rsid w:val="00292E9E"/>
    <w:rsid w:val="00293B1C"/>
    <w:rsid w:val="00295B99"/>
    <w:rsid w:val="00295E0E"/>
    <w:rsid w:val="00296EC6"/>
    <w:rsid w:val="00297A16"/>
    <w:rsid w:val="002A02A2"/>
    <w:rsid w:val="002A0962"/>
    <w:rsid w:val="002A0BDC"/>
    <w:rsid w:val="002A150E"/>
    <w:rsid w:val="002A168C"/>
    <w:rsid w:val="002A3DC7"/>
    <w:rsid w:val="002A3F7C"/>
    <w:rsid w:val="002A5176"/>
    <w:rsid w:val="002A525A"/>
    <w:rsid w:val="002A7516"/>
    <w:rsid w:val="002A7C4F"/>
    <w:rsid w:val="002B1082"/>
    <w:rsid w:val="002B32E7"/>
    <w:rsid w:val="002B3AED"/>
    <w:rsid w:val="002B425C"/>
    <w:rsid w:val="002B43DD"/>
    <w:rsid w:val="002B4962"/>
    <w:rsid w:val="002B49CD"/>
    <w:rsid w:val="002B49E2"/>
    <w:rsid w:val="002B4A4D"/>
    <w:rsid w:val="002B542F"/>
    <w:rsid w:val="002B5A9B"/>
    <w:rsid w:val="002B7151"/>
    <w:rsid w:val="002B7876"/>
    <w:rsid w:val="002B7B00"/>
    <w:rsid w:val="002B7C44"/>
    <w:rsid w:val="002C06CC"/>
    <w:rsid w:val="002C149C"/>
    <w:rsid w:val="002C2B17"/>
    <w:rsid w:val="002C47E3"/>
    <w:rsid w:val="002C4846"/>
    <w:rsid w:val="002C549E"/>
    <w:rsid w:val="002C57B3"/>
    <w:rsid w:val="002C78BE"/>
    <w:rsid w:val="002D06AF"/>
    <w:rsid w:val="002D0C98"/>
    <w:rsid w:val="002D1139"/>
    <w:rsid w:val="002D1EAB"/>
    <w:rsid w:val="002D3DD0"/>
    <w:rsid w:val="002D41D6"/>
    <w:rsid w:val="002D4838"/>
    <w:rsid w:val="002D4860"/>
    <w:rsid w:val="002D48DB"/>
    <w:rsid w:val="002D5961"/>
    <w:rsid w:val="002E0586"/>
    <w:rsid w:val="002E16FE"/>
    <w:rsid w:val="002E1F3A"/>
    <w:rsid w:val="002E298A"/>
    <w:rsid w:val="002E2BE3"/>
    <w:rsid w:val="002E4237"/>
    <w:rsid w:val="002E5A76"/>
    <w:rsid w:val="002F0F7B"/>
    <w:rsid w:val="002F233C"/>
    <w:rsid w:val="002F256E"/>
    <w:rsid w:val="002F278A"/>
    <w:rsid w:val="002F3D98"/>
    <w:rsid w:val="002F45B8"/>
    <w:rsid w:val="002F545E"/>
    <w:rsid w:val="002F546E"/>
    <w:rsid w:val="002F6D88"/>
    <w:rsid w:val="002F6E70"/>
    <w:rsid w:val="002F7F94"/>
    <w:rsid w:val="003006D4"/>
    <w:rsid w:val="00301051"/>
    <w:rsid w:val="00301978"/>
    <w:rsid w:val="0030332C"/>
    <w:rsid w:val="00303AC9"/>
    <w:rsid w:val="003051C2"/>
    <w:rsid w:val="00310FC5"/>
    <w:rsid w:val="0031148A"/>
    <w:rsid w:val="00312113"/>
    <w:rsid w:val="00312296"/>
    <w:rsid w:val="00314F0E"/>
    <w:rsid w:val="00315962"/>
    <w:rsid w:val="00316A8A"/>
    <w:rsid w:val="00317005"/>
    <w:rsid w:val="003173C8"/>
    <w:rsid w:val="00321ADA"/>
    <w:rsid w:val="00321D8E"/>
    <w:rsid w:val="003234BD"/>
    <w:rsid w:val="00324507"/>
    <w:rsid w:val="00325928"/>
    <w:rsid w:val="00325E15"/>
    <w:rsid w:val="003273DB"/>
    <w:rsid w:val="003276AB"/>
    <w:rsid w:val="0032778C"/>
    <w:rsid w:val="00327D35"/>
    <w:rsid w:val="00330552"/>
    <w:rsid w:val="00332863"/>
    <w:rsid w:val="00333EEA"/>
    <w:rsid w:val="0033684D"/>
    <w:rsid w:val="0033729B"/>
    <w:rsid w:val="00337A9D"/>
    <w:rsid w:val="00337B42"/>
    <w:rsid w:val="00337C74"/>
    <w:rsid w:val="00340AE5"/>
    <w:rsid w:val="00341295"/>
    <w:rsid w:val="00341B42"/>
    <w:rsid w:val="00341BC9"/>
    <w:rsid w:val="003423D3"/>
    <w:rsid w:val="0034348F"/>
    <w:rsid w:val="00344A9D"/>
    <w:rsid w:val="00344BA4"/>
    <w:rsid w:val="00345D8B"/>
    <w:rsid w:val="00345F74"/>
    <w:rsid w:val="00346A23"/>
    <w:rsid w:val="00347399"/>
    <w:rsid w:val="00350079"/>
    <w:rsid w:val="003511A6"/>
    <w:rsid w:val="00352726"/>
    <w:rsid w:val="00352E50"/>
    <w:rsid w:val="00353591"/>
    <w:rsid w:val="00353A3E"/>
    <w:rsid w:val="00356653"/>
    <w:rsid w:val="003568C0"/>
    <w:rsid w:val="0035743F"/>
    <w:rsid w:val="00357694"/>
    <w:rsid w:val="00357A00"/>
    <w:rsid w:val="00357BE2"/>
    <w:rsid w:val="00360669"/>
    <w:rsid w:val="00361155"/>
    <w:rsid w:val="0036170C"/>
    <w:rsid w:val="00362350"/>
    <w:rsid w:val="00362E04"/>
    <w:rsid w:val="00364219"/>
    <w:rsid w:val="00366E0F"/>
    <w:rsid w:val="003708DB"/>
    <w:rsid w:val="00370C8E"/>
    <w:rsid w:val="00371257"/>
    <w:rsid w:val="00372539"/>
    <w:rsid w:val="00374324"/>
    <w:rsid w:val="00375002"/>
    <w:rsid w:val="00377B1F"/>
    <w:rsid w:val="00380B32"/>
    <w:rsid w:val="00381A72"/>
    <w:rsid w:val="00382236"/>
    <w:rsid w:val="00384676"/>
    <w:rsid w:val="003853E6"/>
    <w:rsid w:val="00385592"/>
    <w:rsid w:val="00385800"/>
    <w:rsid w:val="00386DEE"/>
    <w:rsid w:val="00387F14"/>
    <w:rsid w:val="00390857"/>
    <w:rsid w:val="00391D98"/>
    <w:rsid w:val="003958EE"/>
    <w:rsid w:val="00396166"/>
    <w:rsid w:val="003A23E4"/>
    <w:rsid w:val="003A244A"/>
    <w:rsid w:val="003A2901"/>
    <w:rsid w:val="003A36E5"/>
    <w:rsid w:val="003A4BF3"/>
    <w:rsid w:val="003A604E"/>
    <w:rsid w:val="003A6B5F"/>
    <w:rsid w:val="003A76E6"/>
    <w:rsid w:val="003B1546"/>
    <w:rsid w:val="003B16E2"/>
    <w:rsid w:val="003B22E3"/>
    <w:rsid w:val="003B2948"/>
    <w:rsid w:val="003B30CA"/>
    <w:rsid w:val="003B420D"/>
    <w:rsid w:val="003B5676"/>
    <w:rsid w:val="003B56B9"/>
    <w:rsid w:val="003B689C"/>
    <w:rsid w:val="003B6C37"/>
    <w:rsid w:val="003B7717"/>
    <w:rsid w:val="003C11D7"/>
    <w:rsid w:val="003C216F"/>
    <w:rsid w:val="003C4085"/>
    <w:rsid w:val="003C5C53"/>
    <w:rsid w:val="003C640B"/>
    <w:rsid w:val="003C6C16"/>
    <w:rsid w:val="003C77F0"/>
    <w:rsid w:val="003C7A52"/>
    <w:rsid w:val="003C7CC4"/>
    <w:rsid w:val="003C7D2E"/>
    <w:rsid w:val="003D18E4"/>
    <w:rsid w:val="003D1EC4"/>
    <w:rsid w:val="003D3436"/>
    <w:rsid w:val="003D470F"/>
    <w:rsid w:val="003D4C60"/>
    <w:rsid w:val="003D5155"/>
    <w:rsid w:val="003D5A8C"/>
    <w:rsid w:val="003D794D"/>
    <w:rsid w:val="003E068C"/>
    <w:rsid w:val="003E19A9"/>
    <w:rsid w:val="003E1A9C"/>
    <w:rsid w:val="003E2A9C"/>
    <w:rsid w:val="003E3058"/>
    <w:rsid w:val="003E445E"/>
    <w:rsid w:val="003E4913"/>
    <w:rsid w:val="003E4CDE"/>
    <w:rsid w:val="003E52BB"/>
    <w:rsid w:val="003E76A9"/>
    <w:rsid w:val="003F024F"/>
    <w:rsid w:val="003F0809"/>
    <w:rsid w:val="003F13D3"/>
    <w:rsid w:val="003F1E55"/>
    <w:rsid w:val="003F23B1"/>
    <w:rsid w:val="003F4C7E"/>
    <w:rsid w:val="003F526B"/>
    <w:rsid w:val="003F56A1"/>
    <w:rsid w:val="003F5D71"/>
    <w:rsid w:val="003F5FE7"/>
    <w:rsid w:val="003F5FFE"/>
    <w:rsid w:val="003F6016"/>
    <w:rsid w:val="003F6A8C"/>
    <w:rsid w:val="003F755C"/>
    <w:rsid w:val="003F7675"/>
    <w:rsid w:val="0040018C"/>
    <w:rsid w:val="004001E3"/>
    <w:rsid w:val="00400CD1"/>
    <w:rsid w:val="004015CB"/>
    <w:rsid w:val="00401E49"/>
    <w:rsid w:val="00403188"/>
    <w:rsid w:val="00403270"/>
    <w:rsid w:val="004042A2"/>
    <w:rsid w:val="004047AA"/>
    <w:rsid w:val="00406F01"/>
    <w:rsid w:val="004107AB"/>
    <w:rsid w:val="0041171A"/>
    <w:rsid w:val="0041588B"/>
    <w:rsid w:val="004168A4"/>
    <w:rsid w:val="00416D20"/>
    <w:rsid w:val="00416D50"/>
    <w:rsid w:val="00416FD5"/>
    <w:rsid w:val="004175A0"/>
    <w:rsid w:val="00417772"/>
    <w:rsid w:val="00420E6A"/>
    <w:rsid w:val="00422666"/>
    <w:rsid w:val="004233DF"/>
    <w:rsid w:val="004254B6"/>
    <w:rsid w:val="00425A9E"/>
    <w:rsid w:val="00426D6B"/>
    <w:rsid w:val="00426E52"/>
    <w:rsid w:val="00426E66"/>
    <w:rsid w:val="00427A8A"/>
    <w:rsid w:val="004300BD"/>
    <w:rsid w:val="00430281"/>
    <w:rsid w:val="00430594"/>
    <w:rsid w:val="00430B2D"/>
    <w:rsid w:val="00430F25"/>
    <w:rsid w:val="00431E6C"/>
    <w:rsid w:val="00432600"/>
    <w:rsid w:val="00432B85"/>
    <w:rsid w:val="004333D9"/>
    <w:rsid w:val="00433CE7"/>
    <w:rsid w:val="0043634F"/>
    <w:rsid w:val="004364AC"/>
    <w:rsid w:val="00437369"/>
    <w:rsid w:val="0044053C"/>
    <w:rsid w:val="004407F0"/>
    <w:rsid w:val="0044153F"/>
    <w:rsid w:val="00444E08"/>
    <w:rsid w:val="00450206"/>
    <w:rsid w:val="00450624"/>
    <w:rsid w:val="0045097D"/>
    <w:rsid w:val="00451051"/>
    <w:rsid w:val="00452738"/>
    <w:rsid w:val="00452C0F"/>
    <w:rsid w:val="004530F2"/>
    <w:rsid w:val="004545A4"/>
    <w:rsid w:val="0045531D"/>
    <w:rsid w:val="00455369"/>
    <w:rsid w:val="00455B81"/>
    <w:rsid w:val="00456091"/>
    <w:rsid w:val="004601AB"/>
    <w:rsid w:val="00462070"/>
    <w:rsid w:val="004643ED"/>
    <w:rsid w:val="00464816"/>
    <w:rsid w:val="00466321"/>
    <w:rsid w:val="00467BB6"/>
    <w:rsid w:val="00470B15"/>
    <w:rsid w:val="00471253"/>
    <w:rsid w:val="0047154C"/>
    <w:rsid w:val="00471B3B"/>
    <w:rsid w:val="00473F80"/>
    <w:rsid w:val="00474E07"/>
    <w:rsid w:val="00475E64"/>
    <w:rsid w:val="00477D4F"/>
    <w:rsid w:val="00477E70"/>
    <w:rsid w:val="004800DA"/>
    <w:rsid w:val="004806C4"/>
    <w:rsid w:val="004809E1"/>
    <w:rsid w:val="00480D46"/>
    <w:rsid w:val="00484B9B"/>
    <w:rsid w:val="004855F6"/>
    <w:rsid w:val="00485638"/>
    <w:rsid w:val="0048661E"/>
    <w:rsid w:val="0049424E"/>
    <w:rsid w:val="00494670"/>
    <w:rsid w:val="004970A3"/>
    <w:rsid w:val="0049740F"/>
    <w:rsid w:val="004A2866"/>
    <w:rsid w:val="004A35AE"/>
    <w:rsid w:val="004A3823"/>
    <w:rsid w:val="004A3998"/>
    <w:rsid w:val="004A3B73"/>
    <w:rsid w:val="004A4E82"/>
    <w:rsid w:val="004A6D7D"/>
    <w:rsid w:val="004A7325"/>
    <w:rsid w:val="004A7859"/>
    <w:rsid w:val="004B0752"/>
    <w:rsid w:val="004B12A8"/>
    <w:rsid w:val="004B1532"/>
    <w:rsid w:val="004B1E6C"/>
    <w:rsid w:val="004B30BD"/>
    <w:rsid w:val="004B350F"/>
    <w:rsid w:val="004B37D9"/>
    <w:rsid w:val="004B63CC"/>
    <w:rsid w:val="004B6500"/>
    <w:rsid w:val="004B7AC4"/>
    <w:rsid w:val="004C2989"/>
    <w:rsid w:val="004C3B73"/>
    <w:rsid w:val="004C402D"/>
    <w:rsid w:val="004C5C43"/>
    <w:rsid w:val="004C5D1A"/>
    <w:rsid w:val="004D24B5"/>
    <w:rsid w:val="004D381A"/>
    <w:rsid w:val="004D422E"/>
    <w:rsid w:val="004D4873"/>
    <w:rsid w:val="004D79A0"/>
    <w:rsid w:val="004D7F26"/>
    <w:rsid w:val="004E2BD6"/>
    <w:rsid w:val="004E31AC"/>
    <w:rsid w:val="004E4982"/>
    <w:rsid w:val="004E4B4C"/>
    <w:rsid w:val="004E6744"/>
    <w:rsid w:val="004E6946"/>
    <w:rsid w:val="004E6C0B"/>
    <w:rsid w:val="004E6D94"/>
    <w:rsid w:val="004F08BB"/>
    <w:rsid w:val="004F13A4"/>
    <w:rsid w:val="004F1AD8"/>
    <w:rsid w:val="004F2764"/>
    <w:rsid w:val="004F2890"/>
    <w:rsid w:val="004F2C17"/>
    <w:rsid w:val="004F4E05"/>
    <w:rsid w:val="004F5731"/>
    <w:rsid w:val="004F712D"/>
    <w:rsid w:val="004F72A0"/>
    <w:rsid w:val="004F7356"/>
    <w:rsid w:val="005005D0"/>
    <w:rsid w:val="00500A9A"/>
    <w:rsid w:val="00502136"/>
    <w:rsid w:val="00502D95"/>
    <w:rsid w:val="005039CB"/>
    <w:rsid w:val="005040A5"/>
    <w:rsid w:val="00504FF3"/>
    <w:rsid w:val="0050558F"/>
    <w:rsid w:val="00505A69"/>
    <w:rsid w:val="00506286"/>
    <w:rsid w:val="00507180"/>
    <w:rsid w:val="005100D4"/>
    <w:rsid w:val="005102B3"/>
    <w:rsid w:val="00510813"/>
    <w:rsid w:val="00510C16"/>
    <w:rsid w:val="00510D37"/>
    <w:rsid w:val="00511681"/>
    <w:rsid w:val="00511990"/>
    <w:rsid w:val="005119FE"/>
    <w:rsid w:val="00511DE0"/>
    <w:rsid w:val="00514870"/>
    <w:rsid w:val="00514B66"/>
    <w:rsid w:val="00514B9B"/>
    <w:rsid w:val="00515F5F"/>
    <w:rsid w:val="00516417"/>
    <w:rsid w:val="00517178"/>
    <w:rsid w:val="00517F02"/>
    <w:rsid w:val="00520094"/>
    <w:rsid w:val="005206EA"/>
    <w:rsid w:val="00520850"/>
    <w:rsid w:val="00521848"/>
    <w:rsid w:val="0052304E"/>
    <w:rsid w:val="00523990"/>
    <w:rsid w:val="00524303"/>
    <w:rsid w:val="00524C98"/>
    <w:rsid w:val="005258A2"/>
    <w:rsid w:val="00526864"/>
    <w:rsid w:val="00527B72"/>
    <w:rsid w:val="00527CB9"/>
    <w:rsid w:val="00530F59"/>
    <w:rsid w:val="0053171C"/>
    <w:rsid w:val="00531C3D"/>
    <w:rsid w:val="00532CAF"/>
    <w:rsid w:val="0053343A"/>
    <w:rsid w:val="00535087"/>
    <w:rsid w:val="0053531D"/>
    <w:rsid w:val="0053727B"/>
    <w:rsid w:val="00537967"/>
    <w:rsid w:val="005401AE"/>
    <w:rsid w:val="00540387"/>
    <w:rsid w:val="00541A3F"/>
    <w:rsid w:val="00542299"/>
    <w:rsid w:val="005425A0"/>
    <w:rsid w:val="00542734"/>
    <w:rsid w:val="00542972"/>
    <w:rsid w:val="00542E07"/>
    <w:rsid w:val="005431F4"/>
    <w:rsid w:val="00544B05"/>
    <w:rsid w:val="0054511C"/>
    <w:rsid w:val="00545424"/>
    <w:rsid w:val="00545B4E"/>
    <w:rsid w:val="00545B6F"/>
    <w:rsid w:val="00547BF6"/>
    <w:rsid w:val="005510FE"/>
    <w:rsid w:val="0055120C"/>
    <w:rsid w:val="00551A42"/>
    <w:rsid w:val="00551F8B"/>
    <w:rsid w:val="0055327A"/>
    <w:rsid w:val="00553DB2"/>
    <w:rsid w:val="00554133"/>
    <w:rsid w:val="00554A7B"/>
    <w:rsid w:val="00554AEA"/>
    <w:rsid w:val="0055572C"/>
    <w:rsid w:val="005561F7"/>
    <w:rsid w:val="005564F9"/>
    <w:rsid w:val="00556862"/>
    <w:rsid w:val="00557B51"/>
    <w:rsid w:val="0056106A"/>
    <w:rsid w:val="00562BB5"/>
    <w:rsid w:val="00562BC8"/>
    <w:rsid w:val="00563B39"/>
    <w:rsid w:val="00564E9B"/>
    <w:rsid w:val="00566812"/>
    <w:rsid w:val="00567A7F"/>
    <w:rsid w:val="005711E2"/>
    <w:rsid w:val="005720AE"/>
    <w:rsid w:val="00573110"/>
    <w:rsid w:val="005731A8"/>
    <w:rsid w:val="005746D0"/>
    <w:rsid w:val="005811A4"/>
    <w:rsid w:val="00581C0A"/>
    <w:rsid w:val="00582573"/>
    <w:rsid w:val="005833DD"/>
    <w:rsid w:val="00585020"/>
    <w:rsid w:val="00586AB0"/>
    <w:rsid w:val="0059000B"/>
    <w:rsid w:val="005906DC"/>
    <w:rsid w:val="005929D0"/>
    <w:rsid w:val="005931AE"/>
    <w:rsid w:val="00594D77"/>
    <w:rsid w:val="005969E4"/>
    <w:rsid w:val="00597281"/>
    <w:rsid w:val="00597C55"/>
    <w:rsid w:val="005A06B7"/>
    <w:rsid w:val="005A0D27"/>
    <w:rsid w:val="005A1759"/>
    <w:rsid w:val="005A5AC3"/>
    <w:rsid w:val="005A68A7"/>
    <w:rsid w:val="005A6BE4"/>
    <w:rsid w:val="005A7E37"/>
    <w:rsid w:val="005B10DD"/>
    <w:rsid w:val="005B161C"/>
    <w:rsid w:val="005B1B32"/>
    <w:rsid w:val="005B27DE"/>
    <w:rsid w:val="005B35FB"/>
    <w:rsid w:val="005B38D5"/>
    <w:rsid w:val="005B3BC7"/>
    <w:rsid w:val="005B6873"/>
    <w:rsid w:val="005B6CC7"/>
    <w:rsid w:val="005B738A"/>
    <w:rsid w:val="005B7EB7"/>
    <w:rsid w:val="005C1022"/>
    <w:rsid w:val="005C1A39"/>
    <w:rsid w:val="005C1B5A"/>
    <w:rsid w:val="005C5794"/>
    <w:rsid w:val="005C59BF"/>
    <w:rsid w:val="005C5FD8"/>
    <w:rsid w:val="005C74E7"/>
    <w:rsid w:val="005C7B0D"/>
    <w:rsid w:val="005D17D9"/>
    <w:rsid w:val="005D1914"/>
    <w:rsid w:val="005D36AB"/>
    <w:rsid w:val="005D3952"/>
    <w:rsid w:val="005D475D"/>
    <w:rsid w:val="005D48D0"/>
    <w:rsid w:val="005D49A5"/>
    <w:rsid w:val="005D544C"/>
    <w:rsid w:val="005D7B10"/>
    <w:rsid w:val="005D7EBF"/>
    <w:rsid w:val="005D7ECC"/>
    <w:rsid w:val="005E013B"/>
    <w:rsid w:val="005E14ED"/>
    <w:rsid w:val="005E15E3"/>
    <w:rsid w:val="005E1EE3"/>
    <w:rsid w:val="005E31DE"/>
    <w:rsid w:val="005E42A1"/>
    <w:rsid w:val="005E42D9"/>
    <w:rsid w:val="005E6345"/>
    <w:rsid w:val="005F3607"/>
    <w:rsid w:val="005F4CAF"/>
    <w:rsid w:val="005F6325"/>
    <w:rsid w:val="005F6A24"/>
    <w:rsid w:val="005F6F0B"/>
    <w:rsid w:val="00600C86"/>
    <w:rsid w:val="00601346"/>
    <w:rsid w:val="0060168C"/>
    <w:rsid w:val="00601F1C"/>
    <w:rsid w:val="006028DA"/>
    <w:rsid w:val="00604317"/>
    <w:rsid w:val="00604F52"/>
    <w:rsid w:val="0060647E"/>
    <w:rsid w:val="00606FF7"/>
    <w:rsid w:val="006103C6"/>
    <w:rsid w:val="00610487"/>
    <w:rsid w:val="0061111F"/>
    <w:rsid w:val="0061486B"/>
    <w:rsid w:val="00614C99"/>
    <w:rsid w:val="0061556C"/>
    <w:rsid w:val="006156CC"/>
    <w:rsid w:val="006164B6"/>
    <w:rsid w:val="00616C10"/>
    <w:rsid w:val="006171CD"/>
    <w:rsid w:val="006177F7"/>
    <w:rsid w:val="00617C29"/>
    <w:rsid w:val="00617CC3"/>
    <w:rsid w:val="00620530"/>
    <w:rsid w:val="00620FFE"/>
    <w:rsid w:val="0062137A"/>
    <w:rsid w:val="00621639"/>
    <w:rsid w:val="00621E9A"/>
    <w:rsid w:val="00621EA2"/>
    <w:rsid w:val="00622666"/>
    <w:rsid w:val="00624013"/>
    <w:rsid w:val="006240AD"/>
    <w:rsid w:val="00625365"/>
    <w:rsid w:val="0062536B"/>
    <w:rsid w:val="006271AC"/>
    <w:rsid w:val="00627400"/>
    <w:rsid w:val="006305F0"/>
    <w:rsid w:val="00630A45"/>
    <w:rsid w:val="006326EE"/>
    <w:rsid w:val="00632D5C"/>
    <w:rsid w:val="0063456C"/>
    <w:rsid w:val="00634EE0"/>
    <w:rsid w:val="006358A6"/>
    <w:rsid w:val="00635FE2"/>
    <w:rsid w:val="006368FD"/>
    <w:rsid w:val="0063741B"/>
    <w:rsid w:val="006377A6"/>
    <w:rsid w:val="00637A3D"/>
    <w:rsid w:val="00640B6A"/>
    <w:rsid w:val="006411EF"/>
    <w:rsid w:val="00641D48"/>
    <w:rsid w:val="00641EDA"/>
    <w:rsid w:val="00642049"/>
    <w:rsid w:val="00642166"/>
    <w:rsid w:val="006422AF"/>
    <w:rsid w:val="00643DC2"/>
    <w:rsid w:val="00643FBE"/>
    <w:rsid w:val="00644892"/>
    <w:rsid w:val="00651733"/>
    <w:rsid w:val="00653180"/>
    <w:rsid w:val="0065320A"/>
    <w:rsid w:val="006539E0"/>
    <w:rsid w:val="00653DBE"/>
    <w:rsid w:val="00654C8A"/>
    <w:rsid w:val="0065779B"/>
    <w:rsid w:val="00660588"/>
    <w:rsid w:val="00660AB6"/>
    <w:rsid w:val="0066139B"/>
    <w:rsid w:val="00661612"/>
    <w:rsid w:val="00661D2E"/>
    <w:rsid w:val="00662A3E"/>
    <w:rsid w:val="00662BF6"/>
    <w:rsid w:val="00662CA1"/>
    <w:rsid w:val="00664686"/>
    <w:rsid w:val="00666055"/>
    <w:rsid w:val="00666628"/>
    <w:rsid w:val="00671395"/>
    <w:rsid w:val="006715B2"/>
    <w:rsid w:val="00671846"/>
    <w:rsid w:val="006720D0"/>
    <w:rsid w:val="00672C28"/>
    <w:rsid w:val="006736E7"/>
    <w:rsid w:val="00673DBD"/>
    <w:rsid w:val="006748B8"/>
    <w:rsid w:val="00674B3C"/>
    <w:rsid w:val="00675667"/>
    <w:rsid w:val="00676728"/>
    <w:rsid w:val="00676F1E"/>
    <w:rsid w:val="00676FE7"/>
    <w:rsid w:val="006775C3"/>
    <w:rsid w:val="0067795E"/>
    <w:rsid w:val="006809D8"/>
    <w:rsid w:val="00681303"/>
    <w:rsid w:val="00681751"/>
    <w:rsid w:val="00681CC2"/>
    <w:rsid w:val="00682C6D"/>
    <w:rsid w:val="00683083"/>
    <w:rsid w:val="00684919"/>
    <w:rsid w:val="00685566"/>
    <w:rsid w:val="00685AD4"/>
    <w:rsid w:val="0069004A"/>
    <w:rsid w:val="00690464"/>
    <w:rsid w:val="00690DE9"/>
    <w:rsid w:val="006911B5"/>
    <w:rsid w:val="0069173A"/>
    <w:rsid w:val="00691FC2"/>
    <w:rsid w:val="00692413"/>
    <w:rsid w:val="0069290A"/>
    <w:rsid w:val="006939E9"/>
    <w:rsid w:val="0069424D"/>
    <w:rsid w:val="00694971"/>
    <w:rsid w:val="00695260"/>
    <w:rsid w:val="00696147"/>
    <w:rsid w:val="006967DD"/>
    <w:rsid w:val="0069775A"/>
    <w:rsid w:val="00697813"/>
    <w:rsid w:val="00697AA7"/>
    <w:rsid w:val="006A02E3"/>
    <w:rsid w:val="006A030E"/>
    <w:rsid w:val="006A1035"/>
    <w:rsid w:val="006A183F"/>
    <w:rsid w:val="006A2C38"/>
    <w:rsid w:val="006A3EE8"/>
    <w:rsid w:val="006A478F"/>
    <w:rsid w:val="006A72BF"/>
    <w:rsid w:val="006B01E3"/>
    <w:rsid w:val="006B03F2"/>
    <w:rsid w:val="006B0828"/>
    <w:rsid w:val="006B2121"/>
    <w:rsid w:val="006B37DC"/>
    <w:rsid w:val="006B4F68"/>
    <w:rsid w:val="006B78B7"/>
    <w:rsid w:val="006C0162"/>
    <w:rsid w:val="006C0592"/>
    <w:rsid w:val="006C272E"/>
    <w:rsid w:val="006C3C4D"/>
    <w:rsid w:val="006C4267"/>
    <w:rsid w:val="006C46B9"/>
    <w:rsid w:val="006C5479"/>
    <w:rsid w:val="006C5B3A"/>
    <w:rsid w:val="006C62A5"/>
    <w:rsid w:val="006C6D9F"/>
    <w:rsid w:val="006D01BA"/>
    <w:rsid w:val="006D0219"/>
    <w:rsid w:val="006D04AF"/>
    <w:rsid w:val="006D13B5"/>
    <w:rsid w:val="006D19B4"/>
    <w:rsid w:val="006D30AF"/>
    <w:rsid w:val="006D32AA"/>
    <w:rsid w:val="006D52A4"/>
    <w:rsid w:val="006E0EF1"/>
    <w:rsid w:val="006E11EF"/>
    <w:rsid w:val="006E12FF"/>
    <w:rsid w:val="006E155A"/>
    <w:rsid w:val="006E156D"/>
    <w:rsid w:val="006E3BBB"/>
    <w:rsid w:val="006E4899"/>
    <w:rsid w:val="006E4B1D"/>
    <w:rsid w:val="006E607E"/>
    <w:rsid w:val="006E60DF"/>
    <w:rsid w:val="006E649D"/>
    <w:rsid w:val="006F0C8F"/>
    <w:rsid w:val="006F145A"/>
    <w:rsid w:val="006F1CA7"/>
    <w:rsid w:val="006F2377"/>
    <w:rsid w:val="006F31B9"/>
    <w:rsid w:val="006F44F9"/>
    <w:rsid w:val="006F48B9"/>
    <w:rsid w:val="006F70BE"/>
    <w:rsid w:val="006F7CCD"/>
    <w:rsid w:val="00701049"/>
    <w:rsid w:val="007012DA"/>
    <w:rsid w:val="00703CBD"/>
    <w:rsid w:val="00704201"/>
    <w:rsid w:val="00704667"/>
    <w:rsid w:val="007047E7"/>
    <w:rsid w:val="00706C5D"/>
    <w:rsid w:val="00707345"/>
    <w:rsid w:val="00707ABB"/>
    <w:rsid w:val="00710B11"/>
    <w:rsid w:val="007117E7"/>
    <w:rsid w:val="007120A4"/>
    <w:rsid w:val="007133F2"/>
    <w:rsid w:val="00713B10"/>
    <w:rsid w:val="0071536C"/>
    <w:rsid w:val="007154FD"/>
    <w:rsid w:val="007168C2"/>
    <w:rsid w:val="00716CA3"/>
    <w:rsid w:val="007172C4"/>
    <w:rsid w:val="007178A3"/>
    <w:rsid w:val="00720073"/>
    <w:rsid w:val="0072064D"/>
    <w:rsid w:val="00720E70"/>
    <w:rsid w:val="007213C1"/>
    <w:rsid w:val="007215C4"/>
    <w:rsid w:val="00721B49"/>
    <w:rsid w:val="00721CF3"/>
    <w:rsid w:val="007235E6"/>
    <w:rsid w:val="00725182"/>
    <w:rsid w:val="007254B6"/>
    <w:rsid w:val="00725A75"/>
    <w:rsid w:val="00726D49"/>
    <w:rsid w:val="00727E2D"/>
    <w:rsid w:val="007309BD"/>
    <w:rsid w:val="0073170C"/>
    <w:rsid w:val="00731B3E"/>
    <w:rsid w:val="00732922"/>
    <w:rsid w:val="00734674"/>
    <w:rsid w:val="00734EC3"/>
    <w:rsid w:val="007350E9"/>
    <w:rsid w:val="00735C17"/>
    <w:rsid w:val="00736C93"/>
    <w:rsid w:val="00740A88"/>
    <w:rsid w:val="007416A9"/>
    <w:rsid w:val="007434F8"/>
    <w:rsid w:val="00743938"/>
    <w:rsid w:val="0074400C"/>
    <w:rsid w:val="00746B46"/>
    <w:rsid w:val="00747D29"/>
    <w:rsid w:val="00750A14"/>
    <w:rsid w:val="0075162E"/>
    <w:rsid w:val="007525A3"/>
    <w:rsid w:val="00753523"/>
    <w:rsid w:val="00754034"/>
    <w:rsid w:val="00754BE7"/>
    <w:rsid w:val="00755116"/>
    <w:rsid w:val="0075579A"/>
    <w:rsid w:val="00756556"/>
    <w:rsid w:val="007570C8"/>
    <w:rsid w:val="0075750C"/>
    <w:rsid w:val="0075751A"/>
    <w:rsid w:val="00760796"/>
    <w:rsid w:val="007618C4"/>
    <w:rsid w:val="007624AB"/>
    <w:rsid w:val="0076300D"/>
    <w:rsid w:val="007641BC"/>
    <w:rsid w:val="00766113"/>
    <w:rsid w:val="00767980"/>
    <w:rsid w:val="00770B19"/>
    <w:rsid w:val="00771087"/>
    <w:rsid w:val="00771826"/>
    <w:rsid w:val="0077207F"/>
    <w:rsid w:val="007733BF"/>
    <w:rsid w:val="0077463F"/>
    <w:rsid w:val="00776FD3"/>
    <w:rsid w:val="00777413"/>
    <w:rsid w:val="00777CEA"/>
    <w:rsid w:val="0078052B"/>
    <w:rsid w:val="00781071"/>
    <w:rsid w:val="00781314"/>
    <w:rsid w:val="007814FB"/>
    <w:rsid w:val="00781A7A"/>
    <w:rsid w:val="007836EA"/>
    <w:rsid w:val="007837AD"/>
    <w:rsid w:val="00784CDA"/>
    <w:rsid w:val="00785E5B"/>
    <w:rsid w:val="00787655"/>
    <w:rsid w:val="007906C4"/>
    <w:rsid w:val="007910DD"/>
    <w:rsid w:val="007927F0"/>
    <w:rsid w:val="00793267"/>
    <w:rsid w:val="007940EA"/>
    <w:rsid w:val="0079478D"/>
    <w:rsid w:val="00795B80"/>
    <w:rsid w:val="007967E8"/>
    <w:rsid w:val="00796ADE"/>
    <w:rsid w:val="00796DF9"/>
    <w:rsid w:val="0079763F"/>
    <w:rsid w:val="007A089E"/>
    <w:rsid w:val="007A1245"/>
    <w:rsid w:val="007A2170"/>
    <w:rsid w:val="007A22BF"/>
    <w:rsid w:val="007A28A8"/>
    <w:rsid w:val="007A3323"/>
    <w:rsid w:val="007A527A"/>
    <w:rsid w:val="007A5881"/>
    <w:rsid w:val="007A5C21"/>
    <w:rsid w:val="007A6101"/>
    <w:rsid w:val="007B061D"/>
    <w:rsid w:val="007B09C4"/>
    <w:rsid w:val="007B0D15"/>
    <w:rsid w:val="007B1763"/>
    <w:rsid w:val="007B1CC6"/>
    <w:rsid w:val="007B259D"/>
    <w:rsid w:val="007B38E2"/>
    <w:rsid w:val="007B50D8"/>
    <w:rsid w:val="007B72B8"/>
    <w:rsid w:val="007B7970"/>
    <w:rsid w:val="007B7A58"/>
    <w:rsid w:val="007C03A0"/>
    <w:rsid w:val="007C0D38"/>
    <w:rsid w:val="007C102D"/>
    <w:rsid w:val="007C21B5"/>
    <w:rsid w:val="007C365D"/>
    <w:rsid w:val="007C41F0"/>
    <w:rsid w:val="007C4EE6"/>
    <w:rsid w:val="007C5F5F"/>
    <w:rsid w:val="007C7CF7"/>
    <w:rsid w:val="007D0BAF"/>
    <w:rsid w:val="007D4059"/>
    <w:rsid w:val="007D5572"/>
    <w:rsid w:val="007D576C"/>
    <w:rsid w:val="007D5A90"/>
    <w:rsid w:val="007D7C87"/>
    <w:rsid w:val="007E024B"/>
    <w:rsid w:val="007E0916"/>
    <w:rsid w:val="007E0E5B"/>
    <w:rsid w:val="007E421A"/>
    <w:rsid w:val="007E4AA2"/>
    <w:rsid w:val="007E4BD2"/>
    <w:rsid w:val="007F1955"/>
    <w:rsid w:val="007F215A"/>
    <w:rsid w:val="007F215B"/>
    <w:rsid w:val="007F2986"/>
    <w:rsid w:val="007F3D33"/>
    <w:rsid w:val="007F3DFF"/>
    <w:rsid w:val="007F47E6"/>
    <w:rsid w:val="007F6FB5"/>
    <w:rsid w:val="007F7FB4"/>
    <w:rsid w:val="0080107F"/>
    <w:rsid w:val="00801393"/>
    <w:rsid w:val="00802502"/>
    <w:rsid w:val="00802F88"/>
    <w:rsid w:val="00802FDC"/>
    <w:rsid w:val="008030E3"/>
    <w:rsid w:val="00804774"/>
    <w:rsid w:val="00806A8B"/>
    <w:rsid w:val="00807AA8"/>
    <w:rsid w:val="00810933"/>
    <w:rsid w:val="00810CF7"/>
    <w:rsid w:val="00810D78"/>
    <w:rsid w:val="0081186F"/>
    <w:rsid w:val="0081293E"/>
    <w:rsid w:val="00813C93"/>
    <w:rsid w:val="00814941"/>
    <w:rsid w:val="00814E8E"/>
    <w:rsid w:val="00815465"/>
    <w:rsid w:val="00815491"/>
    <w:rsid w:val="0081550F"/>
    <w:rsid w:val="00815BF5"/>
    <w:rsid w:val="008169D9"/>
    <w:rsid w:val="00816AEC"/>
    <w:rsid w:val="00817BC7"/>
    <w:rsid w:val="00817E9A"/>
    <w:rsid w:val="008206E8"/>
    <w:rsid w:val="008214B3"/>
    <w:rsid w:val="0082225A"/>
    <w:rsid w:val="00824C1F"/>
    <w:rsid w:val="00826491"/>
    <w:rsid w:val="008266E5"/>
    <w:rsid w:val="00826B3D"/>
    <w:rsid w:val="00827C08"/>
    <w:rsid w:val="008302DA"/>
    <w:rsid w:val="008306BD"/>
    <w:rsid w:val="00830CBA"/>
    <w:rsid w:val="00831A80"/>
    <w:rsid w:val="0083236E"/>
    <w:rsid w:val="00833743"/>
    <w:rsid w:val="00834058"/>
    <w:rsid w:val="008340A4"/>
    <w:rsid w:val="00834121"/>
    <w:rsid w:val="00834EEE"/>
    <w:rsid w:val="0083585A"/>
    <w:rsid w:val="00836902"/>
    <w:rsid w:val="00840A27"/>
    <w:rsid w:val="00841DB5"/>
    <w:rsid w:val="00842571"/>
    <w:rsid w:val="00844130"/>
    <w:rsid w:val="008455B4"/>
    <w:rsid w:val="00846197"/>
    <w:rsid w:val="00846C5A"/>
    <w:rsid w:val="008529CC"/>
    <w:rsid w:val="00853236"/>
    <w:rsid w:val="0085513E"/>
    <w:rsid w:val="008567AE"/>
    <w:rsid w:val="00857223"/>
    <w:rsid w:val="008578A1"/>
    <w:rsid w:val="00857B29"/>
    <w:rsid w:val="00857CED"/>
    <w:rsid w:val="00857E6B"/>
    <w:rsid w:val="008608DE"/>
    <w:rsid w:val="008632C4"/>
    <w:rsid w:val="008634B0"/>
    <w:rsid w:val="00864199"/>
    <w:rsid w:val="008646A6"/>
    <w:rsid w:val="008662E8"/>
    <w:rsid w:val="00867DAD"/>
    <w:rsid w:val="0087135F"/>
    <w:rsid w:val="00871A22"/>
    <w:rsid w:val="00871C9A"/>
    <w:rsid w:val="00871FA8"/>
    <w:rsid w:val="00872157"/>
    <w:rsid w:val="0087221C"/>
    <w:rsid w:val="00872D3A"/>
    <w:rsid w:val="00872D94"/>
    <w:rsid w:val="00873E53"/>
    <w:rsid w:val="00874111"/>
    <w:rsid w:val="00875A41"/>
    <w:rsid w:val="00876575"/>
    <w:rsid w:val="00877677"/>
    <w:rsid w:val="00877B45"/>
    <w:rsid w:val="00877C11"/>
    <w:rsid w:val="00880364"/>
    <w:rsid w:val="0088258D"/>
    <w:rsid w:val="00882F9C"/>
    <w:rsid w:val="00883902"/>
    <w:rsid w:val="00884CF1"/>
    <w:rsid w:val="00885F1C"/>
    <w:rsid w:val="00886638"/>
    <w:rsid w:val="00886B1A"/>
    <w:rsid w:val="00887D51"/>
    <w:rsid w:val="00890EE4"/>
    <w:rsid w:val="00891592"/>
    <w:rsid w:val="00891E9E"/>
    <w:rsid w:val="00891F91"/>
    <w:rsid w:val="008927F2"/>
    <w:rsid w:val="0089367A"/>
    <w:rsid w:val="008938DE"/>
    <w:rsid w:val="00894F7A"/>
    <w:rsid w:val="008959EE"/>
    <w:rsid w:val="0089622E"/>
    <w:rsid w:val="0089627A"/>
    <w:rsid w:val="0089671D"/>
    <w:rsid w:val="008972CE"/>
    <w:rsid w:val="0089747B"/>
    <w:rsid w:val="00897723"/>
    <w:rsid w:val="008A007E"/>
    <w:rsid w:val="008A0342"/>
    <w:rsid w:val="008A0A89"/>
    <w:rsid w:val="008A2F68"/>
    <w:rsid w:val="008A3EF2"/>
    <w:rsid w:val="008A5468"/>
    <w:rsid w:val="008A56C2"/>
    <w:rsid w:val="008A5870"/>
    <w:rsid w:val="008A5956"/>
    <w:rsid w:val="008A6587"/>
    <w:rsid w:val="008A6972"/>
    <w:rsid w:val="008A7747"/>
    <w:rsid w:val="008B0B22"/>
    <w:rsid w:val="008B2958"/>
    <w:rsid w:val="008B2A63"/>
    <w:rsid w:val="008B33A4"/>
    <w:rsid w:val="008B3A4B"/>
    <w:rsid w:val="008B43E1"/>
    <w:rsid w:val="008B4FA6"/>
    <w:rsid w:val="008B5282"/>
    <w:rsid w:val="008B6260"/>
    <w:rsid w:val="008B6AAB"/>
    <w:rsid w:val="008B7528"/>
    <w:rsid w:val="008B7C17"/>
    <w:rsid w:val="008C17E2"/>
    <w:rsid w:val="008C2A9E"/>
    <w:rsid w:val="008C2BCF"/>
    <w:rsid w:val="008C2D01"/>
    <w:rsid w:val="008C3199"/>
    <w:rsid w:val="008C3AD6"/>
    <w:rsid w:val="008C40E6"/>
    <w:rsid w:val="008C419B"/>
    <w:rsid w:val="008C4674"/>
    <w:rsid w:val="008D0F7A"/>
    <w:rsid w:val="008D1948"/>
    <w:rsid w:val="008D2963"/>
    <w:rsid w:val="008D37C5"/>
    <w:rsid w:val="008D55B2"/>
    <w:rsid w:val="008D68E4"/>
    <w:rsid w:val="008D71BC"/>
    <w:rsid w:val="008E0506"/>
    <w:rsid w:val="008E0CFF"/>
    <w:rsid w:val="008E10BF"/>
    <w:rsid w:val="008E17B0"/>
    <w:rsid w:val="008E2CFC"/>
    <w:rsid w:val="008E2D5F"/>
    <w:rsid w:val="008E3657"/>
    <w:rsid w:val="008E44FF"/>
    <w:rsid w:val="008E479B"/>
    <w:rsid w:val="008E50B0"/>
    <w:rsid w:val="008E56DC"/>
    <w:rsid w:val="008E584D"/>
    <w:rsid w:val="008E5942"/>
    <w:rsid w:val="008E5D6B"/>
    <w:rsid w:val="008E6271"/>
    <w:rsid w:val="008E63F4"/>
    <w:rsid w:val="008E734A"/>
    <w:rsid w:val="008E76F0"/>
    <w:rsid w:val="008F0948"/>
    <w:rsid w:val="008F0E7A"/>
    <w:rsid w:val="008F15FE"/>
    <w:rsid w:val="008F190A"/>
    <w:rsid w:val="008F2D29"/>
    <w:rsid w:val="008F3835"/>
    <w:rsid w:val="008F3974"/>
    <w:rsid w:val="008F3A13"/>
    <w:rsid w:val="008F3A3F"/>
    <w:rsid w:val="008F4093"/>
    <w:rsid w:val="008F4DE9"/>
    <w:rsid w:val="008F5187"/>
    <w:rsid w:val="008F593E"/>
    <w:rsid w:val="008F5B9D"/>
    <w:rsid w:val="008F60D8"/>
    <w:rsid w:val="008F6A47"/>
    <w:rsid w:val="008F6FAB"/>
    <w:rsid w:val="00900439"/>
    <w:rsid w:val="00901306"/>
    <w:rsid w:val="00902727"/>
    <w:rsid w:val="0090312B"/>
    <w:rsid w:val="00903C53"/>
    <w:rsid w:val="00904DF0"/>
    <w:rsid w:val="00905119"/>
    <w:rsid w:val="009051CB"/>
    <w:rsid w:val="00905514"/>
    <w:rsid w:val="00905794"/>
    <w:rsid w:val="00905AA9"/>
    <w:rsid w:val="009063D3"/>
    <w:rsid w:val="00906EA0"/>
    <w:rsid w:val="00907D17"/>
    <w:rsid w:val="00910098"/>
    <w:rsid w:val="00910E63"/>
    <w:rsid w:val="00910EAC"/>
    <w:rsid w:val="00911C10"/>
    <w:rsid w:val="009120DC"/>
    <w:rsid w:val="00913013"/>
    <w:rsid w:val="00916051"/>
    <w:rsid w:val="009161FB"/>
    <w:rsid w:val="0091736D"/>
    <w:rsid w:val="00920DAF"/>
    <w:rsid w:val="00921454"/>
    <w:rsid w:val="0092147B"/>
    <w:rsid w:val="0092171D"/>
    <w:rsid w:val="00921A9E"/>
    <w:rsid w:val="00922433"/>
    <w:rsid w:val="009225DD"/>
    <w:rsid w:val="00922C78"/>
    <w:rsid w:val="00922FE7"/>
    <w:rsid w:val="00923172"/>
    <w:rsid w:val="009262C5"/>
    <w:rsid w:val="00926784"/>
    <w:rsid w:val="0093037A"/>
    <w:rsid w:val="009324D6"/>
    <w:rsid w:val="00933406"/>
    <w:rsid w:val="00934874"/>
    <w:rsid w:val="00934EC7"/>
    <w:rsid w:val="00935EF5"/>
    <w:rsid w:val="00936FAD"/>
    <w:rsid w:val="00940BD0"/>
    <w:rsid w:val="0094104D"/>
    <w:rsid w:val="0094154D"/>
    <w:rsid w:val="0094465A"/>
    <w:rsid w:val="00944B1B"/>
    <w:rsid w:val="0094620C"/>
    <w:rsid w:val="009466A2"/>
    <w:rsid w:val="00950ACC"/>
    <w:rsid w:val="009511EE"/>
    <w:rsid w:val="0095155F"/>
    <w:rsid w:val="00951A8A"/>
    <w:rsid w:val="009535A0"/>
    <w:rsid w:val="00953B7E"/>
    <w:rsid w:val="00954429"/>
    <w:rsid w:val="00955053"/>
    <w:rsid w:val="009563CE"/>
    <w:rsid w:val="009611B4"/>
    <w:rsid w:val="00962343"/>
    <w:rsid w:val="00962430"/>
    <w:rsid w:val="0096261E"/>
    <w:rsid w:val="00962E74"/>
    <w:rsid w:val="00963320"/>
    <w:rsid w:val="0096357E"/>
    <w:rsid w:val="00963B54"/>
    <w:rsid w:val="00964945"/>
    <w:rsid w:val="009661B1"/>
    <w:rsid w:val="009673F2"/>
    <w:rsid w:val="00967B38"/>
    <w:rsid w:val="009713E0"/>
    <w:rsid w:val="00971DD2"/>
    <w:rsid w:val="0097494F"/>
    <w:rsid w:val="00974EF0"/>
    <w:rsid w:val="00975AA2"/>
    <w:rsid w:val="00976328"/>
    <w:rsid w:val="0097680D"/>
    <w:rsid w:val="00981755"/>
    <w:rsid w:val="00982438"/>
    <w:rsid w:val="0098404C"/>
    <w:rsid w:val="00984202"/>
    <w:rsid w:val="00985283"/>
    <w:rsid w:val="009858EE"/>
    <w:rsid w:val="00986762"/>
    <w:rsid w:val="009867A1"/>
    <w:rsid w:val="00986DAA"/>
    <w:rsid w:val="00987B36"/>
    <w:rsid w:val="00990386"/>
    <w:rsid w:val="00991474"/>
    <w:rsid w:val="00991F60"/>
    <w:rsid w:val="00992134"/>
    <w:rsid w:val="00993107"/>
    <w:rsid w:val="00993E6E"/>
    <w:rsid w:val="009943ED"/>
    <w:rsid w:val="00995387"/>
    <w:rsid w:val="0099577D"/>
    <w:rsid w:val="00995992"/>
    <w:rsid w:val="0099737C"/>
    <w:rsid w:val="009973D1"/>
    <w:rsid w:val="009A03E5"/>
    <w:rsid w:val="009A0F3B"/>
    <w:rsid w:val="009A18D8"/>
    <w:rsid w:val="009A1BB4"/>
    <w:rsid w:val="009A2579"/>
    <w:rsid w:val="009A2628"/>
    <w:rsid w:val="009A31B4"/>
    <w:rsid w:val="009A3200"/>
    <w:rsid w:val="009A3F95"/>
    <w:rsid w:val="009A473E"/>
    <w:rsid w:val="009A5122"/>
    <w:rsid w:val="009A5281"/>
    <w:rsid w:val="009A6628"/>
    <w:rsid w:val="009A71E3"/>
    <w:rsid w:val="009A7F69"/>
    <w:rsid w:val="009B0005"/>
    <w:rsid w:val="009B0897"/>
    <w:rsid w:val="009B0C9D"/>
    <w:rsid w:val="009B3581"/>
    <w:rsid w:val="009B38D6"/>
    <w:rsid w:val="009B3AA7"/>
    <w:rsid w:val="009B579F"/>
    <w:rsid w:val="009B6B85"/>
    <w:rsid w:val="009B6BC0"/>
    <w:rsid w:val="009B6D57"/>
    <w:rsid w:val="009B6D71"/>
    <w:rsid w:val="009B75E2"/>
    <w:rsid w:val="009B7BD9"/>
    <w:rsid w:val="009C004A"/>
    <w:rsid w:val="009C0341"/>
    <w:rsid w:val="009C2C1B"/>
    <w:rsid w:val="009C3F33"/>
    <w:rsid w:val="009C508C"/>
    <w:rsid w:val="009C5FEF"/>
    <w:rsid w:val="009C7DD5"/>
    <w:rsid w:val="009D1C45"/>
    <w:rsid w:val="009D20C8"/>
    <w:rsid w:val="009D3982"/>
    <w:rsid w:val="009D43B8"/>
    <w:rsid w:val="009D4C33"/>
    <w:rsid w:val="009D5508"/>
    <w:rsid w:val="009E077A"/>
    <w:rsid w:val="009E1275"/>
    <w:rsid w:val="009E149D"/>
    <w:rsid w:val="009E1535"/>
    <w:rsid w:val="009E1C9D"/>
    <w:rsid w:val="009E21F0"/>
    <w:rsid w:val="009E2213"/>
    <w:rsid w:val="009E227D"/>
    <w:rsid w:val="009E362C"/>
    <w:rsid w:val="009E37BD"/>
    <w:rsid w:val="009E4EFD"/>
    <w:rsid w:val="009E5019"/>
    <w:rsid w:val="009E5B44"/>
    <w:rsid w:val="009E5B47"/>
    <w:rsid w:val="009E62FC"/>
    <w:rsid w:val="009E64E1"/>
    <w:rsid w:val="009E67CD"/>
    <w:rsid w:val="009E746A"/>
    <w:rsid w:val="009E76ED"/>
    <w:rsid w:val="009E7C0E"/>
    <w:rsid w:val="009F0E65"/>
    <w:rsid w:val="009F1683"/>
    <w:rsid w:val="009F16A3"/>
    <w:rsid w:val="009F199A"/>
    <w:rsid w:val="009F3FC2"/>
    <w:rsid w:val="009F4043"/>
    <w:rsid w:val="009F48FF"/>
    <w:rsid w:val="009F5658"/>
    <w:rsid w:val="009F5D7C"/>
    <w:rsid w:val="009F7F0D"/>
    <w:rsid w:val="00A01853"/>
    <w:rsid w:val="00A01C2D"/>
    <w:rsid w:val="00A02B3C"/>
    <w:rsid w:val="00A034EB"/>
    <w:rsid w:val="00A03543"/>
    <w:rsid w:val="00A0363F"/>
    <w:rsid w:val="00A03F1F"/>
    <w:rsid w:val="00A04F1B"/>
    <w:rsid w:val="00A0501B"/>
    <w:rsid w:val="00A0527F"/>
    <w:rsid w:val="00A05292"/>
    <w:rsid w:val="00A05420"/>
    <w:rsid w:val="00A07249"/>
    <w:rsid w:val="00A07399"/>
    <w:rsid w:val="00A07752"/>
    <w:rsid w:val="00A11378"/>
    <w:rsid w:val="00A118B6"/>
    <w:rsid w:val="00A12BD6"/>
    <w:rsid w:val="00A13597"/>
    <w:rsid w:val="00A139AB"/>
    <w:rsid w:val="00A14947"/>
    <w:rsid w:val="00A15016"/>
    <w:rsid w:val="00A161CF"/>
    <w:rsid w:val="00A1771B"/>
    <w:rsid w:val="00A17B82"/>
    <w:rsid w:val="00A2162D"/>
    <w:rsid w:val="00A22232"/>
    <w:rsid w:val="00A23191"/>
    <w:rsid w:val="00A2321E"/>
    <w:rsid w:val="00A247FF"/>
    <w:rsid w:val="00A24AB6"/>
    <w:rsid w:val="00A25908"/>
    <w:rsid w:val="00A27DB0"/>
    <w:rsid w:val="00A30101"/>
    <w:rsid w:val="00A303AF"/>
    <w:rsid w:val="00A318CD"/>
    <w:rsid w:val="00A32A83"/>
    <w:rsid w:val="00A33C60"/>
    <w:rsid w:val="00A368DB"/>
    <w:rsid w:val="00A400A2"/>
    <w:rsid w:val="00A407C4"/>
    <w:rsid w:val="00A40A9A"/>
    <w:rsid w:val="00A40B20"/>
    <w:rsid w:val="00A40E38"/>
    <w:rsid w:val="00A4172E"/>
    <w:rsid w:val="00A417DF"/>
    <w:rsid w:val="00A41961"/>
    <w:rsid w:val="00A423AA"/>
    <w:rsid w:val="00A42BC1"/>
    <w:rsid w:val="00A42E70"/>
    <w:rsid w:val="00A43242"/>
    <w:rsid w:val="00A43DC2"/>
    <w:rsid w:val="00A4422D"/>
    <w:rsid w:val="00A44B13"/>
    <w:rsid w:val="00A44DD3"/>
    <w:rsid w:val="00A46008"/>
    <w:rsid w:val="00A47834"/>
    <w:rsid w:val="00A504AB"/>
    <w:rsid w:val="00A5257E"/>
    <w:rsid w:val="00A52D8B"/>
    <w:rsid w:val="00A53EC6"/>
    <w:rsid w:val="00A54D68"/>
    <w:rsid w:val="00A55C0F"/>
    <w:rsid w:val="00A57375"/>
    <w:rsid w:val="00A6230B"/>
    <w:rsid w:val="00A62850"/>
    <w:rsid w:val="00A63F62"/>
    <w:rsid w:val="00A645AB"/>
    <w:rsid w:val="00A64C69"/>
    <w:rsid w:val="00A67637"/>
    <w:rsid w:val="00A67660"/>
    <w:rsid w:val="00A677BB"/>
    <w:rsid w:val="00A70C87"/>
    <w:rsid w:val="00A72B44"/>
    <w:rsid w:val="00A73627"/>
    <w:rsid w:val="00A7369B"/>
    <w:rsid w:val="00A744D6"/>
    <w:rsid w:val="00A75A36"/>
    <w:rsid w:val="00A75C35"/>
    <w:rsid w:val="00A770A9"/>
    <w:rsid w:val="00A77107"/>
    <w:rsid w:val="00A775CA"/>
    <w:rsid w:val="00A80314"/>
    <w:rsid w:val="00A819FE"/>
    <w:rsid w:val="00A82A00"/>
    <w:rsid w:val="00A83BB0"/>
    <w:rsid w:val="00A83FDC"/>
    <w:rsid w:val="00A8548A"/>
    <w:rsid w:val="00A8713F"/>
    <w:rsid w:val="00A8729D"/>
    <w:rsid w:val="00A87347"/>
    <w:rsid w:val="00A873B1"/>
    <w:rsid w:val="00A878C7"/>
    <w:rsid w:val="00A90A62"/>
    <w:rsid w:val="00A90BA1"/>
    <w:rsid w:val="00A90D79"/>
    <w:rsid w:val="00A938A1"/>
    <w:rsid w:val="00A9523E"/>
    <w:rsid w:val="00A95714"/>
    <w:rsid w:val="00A961B7"/>
    <w:rsid w:val="00A97562"/>
    <w:rsid w:val="00A97A9A"/>
    <w:rsid w:val="00A97FDC"/>
    <w:rsid w:val="00AA02E7"/>
    <w:rsid w:val="00AA0671"/>
    <w:rsid w:val="00AA12A6"/>
    <w:rsid w:val="00AA2531"/>
    <w:rsid w:val="00AA2D7E"/>
    <w:rsid w:val="00AA303D"/>
    <w:rsid w:val="00AA42DA"/>
    <w:rsid w:val="00AA4451"/>
    <w:rsid w:val="00AA4DF3"/>
    <w:rsid w:val="00AA4E81"/>
    <w:rsid w:val="00AA4F3E"/>
    <w:rsid w:val="00AA517E"/>
    <w:rsid w:val="00AA51D3"/>
    <w:rsid w:val="00AA5379"/>
    <w:rsid w:val="00AA605B"/>
    <w:rsid w:val="00AA62D5"/>
    <w:rsid w:val="00AA70F9"/>
    <w:rsid w:val="00AA75A2"/>
    <w:rsid w:val="00AB0650"/>
    <w:rsid w:val="00AB1637"/>
    <w:rsid w:val="00AB1A83"/>
    <w:rsid w:val="00AB1E09"/>
    <w:rsid w:val="00AB2223"/>
    <w:rsid w:val="00AB22E8"/>
    <w:rsid w:val="00AB4F7D"/>
    <w:rsid w:val="00AB5330"/>
    <w:rsid w:val="00AB59CC"/>
    <w:rsid w:val="00AB7747"/>
    <w:rsid w:val="00AC023E"/>
    <w:rsid w:val="00AC0406"/>
    <w:rsid w:val="00AC14CE"/>
    <w:rsid w:val="00AC20AA"/>
    <w:rsid w:val="00AC235E"/>
    <w:rsid w:val="00AC28C0"/>
    <w:rsid w:val="00AC2A56"/>
    <w:rsid w:val="00AC33D1"/>
    <w:rsid w:val="00AC3700"/>
    <w:rsid w:val="00AC46A1"/>
    <w:rsid w:val="00AC46FF"/>
    <w:rsid w:val="00AC4A0D"/>
    <w:rsid w:val="00AC5236"/>
    <w:rsid w:val="00AC5468"/>
    <w:rsid w:val="00AC714E"/>
    <w:rsid w:val="00AC71DC"/>
    <w:rsid w:val="00AC78B3"/>
    <w:rsid w:val="00AC7B36"/>
    <w:rsid w:val="00AD0114"/>
    <w:rsid w:val="00AD0209"/>
    <w:rsid w:val="00AD055E"/>
    <w:rsid w:val="00AD1A32"/>
    <w:rsid w:val="00AD31AA"/>
    <w:rsid w:val="00AD47A7"/>
    <w:rsid w:val="00AD674B"/>
    <w:rsid w:val="00AE0A4C"/>
    <w:rsid w:val="00AE1330"/>
    <w:rsid w:val="00AE318F"/>
    <w:rsid w:val="00AE328E"/>
    <w:rsid w:val="00AE35C8"/>
    <w:rsid w:val="00AE3C94"/>
    <w:rsid w:val="00AE3EB7"/>
    <w:rsid w:val="00AE5A28"/>
    <w:rsid w:val="00AE5C09"/>
    <w:rsid w:val="00AE5D67"/>
    <w:rsid w:val="00AE67AE"/>
    <w:rsid w:val="00AE6B0B"/>
    <w:rsid w:val="00AF02F1"/>
    <w:rsid w:val="00AF0CBF"/>
    <w:rsid w:val="00AF257F"/>
    <w:rsid w:val="00AF33CF"/>
    <w:rsid w:val="00AF3FE6"/>
    <w:rsid w:val="00AF4D50"/>
    <w:rsid w:val="00AF4E3C"/>
    <w:rsid w:val="00AF6179"/>
    <w:rsid w:val="00B0002F"/>
    <w:rsid w:val="00B0267A"/>
    <w:rsid w:val="00B078AB"/>
    <w:rsid w:val="00B07BB9"/>
    <w:rsid w:val="00B109E3"/>
    <w:rsid w:val="00B1128B"/>
    <w:rsid w:val="00B12137"/>
    <w:rsid w:val="00B1295A"/>
    <w:rsid w:val="00B12CEC"/>
    <w:rsid w:val="00B14EE9"/>
    <w:rsid w:val="00B166AE"/>
    <w:rsid w:val="00B16A2E"/>
    <w:rsid w:val="00B17FAA"/>
    <w:rsid w:val="00B20371"/>
    <w:rsid w:val="00B209B5"/>
    <w:rsid w:val="00B20A45"/>
    <w:rsid w:val="00B22C5C"/>
    <w:rsid w:val="00B2356D"/>
    <w:rsid w:val="00B23EAD"/>
    <w:rsid w:val="00B24449"/>
    <w:rsid w:val="00B24F30"/>
    <w:rsid w:val="00B25B51"/>
    <w:rsid w:val="00B25C00"/>
    <w:rsid w:val="00B25FB2"/>
    <w:rsid w:val="00B26BC3"/>
    <w:rsid w:val="00B31ABF"/>
    <w:rsid w:val="00B31AF7"/>
    <w:rsid w:val="00B3250A"/>
    <w:rsid w:val="00B329B4"/>
    <w:rsid w:val="00B32B1F"/>
    <w:rsid w:val="00B32F0A"/>
    <w:rsid w:val="00B33BE3"/>
    <w:rsid w:val="00B343CA"/>
    <w:rsid w:val="00B34F8C"/>
    <w:rsid w:val="00B355A4"/>
    <w:rsid w:val="00B36E5A"/>
    <w:rsid w:val="00B374CD"/>
    <w:rsid w:val="00B37B7B"/>
    <w:rsid w:val="00B406A0"/>
    <w:rsid w:val="00B408A0"/>
    <w:rsid w:val="00B40CA1"/>
    <w:rsid w:val="00B40D6E"/>
    <w:rsid w:val="00B41147"/>
    <w:rsid w:val="00B41310"/>
    <w:rsid w:val="00B42B14"/>
    <w:rsid w:val="00B42B28"/>
    <w:rsid w:val="00B43209"/>
    <w:rsid w:val="00B43E8B"/>
    <w:rsid w:val="00B444A7"/>
    <w:rsid w:val="00B45E71"/>
    <w:rsid w:val="00B50C4C"/>
    <w:rsid w:val="00B51949"/>
    <w:rsid w:val="00B52539"/>
    <w:rsid w:val="00B53B5D"/>
    <w:rsid w:val="00B54423"/>
    <w:rsid w:val="00B546F6"/>
    <w:rsid w:val="00B54AB9"/>
    <w:rsid w:val="00B54FB9"/>
    <w:rsid w:val="00B55085"/>
    <w:rsid w:val="00B55F87"/>
    <w:rsid w:val="00B56E84"/>
    <w:rsid w:val="00B577B6"/>
    <w:rsid w:val="00B6055E"/>
    <w:rsid w:val="00B61E84"/>
    <w:rsid w:val="00B6317D"/>
    <w:rsid w:val="00B65CD6"/>
    <w:rsid w:val="00B664B1"/>
    <w:rsid w:val="00B672A9"/>
    <w:rsid w:val="00B6746C"/>
    <w:rsid w:val="00B676A8"/>
    <w:rsid w:val="00B676E7"/>
    <w:rsid w:val="00B702B7"/>
    <w:rsid w:val="00B70420"/>
    <w:rsid w:val="00B714B0"/>
    <w:rsid w:val="00B71A69"/>
    <w:rsid w:val="00B73D4F"/>
    <w:rsid w:val="00B771DB"/>
    <w:rsid w:val="00B7723F"/>
    <w:rsid w:val="00B77371"/>
    <w:rsid w:val="00B80534"/>
    <w:rsid w:val="00B80836"/>
    <w:rsid w:val="00B81E9C"/>
    <w:rsid w:val="00B834B9"/>
    <w:rsid w:val="00B834EB"/>
    <w:rsid w:val="00B836FE"/>
    <w:rsid w:val="00B83EB5"/>
    <w:rsid w:val="00B8433C"/>
    <w:rsid w:val="00B85F4D"/>
    <w:rsid w:val="00B8648E"/>
    <w:rsid w:val="00B87491"/>
    <w:rsid w:val="00B87811"/>
    <w:rsid w:val="00B878ED"/>
    <w:rsid w:val="00B911B2"/>
    <w:rsid w:val="00B93596"/>
    <w:rsid w:val="00B93EEE"/>
    <w:rsid w:val="00B94578"/>
    <w:rsid w:val="00B94580"/>
    <w:rsid w:val="00B94ABB"/>
    <w:rsid w:val="00B952FC"/>
    <w:rsid w:val="00B95332"/>
    <w:rsid w:val="00B96000"/>
    <w:rsid w:val="00B97DE8"/>
    <w:rsid w:val="00BA0D91"/>
    <w:rsid w:val="00BA28BA"/>
    <w:rsid w:val="00BA29E9"/>
    <w:rsid w:val="00BA3EA3"/>
    <w:rsid w:val="00BA5641"/>
    <w:rsid w:val="00BA5B72"/>
    <w:rsid w:val="00BA7142"/>
    <w:rsid w:val="00BA7C9C"/>
    <w:rsid w:val="00BA7DAE"/>
    <w:rsid w:val="00BA7F33"/>
    <w:rsid w:val="00BB0369"/>
    <w:rsid w:val="00BB046C"/>
    <w:rsid w:val="00BB0FF8"/>
    <w:rsid w:val="00BB1570"/>
    <w:rsid w:val="00BB237C"/>
    <w:rsid w:val="00BB2726"/>
    <w:rsid w:val="00BB41A3"/>
    <w:rsid w:val="00BB5730"/>
    <w:rsid w:val="00BB69D0"/>
    <w:rsid w:val="00BB706C"/>
    <w:rsid w:val="00BC0541"/>
    <w:rsid w:val="00BC11E6"/>
    <w:rsid w:val="00BC1963"/>
    <w:rsid w:val="00BC2850"/>
    <w:rsid w:val="00BC2AA0"/>
    <w:rsid w:val="00BC32DC"/>
    <w:rsid w:val="00BC35B6"/>
    <w:rsid w:val="00BC6A23"/>
    <w:rsid w:val="00BC7913"/>
    <w:rsid w:val="00BD1B51"/>
    <w:rsid w:val="00BD2D16"/>
    <w:rsid w:val="00BD3934"/>
    <w:rsid w:val="00BD43A0"/>
    <w:rsid w:val="00BD4596"/>
    <w:rsid w:val="00BD56EC"/>
    <w:rsid w:val="00BD5A3D"/>
    <w:rsid w:val="00BD5B8C"/>
    <w:rsid w:val="00BD6595"/>
    <w:rsid w:val="00BD6B11"/>
    <w:rsid w:val="00BD76B2"/>
    <w:rsid w:val="00BE047A"/>
    <w:rsid w:val="00BE1405"/>
    <w:rsid w:val="00BE222F"/>
    <w:rsid w:val="00BE312D"/>
    <w:rsid w:val="00BE4FBE"/>
    <w:rsid w:val="00BE54D3"/>
    <w:rsid w:val="00BF099B"/>
    <w:rsid w:val="00BF1084"/>
    <w:rsid w:val="00BF1AEC"/>
    <w:rsid w:val="00BF1C20"/>
    <w:rsid w:val="00BF237D"/>
    <w:rsid w:val="00BF3C1D"/>
    <w:rsid w:val="00BF3C8E"/>
    <w:rsid w:val="00BF454C"/>
    <w:rsid w:val="00BF5001"/>
    <w:rsid w:val="00BF5A0D"/>
    <w:rsid w:val="00BF68DA"/>
    <w:rsid w:val="00BF7531"/>
    <w:rsid w:val="00C00817"/>
    <w:rsid w:val="00C00D77"/>
    <w:rsid w:val="00C013C9"/>
    <w:rsid w:val="00C01D1A"/>
    <w:rsid w:val="00C01D35"/>
    <w:rsid w:val="00C01DF3"/>
    <w:rsid w:val="00C03138"/>
    <w:rsid w:val="00C104FE"/>
    <w:rsid w:val="00C10578"/>
    <w:rsid w:val="00C11999"/>
    <w:rsid w:val="00C12191"/>
    <w:rsid w:val="00C135BC"/>
    <w:rsid w:val="00C1496F"/>
    <w:rsid w:val="00C15C95"/>
    <w:rsid w:val="00C15FDE"/>
    <w:rsid w:val="00C201F3"/>
    <w:rsid w:val="00C20EC8"/>
    <w:rsid w:val="00C2159C"/>
    <w:rsid w:val="00C21C00"/>
    <w:rsid w:val="00C238E5"/>
    <w:rsid w:val="00C24D82"/>
    <w:rsid w:val="00C25492"/>
    <w:rsid w:val="00C2596A"/>
    <w:rsid w:val="00C26940"/>
    <w:rsid w:val="00C27537"/>
    <w:rsid w:val="00C302A7"/>
    <w:rsid w:val="00C3080C"/>
    <w:rsid w:val="00C32281"/>
    <w:rsid w:val="00C327FA"/>
    <w:rsid w:val="00C328FE"/>
    <w:rsid w:val="00C33507"/>
    <w:rsid w:val="00C3754F"/>
    <w:rsid w:val="00C40596"/>
    <w:rsid w:val="00C4112F"/>
    <w:rsid w:val="00C41D44"/>
    <w:rsid w:val="00C42114"/>
    <w:rsid w:val="00C4409D"/>
    <w:rsid w:val="00C44E72"/>
    <w:rsid w:val="00C45A06"/>
    <w:rsid w:val="00C47AD3"/>
    <w:rsid w:val="00C47E5B"/>
    <w:rsid w:val="00C47EC8"/>
    <w:rsid w:val="00C5035F"/>
    <w:rsid w:val="00C505E7"/>
    <w:rsid w:val="00C508B2"/>
    <w:rsid w:val="00C55BDC"/>
    <w:rsid w:val="00C56DCB"/>
    <w:rsid w:val="00C570EE"/>
    <w:rsid w:val="00C6031E"/>
    <w:rsid w:val="00C61A43"/>
    <w:rsid w:val="00C61C6A"/>
    <w:rsid w:val="00C61D66"/>
    <w:rsid w:val="00C61E4B"/>
    <w:rsid w:val="00C63E1C"/>
    <w:rsid w:val="00C64BFF"/>
    <w:rsid w:val="00C64D09"/>
    <w:rsid w:val="00C654F5"/>
    <w:rsid w:val="00C704E9"/>
    <w:rsid w:val="00C7127A"/>
    <w:rsid w:val="00C712BA"/>
    <w:rsid w:val="00C71DF2"/>
    <w:rsid w:val="00C728A3"/>
    <w:rsid w:val="00C7304B"/>
    <w:rsid w:val="00C73B11"/>
    <w:rsid w:val="00C75C94"/>
    <w:rsid w:val="00C7622C"/>
    <w:rsid w:val="00C763C9"/>
    <w:rsid w:val="00C76DF3"/>
    <w:rsid w:val="00C771F4"/>
    <w:rsid w:val="00C80057"/>
    <w:rsid w:val="00C8197B"/>
    <w:rsid w:val="00C82131"/>
    <w:rsid w:val="00C82232"/>
    <w:rsid w:val="00C82913"/>
    <w:rsid w:val="00C83F4F"/>
    <w:rsid w:val="00C842CA"/>
    <w:rsid w:val="00C8433E"/>
    <w:rsid w:val="00C85A4A"/>
    <w:rsid w:val="00C86C30"/>
    <w:rsid w:val="00C86EC0"/>
    <w:rsid w:val="00C87E67"/>
    <w:rsid w:val="00C901CD"/>
    <w:rsid w:val="00C9097A"/>
    <w:rsid w:val="00C91CC5"/>
    <w:rsid w:val="00C93B6B"/>
    <w:rsid w:val="00C946E9"/>
    <w:rsid w:val="00C94C2F"/>
    <w:rsid w:val="00C9607A"/>
    <w:rsid w:val="00C96DDB"/>
    <w:rsid w:val="00C972B1"/>
    <w:rsid w:val="00C97AD3"/>
    <w:rsid w:val="00CA06AF"/>
    <w:rsid w:val="00CA0923"/>
    <w:rsid w:val="00CA2355"/>
    <w:rsid w:val="00CA2434"/>
    <w:rsid w:val="00CA2CCE"/>
    <w:rsid w:val="00CA38FF"/>
    <w:rsid w:val="00CA43FD"/>
    <w:rsid w:val="00CA5E65"/>
    <w:rsid w:val="00CA637F"/>
    <w:rsid w:val="00CA63D9"/>
    <w:rsid w:val="00CA7800"/>
    <w:rsid w:val="00CA7EF8"/>
    <w:rsid w:val="00CB19CA"/>
    <w:rsid w:val="00CB1B0C"/>
    <w:rsid w:val="00CB23BB"/>
    <w:rsid w:val="00CB257C"/>
    <w:rsid w:val="00CB2F63"/>
    <w:rsid w:val="00CB4881"/>
    <w:rsid w:val="00CB6572"/>
    <w:rsid w:val="00CB6BEE"/>
    <w:rsid w:val="00CB72AB"/>
    <w:rsid w:val="00CB7E9B"/>
    <w:rsid w:val="00CB7F4A"/>
    <w:rsid w:val="00CC04F0"/>
    <w:rsid w:val="00CC068C"/>
    <w:rsid w:val="00CC0A6A"/>
    <w:rsid w:val="00CC35E0"/>
    <w:rsid w:val="00CC44A6"/>
    <w:rsid w:val="00CC47A1"/>
    <w:rsid w:val="00CC489B"/>
    <w:rsid w:val="00CC4A87"/>
    <w:rsid w:val="00CC55FA"/>
    <w:rsid w:val="00CC6768"/>
    <w:rsid w:val="00CC698F"/>
    <w:rsid w:val="00CC6ABA"/>
    <w:rsid w:val="00CD071A"/>
    <w:rsid w:val="00CD08FD"/>
    <w:rsid w:val="00CD17C2"/>
    <w:rsid w:val="00CD1E95"/>
    <w:rsid w:val="00CD2BCD"/>
    <w:rsid w:val="00CD33AF"/>
    <w:rsid w:val="00CD3A4C"/>
    <w:rsid w:val="00CD3AE2"/>
    <w:rsid w:val="00CD3B45"/>
    <w:rsid w:val="00CD40ED"/>
    <w:rsid w:val="00CD4455"/>
    <w:rsid w:val="00CD6CD6"/>
    <w:rsid w:val="00CE099B"/>
    <w:rsid w:val="00CE0A04"/>
    <w:rsid w:val="00CE10E9"/>
    <w:rsid w:val="00CE1CBC"/>
    <w:rsid w:val="00CE2193"/>
    <w:rsid w:val="00CE24EC"/>
    <w:rsid w:val="00CE2910"/>
    <w:rsid w:val="00CE3863"/>
    <w:rsid w:val="00CE3A56"/>
    <w:rsid w:val="00CE5313"/>
    <w:rsid w:val="00CE5393"/>
    <w:rsid w:val="00CE6420"/>
    <w:rsid w:val="00CF034D"/>
    <w:rsid w:val="00CF0375"/>
    <w:rsid w:val="00CF059A"/>
    <w:rsid w:val="00CF06DE"/>
    <w:rsid w:val="00CF07D5"/>
    <w:rsid w:val="00CF36BE"/>
    <w:rsid w:val="00CF36E7"/>
    <w:rsid w:val="00CF56E0"/>
    <w:rsid w:val="00CF6000"/>
    <w:rsid w:val="00CF6485"/>
    <w:rsid w:val="00D003F3"/>
    <w:rsid w:val="00D00FA6"/>
    <w:rsid w:val="00D013FF"/>
    <w:rsid w:val="00D01E9A"/>
    <w:rsid w:val="00D03443"/>
    <w:rsid w:val="00D0364F"/>
    <w:rsid w:val="00D04FD7"/>
    <w:rsid w:val="00D0525D"/>
    <w:rsid w:val="00D062E5"/>
    <w:rsid w:val="00D06834"/>
    <w:rsid w:val="00D06D14"/>
    <w:rsid w:val="00D11A05"/>
    <w:rsid w:val="00D1307A"/>
    <w:rsid w:val="00D1349C"/>
    <w:rsid w:val="00D136A4"/>
    <w:rsid w:val="00D14A3E"/>
    <w:rsid w:val="00D16020"/>
    <w:rsid w:val="00D17AA8"/>
    <w:rsid w:val="00D200D1"/>
    <w:rsid w:val="00D2029E"/>
    <w:rsid w:val="00D21939"/>
    <w:rsid w:val="00D21E57"/>
    <w:rsid w:val="00D2356F"/>
    <w:rsid w:val="00D23DD4"/>
    <w:rsid w:val="00D241A3"/>
    <w:rsid w:val="00D242E3"/>
    <w:rsid w:val="00D25A9F"/>
    <w:rsid w:val="00D25C70"/>
    <w:rsid w:val="00D26128"/>
    <w:rsid w:val="00D26A2F"/>
    <w:rsid w:val="00D308ED"/>
    <w:rsid w:val="00D30BE1"/>
    <w:rsid w:val="00D31A4E"/>
    <w:rsid w:val="00D3232E"/>
    <w:rsid w:val="00D32591"/>
    <w:rsid w:val="00D33282"/>
    <w:rsid w:val="00D33D47"/>
    <w:rsid w:val="00D354F2"/>
    <w:rsid w:val="00D35763"/>
    <w:rsid w:val="00D36D86"/>
    <w:rsid w:val="00D37772"/>
    <w:rsid w:val="00D41AB6"/>
    <w:rsid w:val="00D41C67"/>
    <w:rsid w:val="00D41D33"/>
    <w:rsid w:val="00D428AA"/>
    <w:rsid w:val="00D42960"/>
    <w:rsid w:val="00D43AA1"/>
    <w:rsid w:val="00D458EC"/>
    <w:rsid w:val="00D5040B"/>
    <w:rsid w:val="00D5043E"/>
    <w:rsid w:val="00D506A0"/>
    <w:rsid w:val="00D50A34"/>
    <w:rsid w:val="00D50C51"/>
    <w:rsid w:val="00D510E8"/>
    <w:rsid w:val="00D53EFA"/>
    <w:rsid w:val="00D56F80"/>
    <w:rsid w:val="00D633D9"/>
    <w:rsid w:val="00D64276"/>
    <w:rsid w:val="00D64A55"/>
    <w:rsid w:val="00D64B62"/>
    <w:rsid w:val="00D67227"/>
    <w:rsid w:val="00D70551"/>
    <w:rsid w:val="00D70A84"/>
    <w:rsid w:val="00D71332"/>
    <w:rsid w:val="00D7133A"/>
    <w:rsid w:val="00D71B95"/>
    <w:rsid w:val="00D71E80"/>
    <w:rsid w:val="00D73384"/>
    <w:rsid w:val="00D734E2"/>
    <w:rsid w:val="00D76E8B"/>
    <w:rsid w:val="00D81437"/>
    <w:rsid w:val="00D820F0"/>
    <w:rsid w:val="00D8372F"/>
    <w:rsid w:val="00D83CE9"/>
    <w:rsid w:val="00D84078"/>
    <w:rsid w:val="00D850D3"/>
    <w:rsid w:val="00D85F29"/>
    <w:rsid w:val="00D900C1"/>
    <w:rsid w:val="00D908A3"/>
    <w:rsid w:val="00D923DA"/>
    <w:rsid w:val="00D93A54"/>
    <w:rsid w:val="00D94A7C"/>
    <w:rsid w:val="00D95896"/>
    <w:rsid w:val="00D96384"/>
    <w:rsid w:val="00D9644E"/>
    <w:rsid w:val="00D965C9"/>
    <w:rsid w:val="00D96A9B"/>
    <w:rsid w:val="00DA0A61"/>
    <w:rsid w:val="00DA40A5"/>
    <w:rsid w:val="00DA45F9"/>
    <w:rsid w:val="00DA693B"/>
    <w:rsid w:val="00DB0DEB"/>
    <w:rsid w:val="00DB0FFE"/>
    <w:rsid w:val="00DB101B"/>
    <w:rsid w:val="00DB13EC"/>
    <w:rsid w:val="00DB1418"/>
    <w:rsid w:val="00DB1624"/>
    <w:rsid w:val="00DB231F"/>
    <w:rsid w:val="00DB2983"/>
    <w:rsid w:val="00DB3CDC"/>
    <w:rsid w:val="00DB3E50"/>
    <w:rsid w:val="00DB3F07"/>
    <w:rsid w:val="00DB4EE3"/>
    <w:rsid w:val="00DB55D2"/>
    <w:rsid w:val="00DB6BBE"/>
    <w:rsid w:val="00DB7072"/>
    <w:rsid w:val="00DC0414"/>
    <w:rsid w:val="00DC1257"/>
    <w:rsid w:val="00DC2C4E"/>
    <w:rsid w:val="00DC3DC0"/>
    <w:rsid w:val="00DC5B2B"/>
    <w:rsid w:val="00DC5E9A"/>
    <w:rsid w:val="00DC6313"/>
    <w:rsid w:val="00DC7149"/>
    <w:rsid w:val="00DC7403"/>
    <w:rsid w:val="00DC7C94"/>
    <w:rsid w:val="00DD0AFD"/>
    <w:rsid w:val="00DD1DF7"/>
    <w:rsid w:val="00DD2795"/>
    <w:rsid w:val="00DD28EB"/>
    <w:rsid w:val="00DD2960"/>
    <w:rsid w:val="00DD2C58"/>
    <w:rsid w:val="00DD318D"/>
    <w:rsid w:val="00DD400F"/>
    <w:rsid w:val="00DD47C4"/>
    <w:rsid w:val="00DD4B25"/>
    <w:rsid w:val="00DD4B99"/>
    <w:rsid w:val="00DD664A"/>
    <w:rsid w:val="00DD7E06"/>
    <w:rsid w:val="00DE5440"/>
    <w:rsid w:val="00DE65EA"/>
    <w:rsid w:val="00DE734A"/>
    <w:rsid w:val="00DE741F"/>
    <w:rsid w:val="00DE7650"/>
    <w:rsid w:val="00DE7FE7"/>
    <w:rsid w:val="00DF0850"/>
    <w:rsid w:val="00DF16BA"/>
    <w:rsid w:val="00DF18DC"/>
    <w:rsid w:val="00DF2E12"/>
    <w:rsid w:val="00DF4593"/>
    <w:rsid w:val="00DF514A"/>
    <w:rsid w:val="00DF5D13"/>
    <w:rsid w:val="00DF6690"/>
    <w:rsid w:val="00DF6804"/>
    <w:rsid w:val="00E00C4A"/>
    <w:rsid w:val="00E028D9"/>
    <w:rsid w:val="00E0358D"/>
    <w:rsid w:val="00E0366C"/>
    <w:rsid w:val="00E04323"/>
    <w:rsid w:val="00E05557"/>
    <w:rsid w:val="00E05D9B"/>
    <w:rsid w:val="00E06CD4"/>
    <w:rsid w:val="00E070A2"/>
    <w:rsid w:val="00E07AD7"/>
    <w:rsid w:val="00E10B29"/>
    <w:rsid w:val="00E119DE"/>
    <w:rsid w:val="00E127CE"/>
    <w:rsid w:val="00E12D0D"/>
    <w:rsid w:val="00E13771"/>
    <w:rsid w:val="00E142CA"/>
    <w:rsid w:val="00E14407"/>
    <w:rsid w:val="00E146DD"/>
    <w:rsid w:val="00E151CF"/>
    <w:rsid w:val="00E16D46"/>
    <w:rsid w:val="00E17A4F"/>
    <w:rsid w:val="00E17D87"/>
    <w:rsid w:val="00E20F2F"/>
    <w:rsid w:val="00E213AB"/>
    <w:rsid w:val="00E21A65"/>
    <w:rsid w:val="00E2231B"/>
    <w:rsid w:val="00E22C48"/>
    <w:rsid w:val="00E22CA8"/>
    <w:rsid w:val="00E22F6E"/>
    <w:rsid w:val="00E22FF5"/>
    <w:rsid w:val="00E23E3E"/>
    <w:rsid w:val="00E24E54"/>
    <w:rsid w:val="00E25FC2"/>
    <w:rsid w:val="00E264D5"/>
    <w:rsid w:val="00E2656A"/>
    <w:rsid w:val="00E27533"/>
    <w:rsid w:val="00E30A47"/>
    <w:rsid w:val="00E317F8"/>
    <w:rsid w:val="00E32540"/>
    <w:rsid w:val="00E32CB6"/>
    <w:rsid w:val="00E3353E"/>
    <w:rsid w:val="00E349A6"/>
    <w:rsid w:val="00E35191"/>
    <w:rsid w:val="00E37BDB"/>
    <w:rsid w:val="00E4021E"/>
    <w:rsid w:val="00E40595"/>
    <w:rsid w:val="00E4065D"/>
    <w:rsid w:val="00E40A60"/>
    <w:rsid w:val="00E40D59"/>
    <w:rsid w:val="00E412D0"/>
    <w:rsid w:val="00E4144B"/>
    <w:rsid w:val="00E41F34"/>
    <w:rsid w:val="00E41F57"/>
    <w:rsid w:val="00E4303E"/>
    <w:rsid w:val="00E4339A"/>
    <w:rsid w:val="00E45802"/>
    <w:rsid w:val="00E459D4"/>
    <w:rsid w:val="00E45B37"/>
    <w:rsid w:val="00E46E7A"/>
    <w:rsid w:val="00E46F23"/>
    <w:rsid w:val="00E47843"/>
    <w:rsid w:val="00E4793A"/>
    <w:rsid w:val="00E47BC0"/>
    <w:rsid w:val="00E504EE"/>
    <w:rsid w:val="00E50D34"/>
    <w:rsid w:val="00E50F59"/>
    <w:rsid w:val="00E542B5"/>
    <w:rsid w:val="00E54437"/>
    <w:rsid w:val="00E55BD9"/>
    <w:rsid w:val="00E55CC4"/>
    <w:rsid w:val="00E56322"/>
    <w:rsid w:val="00E5656B"/>
    <w:rsid w:val="00E571F5"/>
    <w:rsid w:val="00E601B1"/>
    <w:rsid w:val="00E60982"/>
    <w:rsid w:val="00E6191B"/>
    <w:rsid w:val="00E62C62"/>
    <w:rsid w:val="00E63D0E"/>
    <w:rsid w:val="00E63DB6"/>
    <w:rsid w:val="00E64697"/>
    <w:rsid w:val="00E654C1"/>
    <w:rsid w:val="00E654D5"/>
    <w:rsid w:val="00E65D97"/>
    <w:rsid w:val="00E665FC"/>
    <w:rsid w:val="00E67CFF"/>
    <w:rsid w:val="00E701E5"/>
    <w:rsid w:val="00E70933"/>
    <w:rsid w:val="00E70D48"/>
    <w:rsid w:val="00E72281"/>
    <w:rsid w:val="00E72A5A"/>
    <w:rsid w:val="00E73354"/>
    <w:rsid w:val="00E73B3A"/>
    <w:rsid w:val="00E74443"/>
    <w:rsid w:val="00E745B4"/>
    <w:rsid w:val="00E749FE"/>
    <w:rsid w:val="00E779F9"/>
    <w:rsid w:val="00E83065"/>
    <w:rsid w:val="00E8395E"/>
    <w:rsid w:val="00E83AA3"/>
    <w:rsid w:val="00E84EBF"/>
    <w:rsid w:val="00E85066"/>
    <w:rsid w:val="00E86229"/>
    <w:rsid w:val="00E87A5B"/>
    <w:rsid w:val="00E90464"/>
    <w:rsid w:val="00E91AC9"/>
    <w:rsid w:val="00E9242D"/>
    <w:rsid w:val="00E93574"/>
    <w:rsid w:val="00E96B36"/>
    <w:rsid w:val="00E971DB"/>
    <w:rsid w:val="00EA17B8"/>
    <w:rsid w:val="00EA1C74"/>
    <w:rsid w:val="00EA314E"/>
    <w:rsid w:val="00EA3791"/>
    <w:rsid w:val="00EA3960"/>
    <w:rsid w:val="00EA4A63"/>
    <w:rsid w:val="00EA592C"/>
    <w:rsid w:val="00EA59CC"/>
    <w:rsid w:val="00EA5BC0"/>
    <w:rsid w:val="00EA6180"/>
    <w:rsid w:val="00EA66A8"/>
    <w:rsid w:val="00EA6A56"/>
    <w:rsid w:val="00EA7B39"/>
    <w:rsid w:val="00EB11AA"/>
    <w:rsid w:val="00EB3095"/>
    <w:rsid w:val="00EB5255"/>
    <w:rsid w:val="00EB5565"/>
    <w:rsid w:val="00EB5C47"/>
    <w:rsid w:val="00EB7639"/>
    <w:rsid w:val="00EB7D62"/>
    <w:rsid w:val="00EC015C"/>
    <w:rsid w:val="00EC0448"/>
    <w:rsid w:val="00EC0975"/>
    <w:rsid w:val="00EC09C9"/>
    <w:rsid w:val="00EC0AFF"/>
    <w:rsid w:val="00EC164F"/>
    <w:rsid w:val="00EC187F"/>
    <w:rsid w:val="00EC456A"/>
    <w:rsid w:val="00EC5182"/>
    <w:rsid w:val="00EC5A3F"/>
    <w:rsid w:val="00EC5A69"/>
    <w:rsid w:val="00EC67B8"/>
    <w:rsid w:val="00EC7F89"/>
    <w:rsid w:val="00ED0639"/>
    <w:rsid w:val="00ED0E25"/>
    <w:rsid w:val="00ED5257"/>
    <w:rsid w:val="00ED69E2"/>
    <w:rsid w:val="00ED6D24"/>
    <w:rsid w:val="00ED7842"/>
    <w:rsid w:val="00ED7E2F"/>
    <w:rsid w:val="00EE0919"/>
    <w:rsid w:val="00EE1322"/>
    <w:rsid w:val="00EE27BB"/>
    <w:rsid w:val="00EE295B"/>
    <w:rsid w:val="00EE2CA2"/>
    <w:rsid w:val="00EE3141"/>
    <w:rsid w:val="00EE413B"/>
    <w:rsid w:val="00EE4256"/>
    <w:rsid w:val="00EE7CC6"/>
    <w:rsid w:val="00EF1712"/>
    <w:rsid w:val="00EF2D59"/>
    <w:rsid w:val="00EF2F5F"/>
    <w:rsid w:val="00EF398C"/>
    <w:rsid w:val="00EF3A62"/>
    <w:rsid w:val="00EF4362"/>
    <w:rsid w:val="00EF46F0"/>
    <w:rsid w:val="00EF4755"/>
    <w:rsid w:val="00EF4E2A"/>
    <w:rsid w:val="00EF4F81"/>
    <w:rsid w:val="00EF6A4D"/>
    <w:rsid w:val="00EF6B9E"/>
    <w:rsid w:val="00EF70F7"/>
    <w:rsid w:val="00EF7135"/>
    <w:rsid w:val="00EF735C"/>
    <w:rsid w:val="00F006AA"/>
    <w:rsid w:val="00F011AA"/>
    <w:rsid w:val="00F01864"/>
    <w:rsid w:val="00F027DB"/>
    <w:rsid w:val="00F02FBC"/>
    <w:rsid w:val="00F039AB"/>
    <w:rsid w:val="00F039D5"/>
    <w:rsid w:val="00F06392"/>
    <w:rsid w:val="00F06444"/>
    <w:rsid w:val="00F065D9"/>
    <w:rsid w:val="00F07842"/>
    <w:rsid w:val="00F07FB4"/>
    <w:rsid w:val="00F10A09"/>
    <w:rsid w:val="00F11EFA"/>
    <w:rsid w:val="00F11F15"/>
    <w:rsid w:val="00F12370"/>
    <w:rsid w:val="00F14A7A"/>
    <w:rsid w:val="00F1603F"/>
    <w:rsid w:val="00F162AE"/>
    <w:rsid w:val="00F16EBD"/>
    <w:rsid w:val="00F17E6E"/>
    <w:rsid w:val="00F20379"/>
    <w:rsid w:val="00F20442"/>
    <w:rsid w:val="00F20CD9"/>
    <w:rsid w:val="00F21058"/>
    <w:rsid w:val="00F217B3"/>
    <w:rsid w:val="00F22985"/>
    <w:rsid w:val="00F24538"/>
    <w:rsid w:val="00F24B40"/>
    <w:rsid w:val="00F26636"/>
    <w:rsid w:val="00F32521"/>
    <w:rsid w:val="00F32628"/>
    <w:rsid w:val="00F3383E"/>
    <w:rsid w:val="00F33E13"/>
    <w:rsid w:val="00F40378"/>
    <w:rsid w:val="00F4130F"/>
    <w:rsid w:val="00F41484"/>
    <w:rsid w:val="00F41B46"/>
    <w:rsid w:val="00F429E9"/>
    <w:rsid w:val="00F42DE4"/>
    <w:rsid w:val="00F440A8"/>
    <w:rsid w:val="00F4441C"/>
    <w:rsid w:val="00F45A23"/>
    <w:rsid w:val="00F465A7"/>
    <w:rsid w:val="00F47C30"/>
    <w:rsid w:val="00F502BE"/>
    <w:rsid w:val="00F50B7C"/>
    <w:rsid w:val="00F51272"/>
    <w:rsid w:val="00F531CF"/>
    <w:rsid w:val="00F53269"/>
    <w:rsid w:val="00F5401F"/>
    <w:rsid w:val="00F54274"/>
    <w:rsid w:val="00F544B4"/>
    <w:rsid w:val="00F550E6"/>
    <w:rsid w:val="00F56C66"/>
    <w:rsid w:val="00F604C5"/>
    <w:rsid w:val="00F6159E"/>
    <w:rsid w:val="00F61D8F"/>
    <w:rsid w:val="00F63017"/>
    <w:rsid w:val="00F67AE5"/>
    <w:rsid w:val="00F70ED3"/>
    <w:rsid w:val="00F71805"/>
    <w:rsid w:val="00F72D3E"/>
    <w:rsid w:val="00F73045"/>
    <w:rsid w:val="00F74345"/>
    <w:rsid w:val="00F7456D"/>
    <w:rsid w:val="00F74DAA"/>
    <w:rsid w:val="00F75488"/>
    <w:rsid w:val="00F754DB"/>
    <w:rsid w:val="00F75E21"/>
    <w:rsid w:val="00F779E1"/>
    <w:rsid w:val="00F8011B"/>
    <w:rsid w:val="00F806C9"/>
    <w:rsid w:val="00F80A0A"/>
    <w:rsid w:val="00F81501"/>
    <w:rsid w:val="00F8248C"/>
    <w:rsid w:val="00F82B19"/>
    <w:rsid w:val="00F8315B"/>
    <w:rsid w:val="00F83629"/>
    <w:rsid w:val="00F83F7F"/>
    <w:rsid w:val="00F84DDE"/>
    <w:rsid w:val="00F853C4"/>
    <w:rsid w:val="00F8589E"/>
    <w:rsid w:val="00F859AD"/>
    <w:rsid w:val="00F85F1F"/>
    <w:rsid w:val="00F862FA"/>
    <w:rsid w:val="00F86652"/>
    <w:rsid w:val="00F87C67"/>
    <w:rsid w:val="00F90073"/>
    <w:rsid w:val="00F90712"/>
    <w:rsid w:val="00F9212D"/>
    <w:rsid w:val="00F93896"/>
    <w:rsid w:val="00F95E47"/>
    <w:rsid w:val="00F9647E"/>
    <w:rsid w:val="00F965DA"/>
    <w:rsid w:val="00FA07F3"/>
    <w:rsid w:val="00FA090D"/>
    <w:rsid w:val="00FA0989"/>
    <w:rsid w:val="00FA0A14"/>
    <w:rsid w:val="00FA11B9"/>
    <w:rsid w:val="00FA18AC"/>
    <w:rsid w:val="00FA341E"/>
    <w:rsid w:val="00FA3ACD"/>
    <w:rsid w:val="00FA406A"/>
    <w:rsid w:val="00FA4BC0"/>
    <w:rsid w:val="00FA50AB"/>
    <w:rsid w:val="00FA5697"/>
    <w:rsid w:val="00FA72F0"/>
    <w:rsid w:val="00FA783D"/>
    <w:rsid w:val="00FA78BF"/>
    <w:rsid w:val="00FA7BC4"/>
    <w:rsid w:val="00FB1878"/>
    <w:rsid w:val="00FB2D7E"/>
    <w:rsid w:val="00FB3331"/>
    <w:rsid w:val="00FB403B"/>
    <w:rsid w:val="00FB490D"/>
    <w:rsid w:val="00FB503A"/>
    <w:rsid w:val="00FB516C"/>
    <w:rsid w:val="00FB539D"/>
    <w:rsid w:val="00FB6BDB"/>
    <w:rsid w:val="00FB6C72"/>
    <w:rsid w:val="00FB7A45"/>
    <w:rsid w:val="00FC1017"/>
    <w:rsid w:val="00FC1187"/>
    <w:rsid w:val="00FC1198"/>
    <w:rsid w:val="00FC675C"/>
    <w:rsid w:val="00FC746D"/>
    <w:rsid w:val="00FD0236"/>
    <w:rsid w:val="00FD1541"/>
    <w:rsid w:val="00FD18F4"/>
    <w:rsid w:val="00FD1ECA"/>
    <w:rsid w:val="00FD21D9"/>
    <w:rsid w:val="00FD28F2"/>
    <w:rsid w:val="00FD2B55"/>
    <w:rsid w:val="00FD54DB"/>
    <w:rsid w:val="00FD5EE5"/>
    <w:rsid w:val="00FD619F"/>
    <w:rsid w:val="00FD7803"/>
    <w:rsid w:val="00FE1E41"/>
    <w:rsid w:val="00FE23A1"/>
    <w:rsid w:val="00FE2874"/>
    <w:rsid w:val="00FE3F84"/>
    <w:rsid w:val="00FE57E3"/>
    <w:rsid w:val="00FE6D34"/>
    <w:rsid w:val="00FF0E0B"/>
    <w:rsid w:val="00FF1601"/>
    <w:rsid w:val="00FF2A7B"/>
    <w:rsid w:val="00FF371F"/>
    <w:rsid w:val="00FF42A4"/>
    <w:rsid w:val="00FF433E"/>
    <w:rsid w:val="00FF5024"/>
    <w:rsid w:val="00FF614C"/>
    <w:rsid w:val="00FF66D4"/>
    <w:rsid w:val="00FF6D5F"/>
    <w:rsid w:val="00FF73A5"/>
    <w:rsid w:val="00FF7833"/>
    <w:rsid w:val="01290F7E"/>
    <w:rsid w:val="01317900"/>
    <w:rsid w:val="014D356D"/>
    <w:rsid w:val="015D1E09"/>
    <w:rsid w:val="0169552B"/>
    <w:rsid w:val="01845E1D"/>
    <w:rsid w:val="019D55FE"/>
    <w:rsid w:val="01C37937"/>
    <w:rsid w:val="01F34FBF"/>
    <w:rsid w:val="020A0467"/>
    <w:rsid w:val="02127C2B"/>
    <w:rsid w:val="021B4F6A"/>
    <w:rsid w:val="02697903"/>
    <w:rsid w:val="028A1BF1"/>
    <w:rsid w:val="028E6B24"/>
    <w:rsid w:val="02EB4148"/>
    <w:rsid w:val="02F96569"/>
    <w:rsid w:val="03436045"/>
    <w:rsid w:val="03582A18"/>
    <w:rsid w:val="039B3DC0"/>
    <w:rsid w:val="03C66DEB"/>
    <w:rsid w:val="03EA7B21"/>
    <w:rsid w:val="04234B34"/>
    <w:rsid w:val="05103EE6"/>
    <w:rsid w:val="05225CB8"/>
    <w:rsid w:val="05A26700"/>
    <w:rsid w:val="05D0463C"/>
    <w:rsid w:val="05D877D3"/>
    <w:rsid w:val="05F83EAE"/>
    <w:rsid w:val="06056A6E"/>
    <w:rsid w:val="06217C9A"/>
    <w:rsid w:val="063E7D85"/>
    <w:rsid w:val="065D6858"/>
    <w:rsid w:val="067816C6"/>
    <w:rsid w:val="06ED15B6"/>
    <w:rsid w:val="06EE4E51"/>
    <w:rsid w:val="06F366F7"/>
    <w:rsid w:val="07293586"/>
    <w:rsid w:val="07295285"/>
    <w:rsid w:val="073B7B23"/>
    <w:rsid w:val="07636392"/>
    <w:rsid w:val="07770C56"/>
    <w:rsid w:val="07AA0539"/>
    <w:rsid w:val="07AD5B25"/>
    <w:rsid w:val="082D75A0"/>
    <w:rsid w:val="083213C7"/>
    <w:rsid w:val="08482811"/>
    <w:rsid w:val="08694ABD"/>
    <w:rsid w:val="089037B0"/>
    <w:rsid w:val="08997D49"/>
    <w:rsid w:val="08D4026E"/>
    <w:rsid w:val="08D44FBA"/>
    <w:rsid w:val="08FA4BEC"/>
    <w:rsid w:val="092217DD"/>
    <w:rsid w:val="093A7294"/>
    <w:rsid w:val="09C50A19"/>
    <w:rsid w:val="09CB32B2"/>
    <w:rsid w:val="0A1E438B"/>
    <w:rsid w:val="0A22425F"/>
    <w:rsid w:val="0A263993"/>
    <w:rsid w:val="0A2D3AC2"/>
    <w:rsid w:val="0A3B1E0E"/>
    <w:rsid w:val="0A467110"/>
    <w:rsid w:val="0A4C0B74"/>
    <w:rsid w:val="0A8B0C0C"/>
    <w:rsid w:val="0AA755DF"/>
    <w:rsid w:val="0AB1291A"/>
    <w:rsid w:val="0AD043CE"/>
    <w:rsid w:val="0B120D44"/>
    <w:rsid w:val="0B257290"/>
    <w:rsid w:val="0B5F5A44"/>
    <w:rsid w:val="0B6D4AD0"/>
    <w:rsid w:val="0B7F34B3"/>
    <w:rsid w:val="0B990FEB"/>
    <w:rsid w:val="0BA86B08"/>
    <w:rsid w:val="0BCF469A"/>
    <w:rsid w:val="0BD27BF6"/>
    <w:rsid w:val="0BEF6A9A"/>
    <w:rsid w:val="0C3B3C7D"/>
    <w:rsid w:val="0C715722"/>
    <w:rsid w:val="0CAB2EAE"/>
    <w:rsid w:val="0CBC6554"/>
    <w:rsid w:val="0CC34A64"/>
    <w:rsid w:val="0CD84886"/>
    <w:rsid w:val="0CE140FC"/>
    <w:rsid w:val="0D105F88"/>
    <w:rsid w:val="0D38275D"/>
    <w:rsid w:val="0D4E1EA3"/>
    <w:rsid w:val="0D536BC3"/>
    <w:rsid w:val="0D621C7D"/>
    <w:rsid w:val="0D9547B2"/>
    <w:rsid w:val="0DA57DD1"/>
    <w:rsid w:val="0DF93BBD"/>
    <w:rsid w:val="0E146C48"/>
    <w:rsid w:val="0E38593A"/>
    <w:rsid w:val="0E5139F9"/>
    <w:rsid w:val="0E73034D"/>
    <w:rsid w:val="0F13775A"/>
    <w:rsid w:val="0F586B07"/>
    <w:rsid w:val="0F5C232E"/>
    <w:rsid w:val="0F5F45FE"/>
    <w:rsid w:val="0F9A112B"/>
    <w:rsid w:val="0FF643BB"/>
    <w:rsid w:val="101F593D"/>
    <w:rsid w:val="103D771C"/>
    <w:rsid w:val="10522556"/>
    <w:rsid w:val="10595C1B"/>
    <w:rsid w:val="106D2F64"/>
    <w:rsid w:val="10B63710"/>
    <w:rsid w:val="10C673DF"/>
    <w:rsid w:val="10EF7E56"/>
    <w:rsid w:val="10F10820"/>
    <w:rsid w:val="11070634"/>
    <w:rsid w:val="111C2F7A"/>
    <w:rsid w:val="11214703"/>
    <w:rsid w:val="11665CA1"/>
    <w:rsid w:val="11672179"/>
    <w:rsid w:val="11867FD7"/>
    <w:rsid w:val="118B4CF5"/>
    <w:rsid w:val="11B038B5"/>
    <w:rsid w:val="11D755F1"/>
    <w:rsid w:val="12014F21"/>
    <w:rsid w:val="124F16C1"/>
    <w:rsid w:val="12797B1A"/>
    <w:rsid w:val="12916B55"/>
    <w:rsid w:val="129A5E76"/>
    <w:rsid w:val="12BC78AF"/>
    <w:rsid w:val="12C72334"/>
    <w:rsid w:val="12F42BA4"/>
    <w:rsid w:val="138E4DA7"/>
    <w:rsid w:val="13951726"/>
    <w:rsid w:val="13C24C9E"/>
    <w:rsid w:val="142851FC"/>
    <w:rsid w:val="14396509"/>
    <w:rsid w:val="146569D2"/>
    <w:rsid w:val="14977C8B"/>
    <w:rsid w:val="14C173FE"/>
    <w:rsid w:val="14DD2C3C"/>
    <w:rsid w:val="151B6A65"/>
    <w:rsid w:val="1523533D"/>
    <w:rsid w:val="15735F27"/>
    <w:rsid w:val="15892AE3"/>
    <w:rsid w:val="15AC3C0A"/>
    <w:rsid w:val="15B50D11"/>
    <w:rsid w:val="15D6106E"/>
    <w:rsid w:val="15FC0DF7"/>
    <w:rsid w:val="15FF3C2A"/>
    <w:rsid w:val="16087E1D"/>
    <w:rsid w:val="16377978"/>
    <w:rsid w:val="16D03473"/>
    <w:rsid w:val="1716356E"/>
    <w:rsid w:val="1754346E"/>
    <w:rsid w:val="17701D14"/>
    <w:rsid w:val="17735226"/>
    <w:rsid w:val="17864B27"/>
    <w:rsid w:val="179B3F36"/>
    <w:rsid w:val="17CE2415"/>
    <w:rsid w:val="17D252AA"/>
    <w:rsid w:val="181524B6"/>
    <w:rsid w:val="18422604"/>
    <w:rsid w:val="187232B1"/>
    <w:rsid w:val="189F624C"/>
    <w:rsid w:val="18A94568"/>
    <w:rsid w:val="18AF49FF"/>
    <w:rsid w:val="18B0756E"/>
    <w:rsid w:val="194B4A95"/>
    <w:rsid w:val="194D3171"/>
    <w:rsid w:val="194D34CD"/>
    <w:rsid w:val="19A838A8"/>
    <w:rsid w:val="19D865F5"/>
    <w:rsid w:val="1A1C66C0"/>
    <w:rsid w:val="1A2526A7"/>
    <w:rsid w:val="1A2A3350"/>
    <w:rsid w:val="1A2B629C"/>
    <w:rsid w:val="1A42393B"/>
    <w:rsid w:val="1A5A582F"/>
    <w:rsid w:val="1A6A7D5F"/>
    <w:rsid w:val="1A815666"/>
    <w:rsid w:val="1A9E245F"/>
    <w:rsid w:val="1AAD45DE"/>
    <w:rsid w:val="1AD6697D"/>
    <w:rsid w:val="1B046F80"/>
    <w:rsid w:val="1B305274"/>
    <w:rsid w:val="1B3267B5"/>
    <w:rsid w:val="1B40161D"/>
    <w:rsid w:val="1B441859"/>
    <w:rsid w:val="1B6606B1"/>
    <w:rsid w:val="1B701E9C"/>
    <w:rsid w:val="1B7655ED"/>
    <w:rsid w:val="1B9118D8"/>
    <w:rsid w:val="1B9C64CF"/>
    <w:rsid w:val="1BD4719D"/>
    <w:rsid w:val="1BDA35D1"/>
    <w:rsid w:val="1C094627"/>
    <w:rsid w:val="1C0B4C55"/>
    <w:rsid w:val="1C0F7089"/>
    <w:rsid w:val="1C136791"/>
    <w:rsid w:val="1C3A1F15"/>
    <w:rsid w:val="1C5C0C2A"/>
    <w:rsid w:val="1C5E7925"/>
    <w:rsid w:val="1C625C9F"/>
    <w:rsid w:val="1C766B47"/>
    <w:rsid w:val="1CA034BD"/>
    <w:rsid w:val="1CA34A61"/>
    <w:rsid w:val="1CDC64B9"/>
    <w:rsid w:val="1CFD070F"/>
    <w:rsid w:val="1CFE15FD"/>
    <w:rsid w:val="1D2D4126"/>
    <w:rsid w:val="1D5F6196"/>
    <w:rsid w:val="1D6132A5"/>
    <w:rsid w:val="1D890B16"/>
    <w:rsid w:val="1D8E56D5"/>
    <w:rsid w:val="1D98335A"/>
    <w:rsid w:val="1DFE7136"/>
    <w:rsid w:val="1E2A04FE"/>
    <w:rsid w:val="1E3E561C"/>
    <w:rsid w:val="1E53208A"/>
    <w:rsid w:val="1E695E14"/>
    <w:rsid w:val="1E7A43DA"/>
    <w:rsid w:val="1EAC6ED1"/>
    <w:rsid w:val="1EB728F0"/>
    <w:rsid w:val="1EDA43A3"/>
    <w:rsid w:val="1EE559BD"/>
    <w:rsid w:val="1EF135DE"/>
    <w:rsid w:val="1F331955"/>
    <w:rsid w:val="1FAA42F1"/>
    <w:rsid w:val="1FB21655"/>
    <w:rsid w:val="1FE7539E"/>
    <w:rsid w:val="201054AB"/>
    <w:rsid w:val="202A60AD"/>
    <w:rsid w:val="20370574"/>
    <w:rsid w:val="20541126"/>
    <w:rsid w:val="20671BE0"/>
    <w:rsid w:val="209015A2"/>
    <w:rsid w:val="209146EB"/>
    <w:rsid w:val="20963CB8"/>
    <w:rsid w:val="20A81A1B"/>
    <w:rsid w:val="20B07FB6"/>
    <w:rsid w:val="20B646FB"/>
    <w:rsid w:val="20F5564C"/>
    <w:rsid w:val="20FF4E74"/>
    <w:rsid w:val="213B74B1"/>
    <w:rsid w:val="215A2310"/>
    <w:rsid w:val="216343D9"/>
    <w:rsid w:val="216A315E"/>
    <w:rsid w:val="21702DDA"/>
    <w:rsid w:val="217B259C"/>
    <w:rsid w:val="21CB1179"/>
    <w:rsid w:val="21D265DD"/>
    <w:rsid w:val="21D87015"/>
    <w:rsid w:val="21DE318A"/>
    <w:rsid w:val="21EF5B80"/>
    <w:rsid w:val="21F726B1"/>
    <w:rsid w:val="221136C3"/>
    <w:rsid w:val="2213297A"/>
    <w:rsid w:val="22576990"/>
    <w:rsid w:val="225B3D6B"/>
    <w:rsid w:val="22F47480"/>
    <w:rsid w:val="234A790E"/>
    <w:rsid w:val="23517B9F"/>
    <w:rsid w:val="236C19FB"/>
    <w:rsid w:val="23DE1C48"/>
    <w:rsid w:val="23EC550D"/>
    <w:rsid w:val="240210CD"/>
    <w:rsid w:val="245A545D"/>
    <w:rsid w:val="245E1A15"/>
    <w:rsid w:val="247650B1"/>
    <w:rsid w:val="24AA2D53"/>
    <w:rsid w:val="24B17614"/>
    <w:rsid w:val="24BF09F7"/>
    <w:rsid w:val="24C74EF2"/>
    <w:rsid w:val="24D03CD9"/>
    <w:rsid w:val="24E0567E"/>
    <w:rsid w:val="24E7219B"/>
    <w:rsid w:val="24EB4484"/>
    <w:rsid w:val="24EF0A7A"/>
    <w:rsid w:val="24EF5187"/>
    <w:rsid w:val="252D53FE"/>
    <w:rsid w:val="254B0335"/>
    <w:rsid w:val="2563487C"/>
    <w:rsid w:val="258B55EA"/>
    <w:rsid w:val="25B05051"/>
    <w:rsid w:val="25EC2D81"/>
    <w:rsid w:val="2641067D"/>
    <w:rsid w:val="26AB0E96"/>
    <w:rsid w:val="26DF4DE7"/>
    <w:rsid w:val="26EC5D68"/>
    <w:rsid w:val="2712206E"/>
    <w:rsid w:val="27322017"/>
    <w:rsid w:val="27354E79"/>
    <w:rsid w:val="276E4CAC"/>
    <w:rsid w:val="277057A2"/>
    <w:rsid w:val="279D6865"/>
    <w:rsid w:val="27B0452F"/>
    <w:rsid w:val="27D305E4"/>
    <w:rsid w:val="28096C9A"/>
    <w:rsid w:val="283A1351"/>
    <w:rsid w:val="284042E0"/>
    <w:rsid w:val="28486104"/>
    <w:rsid w:val="29206EB8"/>
    <w:rsid w:val="29595666"/>
    <w:rsid w:val="295A1F43"/>
    <w:rsid w:val="29874881"/>
    <w:rsid w:val="29A519E3"/>
    <w:rsid w:val="29B84F82"/>
    <w:rsid w:val="29C04BA5"/>
    <w:rsid w:val="29D91E88"/>
    <w:rsid w:val="29E325E0"/>
    <w:rsid w:val="2A08233A"/>
    <w:rsid w:val="2A19049E"/>
    <w:rsid w:val="2A2F197A"/>
    <w:rsid w:val="2A3132A9"/>
    <w:rsid w:val="2A377009"/>
    <w:rsid w:val="2A452503"/>
    <w:rsid w:val="2A8135AD"/>
    <w:rsid w:val="2A830F86"/>
    <w:rsid w:val="2A8973E5"/>
    <w:rsid w:val="2A8A3099"/>
    <w:rsid w:val="2A914C65"/>
    <w:rsid w:val="2A9B2FF6"/>
    <w:rsid w:val="2AF12CE0"/>
    <w:rsid w:val="2B9B2E5D"/>
    <w:rsid w:val="2BA936A8"/>
    <w:rsid w:val="2BA95EE9"/>
    <w:rsid w:val="2BC13CFD"/>
    <w:rsid w:val="2BF81417"/>
    <w:rsid w:val="2C07445C"/>
    <w:rsid w:val="2C315A5A"/>
    <w:rsid w:val="2C332538"/>
    <w:rsid w:val="2C4464F3"/>
    <w:rsid w:val="2C4B1C25"/>
    <w:rsid w:val="2C677E82"/>
    <w:rsid w:val="2C8A3ED2"/>
    <w:rsid w:val="2CD90A75"/>
    <w:rsid w:val="2D1C7470"/>
    <w:rsid w:val="2D244788"/>
    <w:rsid w:val="2D60110A"/>
    <w:rsid w:val="2D775409"/>
    <w:rsid w:val="2D9E56F5"/>
    <w:rsid w:val="2DD56606"/>
    <w:rsid w:val="2DDE1E4E"/>
    <w:rsid w:val="2DF832D4"/>
    <w:rsid w:val="2E024E2A"/>
    <w:rsid w:val="2E04428C"/>
    <w:rsid w:val="2E23041C"/>
    <w:rsid w:val="2E664ACE"/>
    <w:rsid w:val="2E667F96"/>
    <w:rsid w:val="2E8226AB"/>
    <w:rsid w:val="2E9160FE"/>
    <w:rsid w:val="2EFC4C5E"/>
    <w:rsid w:val="2F203271"/>
    <w:rsid w:val="2F3B70FB"/>
    <w:rsid w:val="2F6111C7"/>
    <w:rsid w:val="2FBE2364"/>
    <w:rsid w:val="2FD065E6"/>
    <w:rsid w:val="2FD96870"/>
    <w:rsid w:val="30196F7B"/>
    <w:rsid w:val="30580BC9"/>
    <w:rsid w:val="30AB629F"/>
    <w:rsid w:val="30BD28DA"/>
    <w:rsid w:val="30CF2BE9"/>
    <w:rsid w:val="311340B0"/>
    <w:rsid w:val="311E2ED7"/>
    <w:rsid w:val="31411FA6"/>
    <w:rsid w:val="315619EE"/>
    <w:rsid w:val="315C449C"/>
    <w:rsid w:val="3161544B"/>
    <w:rsid w:val="31645F17"/>
    <w:rsid w:val="31A408C2"/>
    <w:rsid w:val="31B82709"/>
    <w:rsid w:val="31BA0753"/>
    <w:rsid w:val="31C84771"/>
    <w:rsid w:val="31D05482"/>
    <w:rsid w:val="32400B34"/>
    <w:rsid w:val="32591D9E"/>
    <w:rsid w:val="3267190E"/>
    <w:rsid w:val="329D695D"/>
    <w:rsid w:val="329E6876"/>
    <w:rsid w:val="32BC3287"/>
    <w:rsid w:val="32D90D1D"/>
    <w:rsid w:val="333015F2"/>
    <w:rsid w:val="334B6320"/>
    <w:rsid w:val="339B5842"/>
    <w:rsid w:val="33A65F79"/>
    <w:rsid w:val="33D312AB"/>
    <w:rsid w:val="33D934D4"/>
    <w:rsid w:val="33E565F3"/>
    <w:rsid w:val="33F8511C"/>
    <w:rsid w:val="33FE2F6A"/>
    <w:rsid w:val="340E07E5"/>
    <w:rsid w:val="34235BF7"/>
    <w:rsid w:val="343A43BC"/>
    <w:rsid w:val="34474DD2"/>
    <w:rsid w:val="345635A9"/>
    <w:rsid w:val="347D4B77"/>
    <w:rsid w:val="349C5C18"/>
    <w:rsid w:val="352D75E9"/>
    <w:rsid w:val="356F1F2E"/>
    <w:rsid w:val="357D117A"/>
    <w:rsid w:val="358C5FA8"/>
    <w:rsid w:val="35935DF5"/>
    <w:rsid w:val="35A91775"/>
    <w:rsid w:val="35B87BED"/>
    <w:rsid w:val="35C15DF1"/>
    <w:rsid w:val="35C72F24"/>
    <w:rsid w:val="35E55780"/>
    <w:rsid w:val="35ED1886"/>
    <w:rsid w:val="36074A7F"/>
    <w:rsid w:val="363D7BD5"/>
    <w:rsid w:val="3649638C"/>
    <w:rsid w:val="367C3671"/>
    <w:rsid w:val="36836BE4"/>
    <w:rsid w:val="36923549"/>
    <w:rsid w:val="369A59E4"/>
    <w:rsid w:val="36A27A4D"/>
    <w:rsid w:val="36B75FBF"/>
    <w:rsid w:val="36BD0C45"/>
    <w:rsid w:val="36C450EA"/>
    <w:rsid w:val="36CA6D43"/>
    <w:rsid w:val="37335FD9"/>
    <w:rsid w:val="37B502A5"/>
    <w:rsid w:val="37B54672"/>
    <w:rsid w:val="37BC1633"/>
    <w:rsid w:val="37E00298"/>
    <w:rsid w:val="37F07BBF"/>
    <w:rsid w:val="380940FC"/>
    <w:rsid w:val="3850489F"/>
    <w:rsid w:val="38B302F9"/>
    <w:rsid w:val="38D25C01"/>
    <w:rsid w:val="38F12CD3"/>
    <w:rsid w:val="38F94775"/>
    <w:rsid w:val="392971ED"/>
    <w:rsid w:val="39325651"/>
    <w:rsid w:val="395A7356"/>
    <w:rsid w:val="39A643A6"/>
    <w:rsid w:val="3A143258"/>
    <w:rsid w:val="3A52002D"/>
    <w:rsid w:val="3A872856"/>
    <w:rsid w:val="3A89235F"/>
    <w:rsid w:val="3AA405E1"/>
    <w:rsid w:val="3AE312EF"/>
    <w:rsid w:val="3B133E2D"/>
    <w:rsid w:val="3B3763D1"/>
    <w:rsid w:val="3B382BE5"/>
    <w:rsid w:val="3B6C128B"/>
    <w:rsid w:val="3B6F3E41"/>
    <w:rsid w:val="3B915F04"/>
    <w:rsid w:val="3BBB2DD9"/>
    <w:rsid w:val="3BDD02C5"/>
    <w:rsid w:val="3C0966E4"/>
    <w:rsid w:val="3C2F61B5"/>
    <w:rsid w:val="3C2F6E1E"/>
    <w:rsid w:val="3C4F64BA"/>
    <w:rsid w:val="3C561988"/>
    <w:rsid w:val="3C605BA7"/>
    <w:rsid w:val="3C8F14C5"/>
    <w:rsid w:val="3C8F5568"/>
    <w:rsid w:val="3CB14019"/>
    <w:rsid w:val="3CDA245A"/>
    <w:rsid w:val="3CFB3382"/>
    <w:rsid w:val="3D0F3EBA"/>
    <w:rsid w:val="3D1E06B7"/>
    <w:rsid w:val="3D215D31"/>
    <w:rsid w:val="3D361EBE"/>
    <w:rsid w:val="3DDF0F9A"/>
    <w:rsid w:val="3E0932D7"/>
    <w:rsid w:val="3E184036"/>
    <w:rsid w:val="3E2A280B"/>
    <w:rsid w:val="3E5E28E2"/>
    <w:rsid w:val="3E887EA3"/>
    <w:rsid w:val="3EDA0523"/>
    <w:rsid w:val="3EDA5D76"/>
    <w:rsid w:val="3EEA3117"/>
    <w:rsid w:val="3EF803DD"/>
    <w:rsid w:val="3F2B1CF6"/>
    <w:rsid w:val="3F35003B"/>
    <w:rsid w:val="3FD34A1F"/>
    <w:rsid w:val="40047380"/>
    <w:rsid w:val="4046091D"/>
    <w:rsid w:val="40464190"/>
    <w:rsid w:val="40470210"/>
    <w:rsid w:val="406469E0"/>
    <w:rsid w:val="40711404"/>
    <w:rsid w:val="407A6407"/>
    <w:rsid w:val="40884FE5"/>
    <w:rsid w:val="408D4144"/>
    <w:rsid w:val="40A24AD0"/>
    <w:rsid w:val="40C8729B"/>
    <w:rsid w:val="40E0575B"/>
    <w:rsid w:val="40EF2A79"/>
    <w:rsid w:val="40FB0AC3"/>
    <w:rsid w:val="413A63D2"/>
    <w:rsid w:val="41A8160B"/>
    <w:rsid w:val="41F2154B"/>
    <w:rsid w:val="4200449D"/>
    <w:rsid w:val="4204145F"/>
    <w:rsid w:val="423A3BCC"/>
    <w:rsid w:val="424E57D2"/>
    <w:rsid w:val="427648DD"/>
    <w:rsid w:val="429A5F57"/>
    <w:rsid w:val="429C4213"/>
    <w:rsid w:val="42B26C49"/>
    <w:rsid w:val="42BE6BA7"/>
    <w:rsid w:val="433A6FE6"/>
    <w:rsid w:val="43480868"/>
    <w:rsid w:val="4350713C"/>
    <w:rsid w:val="436653E0"/>
    <w:rsid w:val="43690D26"/>
    <w:rsid w:val="437B44C4"/>
    <w:rsid w:val="439F6030"/>
    <w:rsid w:val="43A049F8"/>
    <w:rsid w:val="43C4431A"/>
    <w:rsid w:val="44101903"/>
    <w:rsid w:val="445708DC"/>
    <w:rsid w:val="44B951CC"/>
    <w:rsid w:val="44C258C8"/>
    <w:rsid w:val="44CD14E0"/>
    <w:rsid w:val="44E170FE"/>
    <w:rsid w:val="44F20B0B"/>
    <w:rsid w:val="44F97406"/>
    <w:rsid w:val="452147D2"/>
    <w:rsid w:val="452E5F4C"/>
    <w:rsid w:val="45337098"/>
    <w:rsid w:val="453B3372"/>
    <w:rsid w:val="45612018"/>
    <w:rsid w:val="4571281E"/>
    <w:rsid w:val="458946E9"/>
    <w:rsid w:val="45A47C0E"/>
    <w:rsid w:val="45C40B15"/>
    <w:rsid w:val="45DB3DB9"/>
    <w:rsid w:val="46577FD6"/>
    <w:rsid w:val="468847A0"/>
    <w:rsid w:val="4694622F"/>
    <w:rsid w:val="46C32BF4"/>
    <w:rsid w:val="46D955A7"/>
    <w:rsid w:val="47133957"/>
    <w:rsid w:val="47483757"/>
    <w:rsid w:val="47A07E0C"/>
    <w:rsid w:val="47AF3AFB"/>
    <w:rsid w:val="47F13F23"/>
    <w:rsid w:val="47F435A1"/>
    <w:rsid w:val="48460C94"/>
    <w:rsid w:val="4870272E"/>
    <w:rsid w:val="4886147B"/>
    <w:rsid w:val="48C01FED"/>
    <w:rsid w:val="48D96B0D"/>
    <w:rsid w:val="495751DE"/>
    <w:rsid w:val="496374DB"/>
    <w:rsid w:val="4976693B"/>
    <w:rsid w:val="49A04576"/>
    <w:rsid w:val="49C20111"/>
    <w:rsid w:val="49D62EE3"/>
    <w:rsid w:val="49DC7715"/>
    <w:rsid w:val="4A023139"/>
    <w:rsid w:val="4A143F64"/>
    <w:rsid w:val="4A205A52"/>
    <w:rsid w:val="4A7B576F"/>
    <w:rsid w:val="4A804742"/>
    <w:rsid w:val="4A8536D2"/>
    <w:rsid w:val="4AB60164"/>
    <w:rsid w:val="4AC05DF2"/>
    <w:rsid w:val="4AE32900"/>
    <w:rsid w:val="4AF561A9"/>
    <w:rsid w:val="4B0C3A86"/>
    <w:rsid w:val="4B4576AB"/>
    <w:rsid w:val="4B50040A"/>
    <w:rsid w:val="4B683D72"/>
    <w:rsid w:val="4B6A4F0B"/>
    <w:rsid w:val="4B741CFC"/>
    <w:rsid w:val="4BF749EC"/>
    <w:rsid w:val="4C28087F"/>
    <w:rsid w:val="4C3D671E"/>
    <w:rsid w:val="4C496CA2"/>
    <w:rsid w:val="4C4A0649"/>
    <w:rsid w:val="4C617ACD"/>
    <w:rsid w:val="4C6A6D6A"/>
    <w:rsid w:val="4C787FF2"/>
    <w:rsid w:val="4C7D7706"/>
    <w:rsid w:val="4C7E5ECA"/>
    <w:rsid w:val="4C803267"/>
    <w:rsid w:val="4C876AA5"/>
    <w:rsid w:val="4CB45604"/>
    <w:rsid w:val="4CC74F06"/>
    <w:rsid w:val="4CCD100D"/>
    <w:rsid w:val="4CDF5BD4"/>
    <w:rsid w:val="4D0E00FB"/>
    <w:rsid w:val="4D146BAD"/>
    <w:rsid w:val="4D176606"/>
    <w:rsid w:val="4D6C5536"/>
    <w:rsid w:val="4DC40316"/>
    <w:rsid w:val="4DEC4FB0"/>
    <w:rsid w:val="4E075D8A"/>
    <w:rsid w:val="4E146967"/>
    <w:rsid w:val="4E5533C6"/>
    <w:rsid w:val="4E771829"/>
    <w:rsid w:val="4EAC0DE4"/>
    <w:rsid w:val="4EC00FAD"/>
    <w:rsid w:val="4EF65011"/>
    <w:rsid w:val="4F3B1580"/>
    <w:rsid w:val="4F5148FF"/>
    <w:rsid w:val="4F6F1F71"/>
    <w:rsid w:val="4F77150A"/>
    <w:rsid w:val="4F88447E"/>
    <w:rsid w:val="4F9843DC"/>
    <w:rsid w:val="4FC62A8C"/>
    <w:rsid w:val="4FD317B8"/>
    <w:rsid w:val="4FE20F0D"/>
    <w:rsid w:val="4FE51552"/>
    <w:rsid w:val="50504C4B"/>
    <w:rsid w:val="50731F8A"/>
    <w:rsid w:val="509C6E7C"/>
    <w:rsid w:val="50C30C0E"/>
    <w:rsid w:val="50D86350"/>
    <w:rsid w:val="510C6A50"/>
    <w:rsid w:val="5137314B"/>
    <w:rsid w:val="5162104E"/>
    <w:rsid w:val="516721B8"/>
    <w:rsid w:val="5187355D"/>
    <w:rsid w:val="51C25640"/>
    <w:rsid w:val="51F81FA2"/>
    <w:rsid w:val="524B7D2C"/>
    <w:rsid w:val="524C432C"/>
    <w:rsid w:val="528636EB"/>
    <w:rsid w:val="529D09BD"/>
    <w:rsid w:val="52A116FA"/>
    <w:rsid w:val="52A87B2A"/>
    <w:rsid w:val="52D03037"/>
    <w:rsid w:val="52E27F11"/>
    <w:rsid w:val="53003422"/>
    <w:rsid w:val="535A32D8"/>
    <w:rsid w:val="53745199"/>
    <w:rsid w:val="53A039CC"/>
    <w:rsid w:val="53A1505A"/>
    <w:rsid w:val="53A309BD"/>
    <w:rsid w:val="53AB5AC3"/>
    <w:rsid w:val="53D625BF"/>
    <w:rsid w:val="53F916B4"/>
    <w:rsid w:val="53FE5808"/>
    <w:rsid w:val="54063E08"/>
    <w:rsid w:val="543437E8"/>
    <w:rsid w:val="545A6B19"/>
    <w:rsid w:val="54806D87"/>
    <w:rsid w:val="548B2502"/>
    <w:rsid w:val="54C8268A"/>
    <w:rsid w:val="54EB4FD0"/>
    <w:rsid w:val="54F73313"/>
    <w:rsid w:val="54F80955"/>
    <w:rsid w:val="555170A7"/>
    <w:rsid w:val="557135A4"/>
    <w:rsid w:val="5587536D"/>
    <w:rsid w:val="559B174B"/>
    <w:rsid w:val="55A452F4"/>
    <w:rsid w:val="55CE0CF4"/>
    <w:rsid w:val="55D7159B"/>
    <w:rsid w:val="55F647E7"/>
    <w:rsid w:val="55F934FA"/>
    <w:rsid w:val="56032722"/>
    <w:rsid w:val="560F1140"/>
    <w:rsid w:val="562B5C5C"/>
    <w:rsid w:val="5638486E"/>
    <w:rsid w:val="56661D9C"/>
    <w:rsid w:val="568066CA"/>
    <w:rsid w:val="56843B36"/>
    <w:rsid w:val="569C5540"/>
    <w:rsid w:val="56B22A9C"/>
    <w:rsid w:val="56BB08ED"/>
    <w:rsid w:val="57037B44"/>
    <w:rsid w:val="570C427A"/>
    <w:rsid w:val="570D1A54"/>
    <w:rsid w:val="574D0E8A"/>
    <w:rsid w:val="57B72A76"/>
    <w:rsid w:val="57BB73FE"/>
    <w:rsid w:val="57C3426C"/>
    <w:rsid w:val="57CE1F93"/>
    <w:rsid w:val="57E8410D"/>
    <w:rsid w:val="57EF333B"/>
    <w:rsid w:val="58032874"/>
    <w:rsid w:val="58252367"/>
    <w:rsid w:val="583D3584"/>
    <w:rsid w:val="588743D1"/>
    <w:rsid w:val="5887701A"/>
    <w:rsid w:val="59296DD4"/>
    <w:rsid w:val="593D45CA"/>
    <w:rsid w:val="594846A2"/>
    <w:rsid w:val="59C0439F"/>
    <w:rsid w:val="59C873C6"/>
    <w:rsid w:val="59F742E9"/>
    <w:rsid w:val="5A3966BC"/>
    <w:rsid w:val="5A3A20DB"/>
    <w:rsid w:val="5A4675AB"/>
    <w:rsid w:val="5A6265DD"/>
    <w:rsid w:val="5A7F7385"/>
    <w:rsid w:val="5A865DA5"/>
    <w:rsid w:val="5ABE2233"/>
    <w:rsid w:val="5ABF2663"/>
    <w:rsid w:val="5AC502EC"/>
    <w:rsid w:val="5B2469FA"/>
    <w:rsid w:val="5B402790"/>
    <w:rsid w:val="5B4B1223"/>
    <w:rsid w:val="5B857B35"/>
    <w:rsid w:val="5B8E4EA6"/>
    <w:rsid w:val="5BB84506"/>
    <w:rsid w:val="5BBD4587"/>
    <w:rsid w:val="5BC54DED"/>
    <w:rsid w:val="5BDF5D95"/>
    <w:rsid w:val="5BF23CA8"/>
    <w:rsid w:val="5BFD3E45"/>
    <w:rsid w:val="5BFE7528"/>
    <w:rsid w:val="5C112CEC"/>
    <w:rsid w:val="5C1C603C"/>
    <w:rsid w:val="5C1D6D1D"/>
    <w:rsid w:val="5C5617A7"/>
    <w:rsid w:val="5C5C0E6E"/>
    <w:rsid w:val="5CA17989"/>
    <w:rsid w:val="5CD02ED7"/>
    <w:rsid w:val="5D0D789C"/>
    <w:rsid w:val="5D0F28E1"/>
    <w:rsid w:val="5D5104A8"/>
    <w:rsid w:val="5DD65FB7"/>
    <w:rsid w:val="5DF16D2C"/>
    <w:rsid w:val="5E1748FD"/>
    <w:rsid w:val="5E2467F1"/>
    <w:rsid w:val="5E324AF8"/>
    <w:rsid w:val="5E421FE3"/>
    <w:rsid w:val="5E7B0BF2"/>
    <w:rsid w:val="5EA345D2"/>
    <w:rsid w:val="5EEE374C"/>
    <w:rsid w:val="5F1A2B43"/>
    <w:rsid w:val="5F3538F6"/>
    <w:rsid w:val="5F3C5183"/>
    <w:rsid w:val="5F4911C8"/>
    <w:rsid w:val="5FA40252"/>
    <w:rsid w:val="5FB837BB"/>
    <w:rsid w:val="5FC6342F"/>
    <w:rsid w:val="5FDF0FD9"/>
    <w:rsid w:val="5FEA0B84"/>
    <w:rsid w:val="6043627C"/>
    <w:rsid w:val="60600490"/>
    <w:rsid w:val="60803443"/>
    <w:rsid w:val="60CC405A"/>
    <w:rsid w:val="60E300C2"/>
    <w:rsid w:val="60E348BE"/>
    <w:rsid w:val="61050FC1"/>
    <w:rsid w:val="61244CEE"/>
    <w:rsid w:val="612837C9"/>
    <w:rsid w:val="61AB4E80"/>
    <w:rsid w:val="61D2000C"/>
    <w:rsid w:val="61E215D8"/>
    <w:rsid w:val="61E91FBC"/>
    <w:rsid w:val="6202725A"/>
    <w:rsid w:val="621B3775"/>
    <w:rsid w:val="62364782"/>
    <w:rsid w:val="6239194F"/>
    <w:rsid w:val="624F104D"/>
    <w:rsid w:val="6267083A"/>
    <w:rsid w:val="62772330"/>
    <w:rsid w:val="62BD7090"/>
    <w:rsid w:val="62C74266"/>
    <w:rsid w:val="62D20447"/>
    <w:rsid w:val="639171A1"/>
    <w:rsid w:val="6394356A"/>
    <w:rsid w:val="639D5434"/>
    <w:rsid w:val="63AA371C"/>
    <w:rsid w:val="63C43251"/>
    <w:rsid w:val="63C61B2C"/>
    <w:rsid w:val="63CD3D3D"/>
    <w:rsid w:val="63D40BE9"/>
    <w:rsid w:val="63EC30AA"/>
    <w:rsid w:val="64102431"/>
    <w:rsid w:val="64213605"/>
    <w:rsid w:val="64257126"/>
    <w:rsid w:val="64295EC2"/>
    <w:rsid w:val="64500DF6"/>
    <w:rsid w:val="648D6A96"/>
    <w:rsid w:val="64A5243A"/>
    <w:rsid w:val="64A546A2"/>
    <w:rsid w:val="64DF4A07"/>
    <w:rsid w:val="64F531DE"/>
    <w:rsid w:val="65193BF4"/>
    <w:rsid w:val="65373578"/>
    <w:rsid w:val="65D11E9E"/>
    <w:rsid w:val="65D3124A"/>
    <w:rsid w:val="65E86281"/>
    <w:rsid w:val="65F81484"/>
    <w:rsid w:val="66875060"/>
    <w:rsid w:val="66991675"/>
    <w:rsid w:val="669E30E8"/>
    <w:rsid w:val="66D46FD3"/>
    <w:rsid w:val="66E0199B"/>
    <w:rsid w:val="66E52236"/>
    <w:rsid w:val="671F124A"/>
    <w:rsid w:val="672422F9"/>
    <w:rsid w:val="673021D0"/>
    <w:rsid w:val="677A33C6"/>
    <w:rsid w:val="67954113"/>
    <w:rsid w:val="679D028A"/>
    <w:rsid w:val="68164700"/>
    <w:rsid w:val="681F6961"/>
    <w:rsid w:val="68336E40"/>
    <w:rsid w:val="68610A2F"/>
    <w:rsid w:val="68805514"/>
    <w:rsid w:val="68AB4C28"/>
    <w:rsid w:val="68AB7945"/>
    <w:rsid w:val="68BF1D56"/>
    <w:rsid w:val="68ED34C2"/>
    <w:rsid w:val="68F078A3"/>
    <w:rsid w:val="692320DC"/>
    <w:rsid w:val="69316E2F"/>
    <w:rsid w:val="694E2071"/>
    <w:rsid w:val="69766163"/>
    <w:rsid w:val="697A3B33"/>
    <w:rsid w:val="6990454A"/>
    <w:rsid w:val="699F6187"/>
    <w:rsid w:val="69AF3947"/>
    <w:rsid w:val="69D44760"/>
    <w:rsid w:val="69E80A21"/>
    <w:rsid w:val="69F3315F"/>
    <w:rsid w:val="6A042490"/>
    <w:rsid w:val="6A1236B6"/>
    <w:rsid w:val="6A520EC7"/>
    <w:rsid w:val="6A5B6E60"/>
    <w:rsid w:val="6A794FCF"/>
    <w:rsid w:val="6A937BEE"/>
    <w:rsid w:val="6AEA25F8"/>
    <w:rsid w:val="6AF87E20"/>
    <w:rsid w:val="6B190923"/>
    <w:rsid w:val="6B2F6D9F"/>
    <w:rsid w:val="6B322639"/>
    <w:rsid w:val="6B5E5F82"/>
    <w:rsid w:val="6B696C8B"/>
    <w:rsid w:val="6B6F1F3D"/>
    <w:rsid w:val="6B7A0634"/>
    <w:rsid w:val="6B9D2F4E"/>
    <w:rsid w:val="6BAD6507"/>
    <w:rsid w:val="6BB17C3D"/>
    <w:rsid w:val="6BBB5C40"/>
    <w:rsid w:val="6BFA012A"/>
    <w:rsid w:val="6C0C4E12"/>
    <w:rsid w:val="6C113CB1"/>
    <w:rsid w:val="6C636C38"/>
    <w:rsid w:val="6C7456B6"/>
    <w:rsid w:val="6C776701"/>
    <w:rsid w:val="6C85788A"/>
    <w:rsid w:val="6CC46801"/>
    <w:rsid w:val="6D1D37D4"/>
    <w:rsid w:val="6DB34098"/>
    <w:rsid w:val="6DB545B6"/>
    <w:rsid w:val="6DCB02A1"/>
    <w:rsid w:val="6DCC632A"/>
    <w:rsid w:val="6DD121A5"/>
    <w:rsid w:val="6DE02FB4"/>
    <w:rsid w:val="6DEA4FA8"/>
    <w:rsid w:val="6E2A2286"/>
    <w:rsid w:val="6E3000AA"/>
    <w:rsid w:val="6E426C72"/>
    <w:rsid w:val="6E514CED"/>
    <w:rsid w:val="6E5D3CC4"/>
    <w:rsid w:val="6E69536A"/>
    <w:rsid w:val="6EAF0DFA"/>
    <w:rsid w:val="6EB563D5"/>
    <w:rsid w:val="6EBD152C"/>
    <w:rsid w:val="6ED92677"/>
    <w:rsid w:val="6F225983"/>
    <w:rsid w:val="6F490CF7"/>
    <w:rsid w:val="6F4B75F2"/>
    <w:rsid w:val="6F6E095D"/>
    <w:rsid w:val="6FFC5590"/>
    <w:rsid w:val="70320D6B"/>
    <w:rsid w:val="70330E6C"/>
    <w:rsid w:val="704D26DA"/>
    <w:rsid w:val="706A5949"/>
    <w:rsid w:val="706D1DD0"/>
    <w:rsid w:val="70745BD8"/>
    <w:rsid w:val="70856B87"/>
    <w:rsid w:val="70D527EE"/>
    <w:rsid w:val="70DB30B2"/>
    <w:rsid w:val="70DC5CC2"/>
    <w:rsid w:val="70E832F7"/>
    <w:rsid w:val="70E97F61"/>
    <w:rsid w:val="712C7728"/>
    <w:rsid w:val="715B5300"/>
    <w:rsid w:val="71B74727"/>
    <w:rsid w:val="71CE33FE"/>
    <w:rsid w:val="71D27F8A"/>
    <w:rsid w:val="71E4235A"/>
    <w:rsid w:val="7243144C"/>
    <w:rsid w:val="7249173A"/>
    <w:rsid w:val="72553024"/>
    <w:rsid w:val="727D568F"/>
    <w:rsid w:val="72AB5C1E"/>
    <w:rsid w:val="73122968"/>
    <w:rsid w:val="731F5D5E"/>
    <w:rsid w:val="734E4B2E"/>
    <w:rsid w:val="73724CA5"/>
    <w:rsid w:val="73890855"/>
    <w:rsid w:val="73C43A43"/>
    <w:rsid w:val="73C51AD5"/>
    <w:rsid w:val="73FE3D71"/>
    <w:rsid w:val="74085F5B"/>
    <w:rsid w:val="741E793C"/>
    <w:rsid w:val="743903A1"/>
    <w:rsid w:val="744C0855"/>
    <w:rsid w:val="74504CE3"/>
    <w:rsid w:val="745E3944"/>
    <w:rsid w:val="7488092F"/>
    <w:rsid w:val="74A51F60"/>
    <w:rsid w:val="74D3353D"/>
    <w:rsid w:val="74F02D56"/>
    <w:rsid w:val="75083A2E"/>
    <w:rsid w:val="75266E3B"/>
    <w:rsid w:val="756225A2"/>
    <w:rsid w:val="75733B5B"/>
    <w:rsid w:val="757539ED"/>
    <w:rsid w:val="758A4B0E"/>
    <w:rsid w:val="75AE1BAE"/>
    <w:rsid w:val="75E430E5"/>
    <w:rsid w:val="75E55DBE"/>
    <w:rsid w:val="75F55B13"/>
    <w:rsid w:val="760807B1"/>
    <w:rsid w:val="76337296"/>
    <w:rsid w:val="7635099D"/>
    <w:rsid w:val="76401F90"/>
    <w:rsid w:val="76683644"/>
    <w:rsid w:val="777010D7"/>
    <w:rsid w:val="77762421"/>
    <w:rsid w:val="7781259C"/>
    <w:rsid w:val="77890360"/>
    <w:rsid w:val="77B56B1F"/>
    <w:rsid w:val="77D94DC5"/>
    <w:rsid w:val="780A5F0F"/>
    <w:rsid w:val="780F09F4"/>
    <w:rsid w:val="78A230DC"/>
    <w:rsid w:val="78A90480"/>
    <w:rsid w:val="78BF7A25"/>
    <w:rsid w:val="78D46245"/>
    <w:rsid w:val="78D701DF"/>
    <w:rsid w:val="78F57DC8"/>
    <w:rsid w:val="79030EFF"/>
    <w:rsid w:val="79335AA9"/>
    <w:rsid w:val="796270F7"/>
    <w:rsid w:val="79733667"/>
    <w:rsid w:val="79BD574A"/>
    <w:rsid w:val="79C80F6A"/>
    <w:rsid w:val="79DE3700"/>
    <w:rsid w:val="7A130F5D"/>
    <w:rsid w:val="7A1E124F"/>
    <w:rsid w:val="7A364017"/>
    <w:rsid w:val="7A375AC5"/>
    <w:rsid w:val="7A4259A3"/>
    <w:rsid w:val="7A4F4E61"/>
    <w:rsid w:val="7A5B1506"/>
    <w:rsid w:val="7A625ED8"/>
    <w:rsid w:val="7A8265E1"/>
    <w:rsid w:val="7A8D43C0"/>
    <w:rsid w:val="7ABD0F17"/>
    <w:rsid w:val="7AD47FEE"/>
    <w:rsid w:val="7B0856F1"/>
    <w:rsid w:val="7B17283E"/>
    <w:rsid w:val="7B2C1010"/>
    <w:rsid w:val="7B403552"/>
    <w:rsid w:val="7B5B7A39"/>
    <w:rsid w:val="7B653379"/>
    <w:rsid w:val="7B686D42"/>
    <w:rsid w:val="7B841746"/>
    <w:rsid w:val="7BA21EBB"/>
    <w:rsid w:val="7BB75966"/>
    <w:rsid w:val="7C07400A"/>
    <w:rsid w:val="7C3654F3"/>
    <w:rsid w:val="7C520C06"/>
    <w:rsid w:val="7C654C23"/>
    <w:rsid w:val="7C6C5AC7"/>
    <w:rsid w:val="7CAB7FBA"/>
    <w:rsid w:val="7CC6544B"/>
    <w:rsid w:val="7D0239FF"/>
    <w:rsid w:val="7D5022A7"/>
    <w:rsid w:val="7D5E40CD"/>
    <w:rsid w:val="7D672CCD"/>
    <w:rsid w:val="7D6E2474"/>
    <w:rsid w:val="7D707D59"/>
    <w:rsid w:val="7DBB6657"/>
    <w:rsid w:val="7DCD56F2"/>
    <w:rsid w:val="7DE43358"/>
    <w:rsid w:val="7DED28BD"/>
    <w:rsid w:val="7E197C8C"/>
    <w:rsid w:val="7E582D05"/>
    <w:rsid w:val="7EB6545F"/>
    <w:rsid w:val="7EBE700C"/>
    <w:rsid w:val="7EF20255"/>
    <w:rsid w:val="7F001CE7"/>
    <w:rsid w:val="7F22771F"/>
    <w:rsid w:val="7F450F6D"/>
    <w:rsid w:val="7F567F7A"/>
    <w:rsid w:val="7F616A84"/>
    <w:rsid w:val="7F8016AB"/>
    <w:rsid w:val="7FE17456"/>
    <w:rsid w:val="7FE231C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99"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6"/>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7"/>
    <w:link w:val="59"/>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Times New Roman" w:hAnsi="Times New Roman" w:eastAsia="Times New Roman" w:cs="Times New Roman"/>
      <w:kern w:val="2"/>
      <w:sz w:val="18"/>
      <w:szCs w:val="18"/>
      <w:lang w:val="en-US" w:eastAsia="zh-CN" w:bidi="ar-SA"/>
    </w:rPr>
  </w:style>
  <w:style w:type="paragraph" w:styleId="7">
    <w:name w:val="Normal Indent"/>
    <w:basedOn w:val="1"/>
    <w:link w:val="52"/>
    <w:qFormat/>
    <w:uiPriority w:val="0"/>
    <w:pPr>
      <w:spacing w:line="264" w:lineRule="auto"/>
      <w:ind w:firstLine="476"/>
    </w:pPr>
    <w:rPr>
      <w:rFonts w:ascii="Arial" w:hAnsi="Arial" w:cs="Arial"/>
      <w:spacing w:val="10"/>
      <w:sz w:val="24"/>
      <w:szCs w:val="20"/>
    </w:rPr>
  </w:style>
  <w:style w:type="paragraph" w:styleId="8">
    <w:name w:val="annotation text"/>
    <w:basedOn w:val="1"/>
    <w:link w:val="39"/>
    <w:semiHidden/>
    <w:qFormat/>
    <w:uiPriority w:val="0"/>
    <w:pPr>
      <w:jc w:val="left"/>
    </w:pPr>
    <w:rPr>
      <w:kern w:val="0"/>
      <w:sz w:val="24"/>
      <w:szCs w:val="20"/>
    </w:rPr>
  </w:style>
  <w:style w:type="paragraph" w:styleId="9">
    <w:name w:val="Body Text 3"/>
    <w:basedOn w:val="1"/>
    <w:qFormat/>
    <w:uiPriority w:val="0"/>
    <w:pPr>
      <w:spacing w:after="120"/>
    </w:pPr>
    <w:rPr>
      <w:sz w:val="16"/>
      <w:szCs w:val="16"/>
    </w:rPr>
  </w:style>
  <w:style w:type="paragraph" w:styleId="10">
    <w:name w:val="Body Text"/>
    <w:basedOn w:val="1"/>
    <w:link w:val="38"/>
    <w:qFormat/>
    <w:uiPriority w:val="0"/>
    <w:pPr>
      <w:widowControl/>
      <w:snapToGrid w:val="0"/>
      <w:spacing w:before="60" w:after="160" w:line="259" w:lineRule="auto"/>
      <w:ind w:right="113"/>
    </w:pPr>
    <w:rPr>
      <w:kern w:val="0"/>
      <w:sz w:val="18"/>
      <w:szCs w:val="20"/>
    </w:rPr>
  </w:style>
  <w:style w:type="paragraph" w:styleId="11">
    <w:name w:val="Body Text Indent"/>
    <w:basedOn w:val="1"/>
    <w:link w:val="47"/>
    <w:qFormat/>
    <w:uiPriority w:val="0"/>
    <w:pPr>
      <w:spacing w:after="120"/>
      <w:ind w:left="420" w:leftChars="200"/>
    </w:pPr>
    <w:rPr>
      <w:kern w:val="0"/>
      <w:sz w:val="24"/>
      <w:szCs w:val="20"/>
    </w:rPr>
  </w:style>
  <w:style w:type="paragraph" w:styleId="12">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3">
    <w:name w:val="Plain Text"/>
    <w:basedOn w:val="1"/>
    <w:qFormat/>
    <w:uiPriority w:val="0"/>
    <w:rPr>
      <w:rFonts w:ascii="宋体" w:hAnsi="Courier New" w:eastAsia="宋体"/>
      <w:sz w:val="21"/>
    </w:rPr>
  </w:style>
  <w:style w:type="paragraph" w:styleId="14">
    <w:name w:val="Date"/>
    <w:basedOn w:val="1"/>
    <w:next w:val="1"/>
    <w:link w:val="34"/>
    <w:qFormat/>
    <w:uiPriority w:val="0"/>
    <w:pPr>
      <w:ind w:left="100" w:leftChars="2500"/>
    </w:pPr>
    <w:rPr>
      <w:kern w:val="0"/>
      <w:sz w:val="24"/>
      <w:szCs w:val="20"/>
    </w:rPr>
  </w:style>
  <w:style w:type="paragraph" w:styleId="15">
    <w:name w:val="Body Text Indent 2"/>
    <w:basedOn w:val="1"/>
    <w:link w:val="72"/>
    <w:qFormat/>
    <w:uiPriority w:val="0"/>
    <w:pPr>
      <w:spacing w:after="120" w:line="480" w:lineRule="auto"/>
      <w:ind w:left="420" w:leftChars="200"/>
    </w:pPr>
  </w:style>
  <w:style w:type="paragraph" w:styleId="16">
    <w:name w:val="Balloon Text"/>
    <w:basedOn w:val="1"/>
    <w:link w:val="43"/>
    <w:semiHidden/>
    <w:qFormat/>
    <w:uiPriority w:val="0"/>
    <w:rPr>
      <w:kern w:val="0"/>
      <w:sz w:val="18"/>
      <w:szCs w:val="20"/>
    </w:rPr>
  </w:style>
  <w:style w:type="paragraph" w:styleId="17">
    <w:name w:val="footer"/>
    <w:basedOn w:val="1"/>
    <w:link w:val="33"/>
    <w:qFormat/>
    <w:uiPriority w:val="99"/>
    <w:pPr>
      <w:tabs>
        <w:tab w:val="center" w:pos="4153"/>
        <w:tab w:val="right" w:pos="8306"/>
      </w:tabs>
      <w:snapToGrid w:val="0"/>
      <w:jc w:val="left"/>
    </w:pPr>
    <w:rPr>
      <w:kern w:val="0"/>
      <w:sz w:val="18"/>
      <w:szCs w:val="20"/>
    </w:rPr>
  </w:style>
  <w:style w:type="paragraph" w:styleId="18">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0">
    <w:name w:val="List"/>
    <w:basedOn w:val="1"/>
    <w:qFormat/>
    <w:uiPriority w:val="0"/>
    <w:pPr>
      <w:autoSpaceDE w:val="0"/>
      <w:autoSpaceDN w:val="0"/>
      <w:adjustRightInd w:val="0"/>
      <w:spacing w:line="480" w:lineRule="exact"/>
      <w:ind w:left="420" w:hanging="420" w:firstLineChars="200"/>
      <w:jc w:val="left"/>
      <w:textAlignment w:val="baseline"/>
    </w:pPr>
    <w:rPr>
      <w:rFonts w:ascii="宋体" w:eastAsia="宋体"/>
      <w:kern w:val="0"/>
      <w:sz w:val="34"/>
    </w:rPr>
  </w:style>
  <w:style w:type="paragraph" w:styleId="21">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2">
    <w:name w:val="Normal (Web)"/>
    <w:basedOn w:val="1"/>
    <w:link w:val="36"/>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4"/>
    <w:semiHidden/>
    <w:qFormat/>
    <w:uiPriority w:val="0"/>
    <w:rPr>
      <w:b/>
    </w:rPr>
  </w:style>
  <w:style w:type="paragraph" w:styleId="24">
    <w:name w:val="Body Text First Indent"/>
    <w:basedOn w:val="10"/>
    <w:link w:val="50"/>
    <w:qFormat/>
    <w:uiPriority w:val="0"/>
    <w:pPr>
      <w:widowControl w:val="0"/>
      <w:snapToGrid/>
      <w:spacing w:before="0" w:after="120" w:line="240" w:lineRule="auto"/>
      <w:ind w:right="0" w:firstLine="420" w:firstLineChars="100"/>
    </w:pPr>
    <w:rPr>
      <w:kern w:val="2"/>
      <w:sz w:val="21"/>
      <w:szCs w:val="24"/>
    </w:rPr>
  </w:style>
  <w:style w:type="paragraph" w:styleId="25">
    <w:name w:val="Body Text First Indent 2"/>
    <w:basedOn w:val="11"/>
    <w:link w:val="73"/>
    <w:qFormat/>
    <w:uiPriority w:val="0"/>
    <w:pPr>
      <w:ind w:firstLine="420" w:firstLineChars="200"/>
    </w:pPr>
    <w:rPr>
      <w:kern w:val="2"/>
      <w:sz w:val="21"/>
      <w:szCs w:val="24"/>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Theme"/>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Hyperlink"/>
    <w:basedOn w:val="29"/>
    <w:unhideWhenUsed/>
    <w:qFormat/>
    <w:uiPriority w:val="99"/>
    <w:rPr>
      <w:color w:val="0000FF" w:themeColor="hyperlink"/>
      <w:u w:val="single"/>
      <w14:textFill>
        <w14:solidFill>
          <w14:schemeClr w14:val="hlink"/>
        </w14:solidFill>
      </w14:textFill>
    </w:rPr>
  </w:style>
  <w:style w:type="character" w:styleId="32">
    <w:name w:val="annotation reference"/>
    <w:semiHidden/>
    <w:qFormat/>
    <w:uiPriority w:val="0"/>
    <w:rPr>
      <w:sz w:val="21"/>
    </w:rPr>
  </w:style>
  <w:style w:type="character" w:customStyle="1" w:styleId="33">
    <w:name w:val="页脚 Char"/>
    <w:link w:val="17"/>
    <w:qFormat/>
    <w:uiPriority w:val="99"/>
    <w:rPr>
      <w:sz w:val="18"/>
    </w:rPr>
  </w:style>
  <w:style w:type="character" w:customStyle="1" w:styleId="34">
    <w:name w:val="日期 Char"/>
    <w:link w:val="14"/>
    <w:qFormat/>
    <w:uiPriority w:val="0"/>
    <w:rPr>
      <w:rFonts w:ascii="Times New Roman" w:hAnsi="Times New Roman" w:eastAsia="宋体"/>
      <w:sz w:val="24"/>
    </w:rPr>
  </w:style>
  <w:style w:type="character" w:customStyle="1" w:styleId="35">
    <w:name w:val="页脚 字符"/>
    <w:basedOn w:val="29"/>
    <w:qFormat/>
    <w:uiPriority w:val="99"/>
  </w:style>
  <w:style w:type="character" w:customStyle="1" w:styleId="36">
    <w:name w:val="普通(网站) Char"/>
    <w:link w:val="22"/>
    <w:qFormat/>
    <w:uiPriority w:val="0"/>
    <w:rPr>
      <w:rFonts w:ascii="宋体" w:hAnsi="宋体"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正文文本 Char"/>
    <w:link w:val="10"/>
    <w:qFormat/>
    <w:uiPriority w:val="0"/>
    <w:rPr>
      <w:sz w:val="18"/>
    </w:rPr>
  </w:style>
  <w:style w:type="character" w:customStyle="1" w:styleId="39">
    <w:name w:val="批注文字 Char"/>
    <w:link w:val="8"/>
    <w:qFormat/>
    <w:uiPriority w:val="0"/>
    <w:rPr>
      <w:rFonts w:ascii="Times New Roman" w:hAnsi="Times New Roman" w:eastAsia="宋体"/>
      <w:sz w:val="24"/>
    </w:rPr>
  </w:style>
  <w:style w:type="character" w:customStyle="1" w:styleId="40">
    <w:name w:val="表格 Char"/>
    <w:link w:val="41"/>
    <w:qFormat/>
    <w:uiPriority w:val="0"/>
    <w:rPr>
      <w:rFonts w:ascii="宋体"/>
      <w:sz w:val="21"/>
    </w:rPr>
  </w:style>
  <w:style w:type="paragraph" w:customStyle="1" w:styleId="41">
    <w:name w:val="表格"/>
    <w:basedOn w:val="20"/>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框文本 Char"/>
    <w:link w:val="16"/>
    <w:semiHidden/>
    <w:qFormat/>
    <w:uiPriority w:val="0"/>
    <w:rPr>
      <w:rFonts w:ascii="Times New Roman" w:hAnsi="Times New Roman" w:eastAsia="宋体"/>
      <w:sz w:val="18"/>
    </w:rPr>
  </w:style>
  <w:style w:type="character" w:customStyle="1" w:styleId="44">
    <w:name w:val="批注主题 Char"/>
    <w:link w:val="23"/>
    <w:semiHidden/>
    <w:qFormat/>
    <w:uiPriority w:val="0"/>
    <w:rPr>
      <w:rFonts w:ascii="Times New Roman" w:hAnsi="Times New Roman" w:eastAsia="宋体"/>
      <w:b/>
      <w:kern w:val="2"/>
      <w:sz w:val="24"/>
    </w:rPr>
  </w:style>
  <w:style w:type="character" w:customStyle="1" w:styleId="45">
    <w:name w:val="页眉 Char"/>
    <w:link w:val="18"/>
    <w:qFormat/>
    <w:uiPriority w:val="0"/>
    <w:rPr>
      <w:sz w:val="18"/>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缩进 Char"/>
    <w:link w:val="1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正文首行缩进 Char"/>
    <w:basedOn w:val="38"/>
    <w:link w:val="24"/>
    <w:qFormat/>
    <w:uiPriority w:val="0"/>
    <w:rPr>
      <w:kern w:val="2"/>
      <w:sz w:val="21"/>
      <w:szCs w:val="24"/>
    </w:rPr>
  </w:style>
  <w:style w:type="paragraph" w:styleId="51">
    <w:name w:val="List Paragraph"/>
    <w:basedOn w:val="1"/>
    <w:qFormat/>
    <w:uiPriority w:val="34"/>
    <w:pPr>
      <w:ind w:firstLine="420" w:firstLineChars="200"/>
    </w:pPr>
  </w:style>
  <w:style w:type="character" w:customStyle="1" w:styleId="52">
    <w:name w:val="正文缩进 Char"/>
    <w:link w:val="7"/>
    <w:qFormat/>
    <w:uiPriority w:val="0"/>
    <w:rPr>
      <w:rFonts w:ascii="Arial" w:hAnsi="Arial" w:cs="Arial"/>
      <w:spacing w:val="10"/>
      <w:kern w:val="2"/>
      <w:sz w:val="24"/>
    </w:rPr>
  </w:style>
  <w:style w:type="paragraph" w:customStyle="1" w:styleId="53">
    <w:name w:val="TOC 标题1"/>
    <w:basedOn w:val="3"/>
    <w:next w:val="1"/>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4">
    <w:name w:val="表-标题3 Char Char"/>
    <w:link w:val="55"/>
    <w:qFormat/>
    <w:uiPriority w:val="0"/>
    <w:rPr>
      <w:rFonts w:ascii="宋体" w:hAnsi="宋体" w:cs="宋体"/>
      <w:b/>
      <w:bCs/>
      <w:kern w:val="2"/>
      <w:sz w:val="24"/>
      <w:szCs w:val="32"/>
    </w:rPr>
  </w:style>
  <w:style w:type="paragraph" w:customStyle="1" w:styleId="55">
    <w:name w:val="表-标题3"/>
    <w:basedOn w:val="5"/>
    <w:next w:val="1"/>
    <w:link w:val="54"/>
    <w:qFormat/>
    <w:uiPriority w:val="0"/>
    <w:pPr>
      <w:adjustRightInd w:val="0"/>
      <w:snapToGrid w:val="0"/>
      <w:spacing w:before="0" w:after="0" w:line="360" w:lineRule="auto"/>
      <w:jc w:val="left"/>
    </w:pPr>
    <w:rPr>
      <w:rFonts w:ascii="宋体" w:hAnsi="宋体" w:cs="宋体"/>
      <w:sz w:val="24"/>
    </w:rPr>
  </w:style>
  <w:style w:type="character" w:customStyle="1" w:styleId="56">
    <w:name w:val="标题 3 Char"/>
    <w:basedOn w:val="29"/>
    <w:link w:val="5"/>
    <w:semiHidden/>
    <w:qFormat/>
    <w:uiPriority w:val="0"/>
    <w:rPr>
      <w:b/>
      <w:bCs/>
      <w:kern w:val="2"/>
      <w:sz w:val="32"/>
      <w:szCs w:val="32"/>
    </w:rPr>
  </w:style>
  <w:style w:type="paragraph" w:customStyle="1" w:styleId="57">
    <w:name w:val="h表格文字"/>
    <w:qFormat/>
    <w:uiPriority w:val="0"/>
    <w:pPr>
      <w:spacing w:beforeLines="5"/>
      <w:jc w:val="center"/>
    </w:pPr>
    <w:rPr>
      <w:rFonts w:ascii="Times New Roman" w:hAnsi="Times New Roman" w:eastAsia="Times New Roman" w:cs="Times New Roman"/>
      <w:sz w:val="21"/>
      <w:lang w:val="en-US" w:eastAsia="zh-CN" w:bidi="ar-SA"/>
    </w:rPr>
  </w:style>
  <w:style w:type="character" w:styleId="58">
    <w:name w:val="Placeholder Text"/>
    <w:basedOn w:val="29"/>
    <w:unhideWhenUsed/>
    <w:qFormat/>
    <w:uiPriority w:val="99"/>
    <w:rPr>
      <w:color w:val="808080"/>
    </w:rPr>
  </w:style>
  <w:style w:type="character" w:customStyle="1" w:styleId="59">
    <w:name w:val="标题 4 Char"/>
    <w:basedOn w:val="29"/>
    <w:link w:val="6"/>
    <w:semiHidden/>
    <w:qFormat/>
    <w:uiPriority w:val="0"/>
    <w:rPr>
      <w:rFonts w:asciiTheme="majorHAnsi" w:hAnsiTheme="majorHAnsi" w:eastAsiaTheme="majorEastAsia" w:cstheme="majorBidi"/>
      <w:b/>
      <w:bCs/>
      <w:kern w:val="2"/>
      <w:sz w:val="28"/>
      <w:szCs w:val="28"/>
    </w:rPr>
  </w:style>
  <w:style w:type="paragraph" w:customStyle="1" w:styleId="60">
    <w:name w:val="报告表标题"/>
    <w:basedOn w:val="1"/>
    <w:qFormat/>
    <w:uiPriority w:val="0"/>
    <w:pPr>
      <w:widowControl/>
      <w:numPr>
        <w:ilvl w:val="0"/>
        <w:numId w:val="1"/>
      </w:numPr>
      <w:tabs>
        <w:tab w:val="left" w:pos="632"/>
        <w:tab w:val="left" w:pos="1080"/>
      </w:tabs>
      <w:jc w:val="left"/>
    </w:pPr>
    <w:rPr>
      <w:rFonts w:ascii="宋体" w:hAnsi="宋体"/>
      <w:sz w:val="24"/>
      <w:lang w:val="zh-CN"/>
    </w:rPr>
  </w:style>
  <w:style w:type="paragraph" w:customStyle="1" w:styleId="61">
    <w:name w:val="样式 标题 2 +1"/>
    <w:basedOn w:val="4"/>
    <w:qFormat/>
    <w:uiPriority w:val="0"/>
    <w:pPr>
      <w:numPr>
        <w:ilvl w:val="1"/>
        <w:numId w:val="1"/>
      </w:numPr>
      <w:shd w:val="clear" w:color="auto" w:fill="FFFFFF"/>
      <w:tabs>
        <w:tab w:val="left" w:pos="567"/>
        <w:tab w:val="left" w:pos="1260"/>
        <w:tab w:val="clear" w:pos="3217"/>
      </w:tabs>
      <w:spacing w:before="0" w:after="0" w:line="360" w:lineRule="auto"/>
      <w:ind w:left="840" w:hanging="420"/>
      <w:jc w:val="left"/>
    </w:pPr>
    <w:rPr>
      <w:rFonts w:ascii="宋体" w:hAnsi="宋体" w:eastAsia="宋体" w:cs="Times New Roman"/>
      <w:color w:val="000000"/>
      <w:kern w:val="0"/>
      <w:sz w:val="30"/>
      <w:szCs w:val="28"/>
    </w:rPr>
  </w:style>
  <w:style w:type="character" w:customStyle="1" w:styleId="62">
    <w:name w:val="标题 2 Char"/>
    <w:basedOn w:val="29"/>
    <w:link w:val="4"/>
    <w:semiHidden/>
    <w:qFormat/>
    <w:uiPriority w:val="0"/>
    <w:rPr>
      <w:rFonts w:asciiTheme="majorHAnsi" w:hAnsiTheme="majorHAnsi" w:eastAsiaTheme="majorEastAsia" w:cstheme="majorBidi"/>
      <w:b/>
      <w:bCs/>
      <w:kern w:val="2"/>
      <w:sz w:val="32"/>
      <w:szCs w:val="32"/>
    </w:rPr>
  </w:style>
  <w:style w:type="paragraph" w:customStyle="1" w:styleId="63">
    <w:name w:val="S表格内容-单行"/>
    <w:next w:val="1"/>
    <w:qFormat/>
    <w:uiPriority w:val="0"/>
    <w:pPr>
      <w:widowControl w:val="0"/>
      <w:adjustRightInd w:val="0"/>
      <w:snapToGrid w:val="0"/>
      <w:spacing w:line="360" w:lineRule="exact"/>
      <w:jc w:val="center"/>
    </w:pPr>
    <w:rPr>
      <w:rFonts w:ascii="Times New Roman" w:hAnsi="Times New Roman" w:eastAsia="宋体" w:cs="Times New Roman"/>
      <w:kern w:val="2"/>
      <w:sz w:val="21"/>
      <w:szCs w:val="22"/>
      <w:lang w:val="en-US" w:eastAsia="zh-CN" w:bidi="ar-SA"/>
    </w:rPr>
  </w:style>
  <w:style w:type="character" w:customStyle="1" w:styleId="64">
    <w:name w:val="font11"/>
    <w:qFormat/>
    <w:uiPriority w:val="0"/>
    <w:rPr>
      <w:rFonts w:hint="eastAsia" w:ascii="宋体" w:hAnsi="宋体" w:eastAsia="宋体" w:cs="宋体"/>
      <w:color w:val="000000"/>
      <w:sz w:val="21"/>
      <w:szCs w:val="21"/>
      <w:u w:val="none"/>
    </w:rPr>
  </w:style>
  <w:style w:type="paragraph" w:customStyle="1" w:styleId="6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6">
    <w:name w:val="xl26 Char"/>
    <w:link w:val="67"/>
    <w:autoRedefine/>
    <w:qFormat/>
    <w:uiPriority w:val="0"/>
    <w:rPr>
      <w:rFonts w:ascii="宋体" w:hAnsi="宋体"/>
      <w:sz w:val="21"/>
      <w:szCs w:val="21"/>
    </w:rPr>
  </w:style>
  <w:style w:type="paragraph" w:customStyle="1" w:styleId="67">
    <w:name w:val="xl26"/>
    <w:basedOn w:val="1"/>
    <w:link w:val="66"/>
    <w:autoRedefine/>
    <w:qFormat/>
    <w:uiPriority w:val="0"/>
    <w:pPr>
      <w:spacing w:line="240" w:lineRule="exact"/>
      <w:ind w:left="-55" w:leftChars="-26" w:right="-38" w:rightChars="-18"/>
      <w:jc w:val="center"/>
    </w:pPr>
    <w:rPr>
      <w:rFonts w:ascii="宋体" w:hAnsi="宋体"/>
      <w:kern w:val="0"/>
      <w:szCs w:val="21"/>
    </w:rPr>
  </w:style>
  <w:style w:type="character" w:customStyle="1" w:styleId="68">
    <w:name w:val="表格 Char Char"/>
    <w:qFormat/>
    <w:uiPriority w:val="0"/>
    <w:rPr>
      <w:rFonts w:eastAsia="宋体"/>
      <w:spacing w:val="24"/>
      <w:sz w:val="24"/>
    </w:rPr>
  </w:style>
  <w:style w:type="character" w:customStyle="1" w:styleId="69">
    <w:name w:val="居中正文 Char"/>
    <w:link w:val="70"/>
    <w:qFormat/>
    <w:uiPriority w:val="0"/>
    <w:rPr>
      <w:rFonts w:ascii="宋体" w:hAnsi="宋体"/>
      <w:kern w:val="28"/>
      <w:sz w:val="24"/>
    </w:rPr>
  </w:style>
  <w:style w:type="paragraph" w:customStyle="1" w:styleId="70">
    <w:name w:val="居中正文"/>
    <w:basedOn w:val="24"/>
    <w:link w:val="69"/>
    <w:qFormat/>
    <w:uiPriority w:val="0"/>
    <w:pPr>
      <w:adjustRightInd w:val="0"/>
      <w:spacing w:before="120" w:after="0" w:line="360" w:lineRule="auto"/>
      <w:ind w:firstLine="0" w:firstLineChars="0"/>
      <w:jc w:val="center"/>
    </w:pPr>
    <w:rPr>
      <w:rFonts w:ascii="宋体" w:hAnsi="宋体"/>
      <w:kern w:val="28"/>
      <w:sz w:val="24"/>
      <w:szCs w:val="20"/>
    </w:rPr>
  </w:style>
  <w:style w:type="character" w:customStyle="1" w:styleId="71">
    <w:name w:val="样式 (符号) 宋体 小四"/>
    <w:qFormat/>
    <w:uiPriority w:val="0"/>
    <w:rPr>
      <w:rFonts w:hint="default" w:ascii="Times New Roman" w:hAnsi="Times New Roman" w:cs="Times New Roman"/>
      <w:sz w:val="24"/>
    </w:rPr>
  </w:style>
  <w:style w:type="character" w:customStyle="1" w:styleId="72">
    <w:name w:val="正文文本缩进 2 Char"/>
    <w:basedOn w:val="29"/>
    <w:link w:val="15"/>
    <w:qFormat/>
    <w:uiPriority w:val="0"/>
    <w:rPr>
      <w:kern w:val="2"/>
      <w:sz w:val="21"/>
      <w:szCs w:val="24"/>
    </w:rPr>
  </w:style>
  <w:style w:type="character" w:customStyle="1" w:styleId="73">
    <w:name w:val="正文首行缩进 2 Char"/>
    <w:basedOn w:val="47"/>
    <w:link w:val="25"/>
    <w:qFormat/>
    <w:uiPriority w:val="0"/>
    <w:rPr>
      <w:rFonts w:ascii="Times New Roman" w:hAnsi="Times New Roman" w:eastAsia="宋体"/>
      <w:kern w:val="2"/>
      <w:sz w:val="21"/>
      <w:szCs w:val="24"/>
    </w:rPr>
  </w:style>
  <w:style w:type="paragraph" w:customStyle="1" w:styleId="74">
    <w:name w:val="表"/>
    <w:next w:val="1"/>
    <w:qFormat/>
    <w:uiPriority w:val="0"/>
    <w:pPr>
      <w:widowControl w:val="0"/>
      <w:jc w:val="center"/>
    </w:pPr>
    <w:rPr>
      <w:rFonts w:ascii="Times New Roman" w:hAnsi="Times New Roman" w:eastAsia="宋体" w:cs="宋体"/>
      <w:kern w:val="1"/>
      <w:sz w:val="21"/>
      <w:szCs w:val="24"/>
      <w:lang w:val="en-US" w:eastAsia="zh-CN" w:bidi="ar-SA"/>
    </w:rPr>
  </w:style>
  <w:style w:type="paragraph" w:customStyle="1" w:styleId="75">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76">
    <w:name w:val="表格内容"/>
    <w:basedOn w:val="7"/>
    <w:link w:val="77"/>
    <w:qFormat/>
    <w:uiPriority w:val="0"/>
    <w:pPr>
      <w:widowControl/>
      <w:spacing w:line="360" w:lineRule="exact"/>
      <w:ind w:firstLine="420" w:firstLineChars="200"/>
      <w:jc w:val="left"/>
    </w:pPr>
    <w:rPr>
      <w:rFonts w:ascii="宋体" w:hAnsi="宋体" w:cs="Times New Roman"/>
      <w:bCs/>
      <w:spacing w:val="0"/>
      <w:kern w:val="0"/>
      <w:sz w:val="21"/>
    </w:rPr>
  </w:style>
  <w:style w:type="character" w:customStyle="1" w:styleId="77">
    <w:name w:val="表格内容 Char Char"/>
    <w:link w:val="76"/>
    <w:qFormat/>
    <w:uiPriority w:val="0"/>
    <w:rPr>
      <w:rFonts w:ascii="宋体" w:hAnsi="宋体"/>
      <w:bCs/>
      <w:sz w:val="21"/>
    </w:rPr>
  </w:style>
  <w:style w:type="paragraph" w:customStyle="1" w:styleId="78">
    <w:name w:val="表格文本"/>
    <w:basedOn w:val="1"/>
    <w:next w:val="1"/>
    <w:qFormat/>
    <w:uiPriority w:val="0"/>
    <w:pPr>
      <w:adjustRightInd w:val="0"/>
      <w:snapToGrid w:val="0"/>
      <w:spacing w:line="360" w:lineRule="auto"/>
      <w:ind w:firstLine="560" w:firstLineChars="200"/>
      <w:jc w:val="center"/>
    </w:pPr>
    <w:rPr>
      <w:sz w:val="24"/>
      <w:szCs w:val="72"/>
    </w:rPr>
  </w:style>
  <w:style w:type="paragraph" w:customStyle="1" w:styleId="79">
    <w:name w:val="表正文123"/>
    <w:basedOn w:val="1"/>
    <w:next w:val="1"/>
    <w:qFormat/>
    <w:uiPriority w:val="0"/>
    <w:pPr>
      <w:adjustRightInd w:val="0"/>
      <w:snapToGrid w:val="0"/>
      <w:ind w:firstLine="200" w:firstLineChars="200"/>
    </w:pPr>
    <w:rPr>
      <w:szCs w:val="20"/>
    </w:rPr>
  </w:style>
  <w:style w:type="paragraph" w:customStyle="1" w:styleId="80">
    <w:name w:val="列出段落1"/>
    <w:basedOn w:val="1"/>
    <w:qFormat/>
    <w:uiPriority w:val="1"/>
    <w:pPr>
      <w:ind w:firstLine="420" w:firstLineChars="200"/>
    </w:pPr>
    <w:rPr>
      <w:rFonts w:ascii="Calibri" w:hAnsi="Calibri" w:eastAsia="宋体"/>
      <w:sz w:val="21"/>
      <w:szCs w:val="22"/>
    </w:rPr>
  </w:style>
  <w:style w:type="paragraph" w:customStyle="1" w:styleId="81">
    <w:name w:val="样式 正文缩进首行缩进两字标题4正文不缩进s4正文（首行缩进两字） Char Char Char Char Char ...1"/>
    <w:basedOn w:val="7"/>
    <w:qFormat/>
    <w:uiPriority w:val="0"/>
    <w:pPr>
      <w:adjustRightInd w:val="0"/>
      <w:snapToGrid w:val="0"/>
      <w:spacing w:line="360" w:lineRule="auto"/>
      <w:ind w:left="-108" w:firstLine="200" w:firstLineChars="200"/>
    </w:pPr>
    <w:rPr>
      <w:rFonts w:cs="宋体"/>
      <w:kern w:val="0"/>
    </w:rPr>
  </w:style>
  <w:style w:type="paragraph" w:customStyle="1" w:styleId="82">
    <w:name w:val="Table Paragraph"/>
    <w:basedOn w:val="1"/>
    <w:qFormat/>
    <w:uiPriority w:val="1"/>
    <w:pPr>
      <w:jc w:val="left"/>
    </w:pPr>
    <w:rPr>
      <w:rFonts w:ascii="Calibri" w:hAnsi="Calibri" w:eastAsia="宋体"/>
      <w:kern w:val="0"/>
      <w:sz w:val="22"/>
      <w:szCs w:val="22"/>
      <w:lang w:eastAsia="en-US"/>
    </w:rPr>
  </w:style>
  <w:style w:type="paragraph" w:customStyle="1" w:styleId="83">
    <w:name w:val="表格内字体"/>
    <w:basedOn w:val="13"/>
    <w:qFormat/>
    <w:uiPriority w:val="0"/>
    <w:pPr>
      <w:adjustRightInd w:val="0"/>
      <w:snapToGrid w:val="0"/>
      <w:jc w:val="center"/>
    </w:pPr>
    <w:rPr>
      <w:rFonts w:ascii="Times New Roman" w:hAnsi="Times New Roman"/>
      <w:kern w:val="0"/>
      <w:sz w:val="24"/>
    </w:rPr>
  </w:style>
  <w:style w:type="paragraph" w:customStyle="1" w:styleId="84">
    <w:name w:val="文章正文样式 Char Char Char4"/>
    <w:basedOn w:val="1"/>
    <w:qFormat/>
    <w:uiPriority w:val="0"/>
    <w:pPr>
      <w:spacing w:line="520" w:lineRule="exact"/>
      <w:ind w:firstLine="480" w:firstLineChars="200"/>
      <w:jc w:val="left"/>
    </w:pPr>
    <w:rPr>
      <w:rFonts w:ascii="宋体" w:hAnsi="宋体" w:eastAsia="宋体" w:cs="宋体"/>
      <w:sz w:val="24"/>
    </w:rPr>
  </w:style>
  <w:style w:type="table" w:customStyle="1" w:styleId="85">
    <w:name w:val="表格主题1"/>
    <w:basedOn w:val="26"/>
    <w:qFormat/>
    <w:uiPriority w:val="0"/>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
    <w:name w:val="网格型1"/>
    <w:basedOn w:val="26"/>
    <w:qFormat/>
    <w:uiPriority w:val="59"/>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7">
    <w:name w:val="1"/>
    <w:basedOn w:val="1"/>
    <w:next w:val="9"/>
    <w:qFormat/>
    <w:uiPriority w:val="0"/>
    <w:pPr>
      <w:spacing w:line="200" w:lineRule="exact"/>
    </w:pPr>
    <w:rPr>
      <w:sz w:val="18"/>
      <w:szCs w:val="20"/>
    </w:rPr>
  </w:style>
  <w:style w:type="paragraph" w:customStyle="1" w:styleId="88">
    <w:name w:val="样式 宋体 小四 首行缩进:  1 厘米 行距: 固定值 24 磅1"/>
    <w:basedOn w:val="1"/>
    <w:qFormat/>
    <w:uiPriority w:val="0"/>
    <w:pPr>
      <w:adjustRightInd w:val="0"/>
      <w:spacing w:line="480" w:lineRule="exact"/>
      <w:ind w:firstLine="480" w:firstLineChars="200"/>
      <w:jc w:val="left"/>
    </w:pPr>
    <w:rPr>
      <w:rFonts w:eastAsia="宋体"/>
      <w:sz w:val="24"/>
      <w:szCs w:val="24"/>
    </w:rPr>
  </w:style>
  <w:style w:type="paragraph" w:customStyle="1" w:styleId="89">
    <w:name w:val="样式59"/>
    <w:basedOn w:val="1"/>
    <w:qFormat/>
    <w:uiPriority w:val="0"/>
    <w:pPr>
      <w:spacing w:before="120" w:beforeLines="50" w:after="120" w:afterLines="50" w:line="360" w:lineRule="auto"/>
      <w:ind w:firstLine="480" w:firstLineChars="200"/>
    </w:pPr>
    <w:rPr>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wmf"/><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5f1153a6-fb39-4491-8975-fa20beac2abe</errorID>
      <errorWord>，</errorWord>
      <group>L1_Format</group>
      <groupName>格式问题</groupName>
      <ability>L2_HalfPunc</ability>
      <abilityName>全半角检查</abilityName>
      <candidateList>
        <item>, </item>
      </candidateList>
      <explain>文本全半角错误。</explain>
      <paraID>58F10EA1</paraID>
      <start>11</start>
      <end>12</end>
      <status>unmodified</status>
      <modifiedWord/>
      <trackRevisions>false</trackRevisions>
    </reviewItem>
    <reviewItem>
      <errorID>2dd7ceae-e4f1-431b-8260-658225b89859</errorID>
      <errorWord>-</errorWord>
      <group>L1_Format</group>
      <groupName>格式问题</groupName>
      <ability>L2_HalfPunc</ability>
      <abilityName>全半角检查</abilityName>
      <candidateList>
        <item>－</item>
      </candidateList>
      <explain>文本全半角错误。</explain>
      <paraID>20974CD6</paraID>
      <start>16</start>
      <end>17</end>
      <status>unmodified</status>
      <modifiedWord/>
      <trackRevisions>false</trackRevisions>
    </reviewItem>
    <reviewItem>
      <errorID>a07867e5-1d8d-4cdd-97a5-f244189d32b5</errorID>
      <errorWord>-</errorWord>
      <group>L1_Format</group>
      <groupName>格式问题</groupName>
      <ability>L2_HalfPunc</ability>
      <abilityName>全半角检查</abilityName>
      <candidateList>
        <item>－</item>
      </candidateList>
      <explain>文本全半角错误。</explain>
      <paraID>20974CD6</paraID>
      <start>28</start>
      <end>29</end>
      <status>unmodified</status>
      <modifiedWord/>
      <trackRevisions>false</trackRevisions>
    </reviewItem>
    <reviewItem>
      <errorID>df37f35b-9235-4efd-b669-2b6caf6beeac</errorID>
      <errorWord>中国-马来西亚</errorWord>
      <group>L1_Political</group>
      <groupName>政治性问题</groupName>
      <ability>L2_Unpolitical</ability>
      <abilityName>政治敏感错误</abilityName>
      <candidateList>
        <item>中国—马来西亚</item>
      </candidateList>
      <explain/>
      <paraID>6BA7D00A</paraID>
      <start>0</start>
      <end>7</end>
      <status>unmodified</status>
      <modifiedWord/>
      <trackRevisions>false</trackRevisions>
    </reviewItem>
    <reviewItem>
      <errorID>5c182032-1cb4-453c-bb59-cd833843b608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5578C145</paraID>
      <start>0</start>
      <end>2</end>
      <status>unmodified</status>
      <modifiedWord/>
      <trackRevisions>false</trackRevisions>
    </reviewItem>
    <reviewItem>
      <errorID>e8da9267-5fff-45d3-8a8b-de7501336cd1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3CF7A1E0</paraID>
      <start>0</start>
      <end>2</end>
      <status>unmodified</status>
      <modifiedWord/>
      <trackRevisions>false</trackRevisions>
    </reviewItem>
    <reviewItem>
      <errorID>37e243f2-efa2-4701-8069-6016f69d7196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65A62176</paraID>
      <start>0</start>
      <end>2</end>
      <status>unmodified</status>
      <modifiedWord/>
      <trackRevisions>false</trackRevisions>
    </reviewItem>
    <reviewItem>
      <errorID>2e62fef9-8353-449d-a35e-7eb79907a275</errorID>
      <errorWord>措施后</errorWord>
      <group>L1_AI</group>
      <groupName>深度校对</groupName>
      <ability>L2_AI_Word</ability>
      <abilityName>字词纠错</abilityName>
      <candidateList>
        <item>措施</item>
      </candidateList>
      <explain/>
      <paraID>4B912FDE</paraID>
      <start>180</start>
      <end>183</end>
      <status>unmodified</status>
      <modifiedWord/>
      <trackRevisions>false</trackRevisions>
    </reviewItem>
    <reviewItem>
      <errorID>c95a8245-8202-4149-8c98-f3955f9e30f7</errorID>
      <errorWord>，</errorWord>
      <group>L1_AI</group>
      <groupName>深度校对</groupName>
      <ability>L2_AI_Punc</ability>
      <abilityName>标点纠错</abilityName>
      <candidateList>
        <item>。</item>
      </candidateList>
      <explain/>
      <paraID>4B912FDE</paraID>
      <start>191</start>
      <end>192</end>
      <status>unmodified</status>
      <modifiedWord/>
      <trackRevisions>false</trackRevisions>
    </reviewItem>
    <reviewItem>
      <errorID>0565aa96-ad7f-449a-90a5-c3ae4fa5e535</errorID>
      <errorWord>醋酸</errorWord>
      <group>L1_AI</group>
      <groupName>深度校对</groupName>
      <ability>L2_AI_Punc</ability>
      <abilityName>标点纠错</abilityName>
      <candidateList>
        <item>%醋酸</item>
      </candidateList>
      <explain/>
      <paraID>12DA1095</paraID>
      <start>131</start>
      <end>133</end>
      <status>unmodified</status>
      <modifiedWord/>
      <trackRevisions>false</trackRevisions>
    </reviewItem>
    <reviewItem>
      <errorID>66647d56-db36-4ed6-b67c-c847116534d1</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22F7F739</paraID>
      <start>179</start>
      <end>186</end>
      <status>unmodified</status>
      <modifiedWord/>
      <trackRevisions>false</trackRevisions>
    </reviewItem>
    <reviewItem>
      <errorID>c3b48f87-ab8d-4c53-abe6-94a48407e213</errorID>
      <errorWord>农业面源等污染</errorWord>
      <group>L1_Political</group>
      <groupName>政治性问题</groupName>
      <ability>L2_Keyword</ability>
      <abilityName>固定表述</abilityName>
      <candidateList>
        <item>农业面源污染</item>
      </candidateList>
      <explain>词汇“农业面源污染”在特定场景下为固定表述形式，请确认此处的“农业面源等污染”是否存在不当。</explain>
      <paraID>56441199</paraID>
      <start>90</start>
      <end>97</end>
      <status>unmodified</status>
      <modifiedWord/>
      <trackRevisions>false</trackRevisions>
    </reviewItem>
    <reviewItem>
      <errorID>5b24114b-242f-44a2-9460-021b74531967</errorID>
      <errorWord>，</errorWord>
      <group>L1_Word</group>
      <groupName>字词问题</groupName>
      <ability>L2_Typo</ability>
      <abilityName>字词错误</abilityName>
      <candidateList>
        <item>，在</item>
      </candidateList>
      <explain/>
      <paraID>4AD1E918</paraID>
      <start>21</start>
      <end>22</end>
      <status>unmodified</status>
      <modifiedWord/>
      <trackRevisions>false</trackRevisions>
    </reviewItem>
    <reviewItem>
      <errorID>c1e9df9d-6596-4cf6-a85a-cf3f070f42cc</errorID>
      <errorWord>用地土壤</errorWord>
      <group>L1_Knowledge</group>
      <groupName>知识性问题</groupName>
      <ability>L2_Term</ability>
      <abilityName>专业术语</abilityName>
      <candidateList>
        <item>迹地土壤</item>
      </candidateList>
      <explain/>
      <paraID>7A4AE2F4</paraID>
      <start>113</start>
      <end>117</end>
      <status>unmodified</status>
      <modifiedWord/>
      <trackRevisions>false</trackRevisions>
    </reviewItem>
    <reviewItem>
      <errorID>98771d04-f299-4d6a-ba0c-ae25629e5b19</errorID>
      <errorWord>矿石</errorWord>
      <group>L1_Word</group>
      <groupName>字词问题</groupName>
      <ability>L2_Typo</ability>
      <abilityName>字词错误</abilityName>
      <candidateList>
        <item>矿山</item>
      </candidateList>
      <explain/>
      <paraID>7346177A</paraID>
      <start>17</start>
      <end>19</end>
      <status>unmodified</status>
      <modifiedWord/>
      <trackRevisions>false</trackRevisions>
    </reviewItem>
    <reviewItem>
      <errorID>b22325ba-6fa8-43ae-8992-36624ad906fc</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6CB652C9</paraID>
      <start>41</start>
      <end>48</end>
      <status>unmodified</status>
      <modifiedWord/>
      <trackRevisions>false</trackRevisions>
    </reviewItem>
    <reviewItem>
      <errorID>27d6b0a4-0904-4e6e-974a-027adfa23187</errorID>
      <errorWord>程</errorWord>
      <group>L1_Word</group>
      <groupName>字词问题</groupName>
      <ability>L2_Typo</ability>
      <abilityName>字词错误</abilityName>
      <candidateList>
        <item>程中</item>
      </candidateList>
      <explain/>
      <paraID>6456A8A5</paraID>
      <start>18</start>
      <end>19</end>
      <status>unmodified</status>
      <modifiedWord/>
      <trackRevisions>false</trackRevisions>
    </reviewItem>
    <reviewItem>
      <errorID>369e139b-9619-4ce9-b1a8-b42fece6be80</errorID>
      <errorWord>工业工地</errorWord>
      <group>L1_Word</group>
      <groupName>字词问题</groupName>
      <ability>L2_Typo</ability>
      <abilityName>字词错误</abilityName>
      <candidateList>
        <item>工业用地</item>
      </candidateList>
      <explain/>
      <paraID>373AD200</paraID>
      <start>5</start>
      <end>9</end>
      <status>modified</status>
      <modifiedWord>工业用地</modifiedWord>
      <trackRevisions>false</trackRevisions>
    </reviewItem>
    <reviewItem>
      <errorID>6cfda193-4f77-49c0-9456-8310d1886b73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36DF380E</paraID>
      <start>0</start>
      <end>2</end>
      <status>unmodified</status>
      <modifiedWord/>
      <trackRevisions>false</trackRevisions>
    </reviewItem>
    <reviewItem>
      <errorID>89f11d49-aa23-4182-b6d5-570f86330d8b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707E2885</paraID>
      <start>0</start>
      <end>2</end>
      <status>unmodified</status>
      <modifiedWord/>
      <trackRevisions>false</trackRevisions>
    </reviewItem>
    <reviewItem>
      <errorID>4f5f3c0e-4a1b-49ae-9d6b-8e341b60cf88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E487871</paraID>
      <start>0</start>
      <end>2</end>
      <status>unmodified</status>
      <modifiedWord/>
      <trackRevisions>false</trackRevisions>
    </reviewItem>
    <reviewItem>
      <errorID>b8c5916d-141f-4983-add2-a23954e684ab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497CF6B1</paraID>
      <start>0</start>
      <end>2</end>
      <status>unmodified</status>
      <modifiedWord/>
      <trackRevisions>false</trackRevisions>
    </reviewItem>
    <reviewItem>
      <errorID>32a2aa46-9ec4-4e5b-a98e-2d970334548e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625DFEFA</paraID>
      <start>0</start>
      <end>2</end>
      <status>unmodified</status>
      <modifiedWord/>
      <trackRevisions>false</trackRevisions>
    </reviewItem>
    <reviewItem>
      <errorID>a96ee632-1eac-411b-8f5e-ea1b1481f080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7E654B60</paraID>
      <start>0</start>
      <end>2</end>
      <status>unmodified</status>
      <modifiedWord/>
      <trackRevisions>false</trackRevisions>
    </reviewItem>
    <reviewItem>
      <errorID>538504b1-ee93-407e-918f-9aed44c23b05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473A9CE2</paraID>
      <start>0</start>
      <end>2</end>
      <status>unmodified</status>
      <modifiedWord/>
      <trackRevisions>false</trackRevisions>
    </reviewItem>
    <reviewItem>
      <errorID>f15e763f-6c41-4a95-8d5f-d57d47c2cad1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1B25096F</paraID>
      <start>0</start>
      <end>2</end>
      <status>unmodified</status>
      <modifiedWord/>
      <trackRevisions>false</trackRevisions>
    </reviewItem>
    <reviewItem>
      <errorID>e429dbeb-36fd-4f46-bf20-bf8e3efc19ec</errorID>
      <errorWord>程</errorWord>
      <group>L1_Word</group>
      <groupName>字词问题</groupName>
      <ability>L2_Typo</ability>
      <abilityName>字词错误</abilityName>
      <candidateList>
        <item>程中</item>
      </candidateList>
      <explain/>
      <paraID>6D1C2273</paraID>
      <start>5</start>
      <end>6</end>
      <status>unmodified</status>
      <modifiedWord/>
      <trackRevisions>false</trackRevisions>
    </reviewItem>
    <reviewItem>
      <errorID>155fcf9a-a033-4d08-8517-06f29ffd28f8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3F1C54CD</paraID>
      <start>0</start>
      <end>2</end>
      <status>unmodified</status>
      <modifiedWord/>
      <trackRevisions>false</trackRevisions>
    </reviewItem>
    <reviewItem>
      <errorID>0afff3a7-bcd0-4c36-826f-ca3c7294f704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7E75E596</paraID>
      <start>0</start>
      <end>2</end>
      <status>unmodified</status>
      <modifiedWord/>
      <trackRevisions>false</trackRevisions>
    </reviewItem>
    <reviewItem>
      <errorID>7908f048-f1c9-4a46-95bd-8e5b5e209794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3523FC4A</paraID>
      <start>0</start>
      <end>2</end>
      <status>unmodified</status>
      <modifiedWord/>
      <trackRevisions>false</trackRevisions>
    </reviewItem>
    <reviewItem>
      <errorID>d22f6c93-5e23-4ccc-a354-247d88247bf8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30234D4A</paraID>
      <start>0</start>
      <end>2</end>
      <status>unmodified</status>
      <modifiedWord/>
      <trackRevisions>false</trackRevisions>
    </reviewItem>
    <reviewItem>
      <errorID>bc553615-cbf1-4504-82fd-8901029b5c95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67D6B1F4</paraID>
      <start>0</start>
      <end>2</end>
      <status>unmodified</status>
      <modifiedWord/>
      <trackRevisions>false</trackRevisions>
    </reviewItem>
    <reviewItem>
      <errorID>aec1ff28-73f5-4cc6-9f28-d44e7087b23a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6027F11E</paraID>
      <start>0</start>
      <end>2</end>
      <status>unmodified</status>
      <modifiedWord/>
      <trackRevisions>false</trackRevisions>
    </reviewItem>
    <reviewItem>
      <errorID>7b828632-44e7-4fd5-91c6-52bb205ddf99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77A918FD</paraID>
      <start>0</start>
      <end>2</end>
      <status>unmodified</status>
      <modifiedWord/>
      <trackRevisions>false</trackRevisions>
    </reviewItem>
    <reviewItem>
      <errorID>a135393a-b3a6-4ade-819f-f3f4b1a2953d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34993244</paraID>
      <start>0</start>
      <end>2</end>
      <status>unmodified</status>
      <modifiedWord/>
      <trackRevisions>false</trackRevisions>
    </reviewItem>
    <reviewItem>
      <errorID>b19c4383-48ae-4f9b-99cb-4c4b9d4bf81a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1393DEB7</paraID>
      <start>0</start>
      <end>2</end>
      <status>unmodified</status>
      <modifiedWord/>
      <trackRevisions>false</trackRevisions>
    </reviewItem>
    <reviewItem>
      <errorID>dad46c33-1623-493e-85e9-69195b2a5fa3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41C7B6EB</paraID>
      <start>0</start>
      <end>2</end>
      <status>unmodified</status>
      <modifiedWord/>
      <trackRevisions>false</trackRevisions>
    </reviewItem>
    <reviewItem>
      <errorID>8d5696a4-e601-4f8a-9b83-aa338f5c93b7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7126F7C5</paraID>
      <start>0</start>
      <end>2</end>
      <status>unmodified</status>
      <modifiedWord/>
      <trackRevisions>false</trackRevisions>
    </reviewItem>
    <reviewItem>
      <errorID>2ae76389-92ec-4b48-a420-0536ac990d66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79CD8008</paraID>
      <start>0</start>
      <end>2</end>
      <status>unmodified</status>
      <modifiedWord/>
      <trackRevisions>false</trackRevisions>
    </reviewItem>
    <reviewItem>
      <errorID>216faab4-e17a-4f28-b54b-9f66d0e3f07c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363AA1D</paraID>
      <start>0</start>
      <end>2</end>
      <status>unmodified</status>
      <modifiedWord/>
      <trackRevisions>false</trackRevisions>
    </reviewItem>
    <reviewItem>
      <errorID>20ddc385-2066-4382-82f0-b1aed4ff061b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7AD5BA33</paraID>
      <start>0</start>
      <end>2</end>
      <status>unmodified</status>
      <modifiedWord/>
      <trackRevisions>false</trackRevisions>
    </reviewItem>
    <reviewItem>
      <errorID>7e752060-ca37-4911-b557-65527660e8a6</errorID>
      <errorWord>程</errorWord>
      <group>L1_Word</group>
      <groupName>字词问题</groupName>
      <ability>L2_Typo</ability>
      <abilityName>字词错误</abilityName>
      <candidateList>
        <item>程中</item>
      </candidateList>
      <explain/>
      <paraID>4B9F3513</paraID>
      <start>6</start>
      <end>7</end>
      <status>unmodified</status>
      <modifiedWord/>
      <trackRevisions>false</trackRevisions>
    </reviewItem>
    <reviewItem>
      <errorID>c987a9cb-366f-4b04-86b3-db3b3002cff9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866ABD1</paraID>
      <start>0</start>
      <end>2</end>
      <status>unmodified</status>
      <modifiedWord/>
      <trackRevisions>false</trackRevisions>
    </reviewItem>
    <reviewItem>
      <errorID>27311fe2-b33a-4e4f-942b-d14e5c20378f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430F8E3</paraID>
      <start>0</start>
      <end>2</end>
      <status>unmodified</status>
      <modifiedWord/>
      <trackRevisions>false</trackRevisions>
    </reviewItem>
    <reviewItem>
      <errorID>d2628cc3-3e4a-40ef-8fd0-e37cc076af11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4A6CD0C6</paraID>
      <start>0</start>
      <end>2</end>
      <status>unmodified</status>
      <modifiedWord/>
      <trackRevisions>false</trackRevisions>
    </reviewItem>
    <reviewItem>
      <errorID>5bd85809-ed03-4385-8571-64aff4c6327a</errorID>
      <errorWord>（</errorWord>
      <group>L1_Punc</group>
      <groupName>标点问题</groupName>
      <ability>L2_Punc</ability>
      <abilityName>标点符号检查</abilityName>
      <candidateList/>
      <explain>同一形式括号套用。</explain>
      <paraID> A789564</paraID>
      <start>0</start>
      <end>1</end>
      <status>unmodified</status>
      <modifiedWord/>
      <trackRevisions>false</trackRevisions>
    </reviewItem>
    <reviewItem>
      <errorID>1abf41ae-dc0d-4f24-937e-fa8e00be1ab3</errorID>
      <errorWord>）</errorWord>
      <group>L1_Punc</group>
      <groupName>标点问题</groupName>
      <ability>L2_Punc</ability>
      <abilityName>标点符号检查</abilityName>
      <candidateList/>
      <explain>同一形式括号套用。</explain>
      <paraID> A789564</paraID>
      <start>2</start>
      <end>3</end>
      <status>unmodified</status>
      <modifiedWord/>
      <trackRevisions>false</trackRevisions>
    </reviewItem>
    <reviewItem>
      <errorID>962f212e-0d52-4dde-a956-1df4be85a941</errorID>
      <errorWord>（</errorWord>
      <group>L1_Punc</group>
      <groupName>标点问题</groupName>
      <ability>L2_Punc</ability>
      <abilityName>标点符号检查</abilityName>
      <candidateList/>
      <explain>同一形式括号套用。</explain>
      <paraID> A789564</paraID>
      <start>33</start>
      <end>34</end>
      <status>unmodified</status>
      <modifiedWord/>
      <trackRevisions>false</trackRevisions>
    </reviewItem>
    <reviewItem>
      <errorID>7132277b-1879-42bf-a099-95951925cf3d</errorID>
      <errorWord>）</errorWord>
      <group>L1_Punc</group>
      <groupName>标点问题</groupName>
      <ability>L2_Punc</ability>
      <abilityName>标点符号检查</abilityName>
      <candidateList/>
      <explain>同一形式括号套用。</explain>
      <paraID> A789564</paraID>
      <start>35</start>
      <end>36</end>
      <status>unmodified</status>
      <modifiedWord/>
      <trackRevisions>false</trackRevisions>
    </reviewItem>
    <reviewItem>
      <errorID>0ed20656-63be-4b4c-a9f5-922450ba1d82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47C96F26</paraID>
      <start>0</start>
      <end>2</end>
      <status>unmodified</status>
      <modifiedWord/>
      <trackRevisions>false</trackRevisions>
    </reviewItem>
    <reviewItem>
      <errorID>8e11df15-ce2f-4aad-8117-472fe284c705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30F499FE</paraID>
      <start>0</start>
      <end>2</end>
      <status>unmodified</status>
      <modifiedWord/>
      <trackRevisions>false</trackRevisions>
    </reviewItem>
    <reviewItem>
      <errorID>769ea072-f585-45c6-bb53-798002123e54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EA941FD</paraID>
      <start>0</start>
      <end>2</end>
      <status>unmodified</status>
      <modifiedWord/>
      <trackRevisions>false</trackRevisions>
    </reviewItem>
    <reviewItem>
      <errorID>0e911bbf-4403-487a-949d-e260b8128f3f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734E8954</paraID>
      <start>0</start>
      <end>2</end>
      <status>unmodified</status>
      <modifiedWord/>
      <trackRevisions>false</trackRevisions>
    </reviewItem>
    <reviewItem>
      <errorID>5d67acc3-e36a-4c3e-87aa-cc5608330e63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D94F8C7</paraID>
      <start>0</start>
      <end>2</end>
      <status>unmodified</status>
      <modifiedWord/>
      <trackRevisions>false</trackRevisions>
    </reviewItem>
    <reviewItem>
      <errorID>bf009205-a49c-4bda-a4da-9f39262a0ab1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240D9200</paraID>
      <start>0</start>
      <end>2</end>
      <status>unmodified</status>
      <modifiedWord/>
      <trackRevisions>false</trackRevisions>
    </reviewItem>
    <reviewItem>
      <errorID>ff13ed00-21e0-42c1-93e0-dca85c31e075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21FDBAEA</paraID>
      <start>0</start>
      <end>2</end>
      <status>unmodified</status>
      <modifiedWord/>
      <trackRevisions>false</trackRevisions>
    </reviewItem>
    <reviewItem>
      <errorID>cd94c916-dc15-467f-9ea6-3ecbf974011f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3C552D4C</paraID>
      <start>0</start>
      <end>2</end>
      <status>unmodified</status>
      <modifiedWord/>
      <trackRevisions>false</trackRevisions>
    </reviewItem>
    <reviewItem>
      <errorID>1e830d65-6b3b-4da8-9d60-7c8c77d3312c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537383CE</paraID>
      <start>0</start>
      <end>2</end>
      <status>unmodified</status>
      <modifiedWord/>
      <trackRevisions>false</trackRevisions>
    </reviewItem>
    <reviewItem>
      <errorID>ba81a175-82f9-4b96-a6ca-876fa8ef058f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65B5FA48</paraID>
      <start>0</start>
      <end>2</end>
      <status>unmodified</status>
      <modifiedWord/>
      <trackRevisions>false</trackRevisions>
    </reviewItem>
    <reviewItem>
      <errorID>795e2f04-0609-4858-9c7e-b516130f45fd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15570334</paraID>
      <start>0</start>
      <end>2</end>
      <status>unmodified</status>
      <modifiedWord/>
      <trackRevisions>false</trackRevisions>
    </reviewItem>
    <reviewItem>
      <errorID>fbfc172b-89ff-4903-9b6d-3ecf2d3b10bf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4317F029</paraID>
      <start>0</start>
      <end>2</end>
      <status>unmodified</status>
      <modifiedWord/>
      <trackRevisions>false</trackRevisions>
    </reviewItem>
    <reviewItem>
      <errorID>a20dc151-f2b6-45ab-abed-2615430c68be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51474BD1</paraID>
      <start>0</start>
      <end>2</end>
      <status>unmodified</status>
      <modifiedWord/>
      <trackRevisions>false</trackRevisions>
    </reviewItem>
    <reviewItem>
      <errorID>3c3b325d-b4d6-43b8-adce-c49761d586ff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5A550267</paraID>
      <start>0</start>
      <end>2</end>
      <status>unmodified</status>
      <modifiedWord/>
      <trackRevisions>false</trackRevisions>
    </reviewItem>
    <reviewItem>
      <errorID>89a7e900-5956-4056-bf3f-603012a822c4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517ECDF5</paraID>
      <start>0</start>
      <end>2</end>
      <status>unmodified</status>
      <modifiedWord/>
      <trackRevisions>false</trackRevisions>
    </reviewItem>
    <reviewItem>
      <errorID>8d4f7c63-7b5c-4fcf-96b1-da49e05a3b5a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2AB7A663</paraID>
      <start>0</start>
      <end>2</end>
      <status>unmodified</status>
      <modifiedWord/>
      <trackRevisions>false</trackRevisions>
    </reviewItem>
    <reviewItem>
      <errorID>879c016c-4c81-4f85-85da-cdb26662ffab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51F1FF4C</paraID>
      <start>0</start>
      <end>2</end>
      <status>unmodified</status>
      <modifiedWord/>
      <trackRevisions>false</trackRevisions>
    </reviewItem>
    <reviewItem>
      <errorID>ea487220-9b03-43e8-838f-5645c0f8eed7</errorID>
      <errorWord>重大</errorWord>
      <group>L1_Word</group>
      <groupName>字词问题</groupName>
      <ability>L2_Typo</ability>
      <abilityName>字词错误</abilityName>
      <candidateList>
        <item>重点</item>
      </candidateList>
      <explain/>
      <paraID>51F1FF4C</paraID>
      <start>11</start>
      <end>13</end>
      <status>unmodified</status>
      <modifiedWord/>
      <trackRevisions>false</trackRevisions>
    </reviewItem>
    <reviewItem>
      <errorID>30d98421-05b4-45a3-bdd9-9e0ad6aa83c3</errorID>
      <errorWord>沙</errorWord>
      <group>L1_Word</group>
      <groupName>字词问题</groupName>
      <ability>L2_Typo</ability>
      <abilityName>字词错误</abilityName>
      <candidateList>
        <item>砂</item>
      </candidateList>
      <explain>存在发音相同字词的误用。</explain>
      <paraID>51F1FF4C</paraID>
      <start>180</start>
      <end>181</end>
      <status>unmodified</status>
      <modifiedWord/>
      <trackRevisions>false</trackRevisions>
    </reviewItem>
    <reviewItem>
      <errorID>3bc6206b-7bee-4b54-9d30-afc19a3f4b2a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5F378421</paraID>
      <start>0</start>
      <end>2</end>
      <status>unmodified</status>
      <modifiedWord/>
      <trackRevisions>false</trackRevisions>
    </reviewItem>
    <reviewItem>
      <errorID>d298de65-4d9e-475a-b566-c40f76cd032d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DA291F8</paraID>
      <start>0</start>
      <end>2</end>
      <status>unmodified</status>
      <modifiedWord/>
      <trackRevisions>false</trackRevisions>
    </reviewItem>
    <reviewItem>
      <errorID>739bf700-5bbf-4bc2-9d40-bef211b884d7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535C4BE4</paraID>
      <start>0</start>
      <end>2</end>
      <status>unmodified</status>
      <modifiedWord/>
      <trackRevisions>false</trackRevisions>
    </reviewItem>
    <reviewItem>
      <errorID>0072924f-899a-43d7-8a41-025a89f69037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5275ABAC</paraID>
      <start>0</start>
      <end>2</end>
      <status>unmodified</status>
      <modifiedWord/>
      <trackRevisions>false</trackRevisions>
    </reviewItem>
    <reviewItem>
      <errorID>2350c81f-f4df-4d62-9256-73c10f4d12be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35980C73</paraID>
      <start>0</start>
      <end>2</end>
      <status>unmodified</status>
      <modifiedWord/>
      <trackRevisions>false</trackRevisions>
    </reviewItem>
    <reviewItem>
      <errorID>b358ff30-14da-4fe7-a74d-4cba8883c986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7E2DE569</paraID>
      <start>0</start>
      <end>2</end>
      <status>unmodified</status>
      <modifiedWord/>
      <trackRevisions>false</trackRevisions>
    </reviewItem>
    <reviewItem>
      <errorID>1c045087-f79d-43fd-be5c-e4f079df2542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45DD3B84</paraID>
      <start>0</start>
      <end>2</end>
      <status>unmodified</status>
      <modifiedWord/>
      <trackRevisions>false</trackRevisions>
    </reviewItem>
    <reviewItem>
      <errorID>6ed3cb8c-7bfd-4841-8d64-8a273deb258c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68750603</paraID>
      <start>0</start>
      <end>2</end>
      <status>unmodified</status>
      <modifiedWord/>
      <trackRevisions>false</trackRevisions>
    </reviewItem>
    <reviewItem>
      <errorID>234da776-46c2-457c-95e4-f281b2436758</errorID>
      <errorWord>程</errorWord>
      <group>L1_Word</group>
      <groupName>字词问题</groupName>
      <ability>L2_Typo</ability>
      <abilityName>字词错误</abilityName>
      <candidateList>
        <item>程中</item>
      </candidateList>
      <explain/>
      <paraID>68750603</paraID>
      <start>7</start>
      <end>8</end>
      <status>unmodified</status>
      <modifiedWord/>
      <trackRevisions>false</trackRevisions>
    </reviewItem>
    <reviewItem>
      <errorID>42ce4de5-325a-428b-9821-dea4aebb4e63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10845069</paraID>
      <start>0</start>
      <end>2</end>
      <status>unmodified</status>
      <modifiedWord/>
      <trackRevisions>false</trackRevisions>
    </reviewItem>
    <reviewItem>
      <errorID>61c420ba-dc3f-41df-a81d-5c29e34abdc9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12AF779D</paraID>
      <start>0</start>
      <end>2</end>
      <status>unmodified</status>
      <modifiedWord/>
      <trackRevisions>false</trackRevisions>
    </reviewItem>
    <reviewItem>
      <errorID>058cc79a-b594-4990-8a3d-52a1b17b8464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26F95648</paraID>
      <start>0</start>
      <end>2</end>
      <status>unmodified</status>
      <modifiedWord/>
      <trackRevisions>false</trackRevisions>
    </reviewItem>
    <reviewItem>
      <errorID>d2114d05-a238-4e4f-99ba-34d6f4eaa14a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2492772E</paraID>
      <start>0</start>
      <end>2</end>
      <status>unmodified</status>
      <modifiedWord/>
      <trackRevisions>false</trackRevisions>
    </reviewItem>
    <reviewItem>
      <errorID>8e38e37d-3303-443a-b209-b09abcc40e9e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784A2EED</paraID>
      <start>0</start>
      <end>2</end>
      <status>unmodified</status>
      <modifiedWord/>
      <trackRevisions>false</trackRevisions>
    </reviewItem>
    <reviewItem>
      <errorID>c08b45c7-81a9-4886-aee1-42e40d98acb7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6245360E</paraID>
      <start>0</start>
      <end>2</end>
      <status>unmodified</status>
      <modifiedWord/>
      <trackRevisions>false</trackRevisions>
    </reviewItem>
    <reviewItem>
      <errorID>3540cc49-aa71-4800-ad63-71411b32e138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16247BEB</paraID>
      <start>0</start>
      <end>2</end>
      <status>unmodified</status>
      <modifiedWord/>
      <trackRevisions>false</trackRevisions>
    </reviewItem>
    <reviewItem>
      <errorID>45900889-a582-40be-8480-abf4aa8e74f8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4C242EB3</paraID>
      <start>0</start>
      <end>2</end>
      <status>unmodified</status>
      <modifiedWord/>
      <trackRevisions>false</trackRevisions>
    </reviewItem>
    <reviewItem>
      <errorID>ca5c75a9-88ea-4fae-83bd-cd6724a9faba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3EEA6BC</paraID>
      <start>0</start>
      <end>2</end>
      <status>unmodified</status>
      <modifiedWord/>
      <trackRevisions>false</trackRevisions>
    </reviewItem>
    <reviewItem>
      <errorID>14130ccb-34df-4656-afde-12aa00828460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4B5EB12D</paraID>
      <start>0</start>
      <end>2</end>
      <status>unmodified</status>
      <modifiedWord/>
      <trackRevisions>false</trackRevisions>
    </reviewItem>
    <reviewItem>
      <errorID>a6d824cb-6df8-4267-b6a0-34cb3e39d85b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3248633A</paraID>
      <start>0</start>
      <end>2</end>
      <status>unmodified</status>
      <modifiedWord/>
      <trackRevisions>false</trackRevisions>
    </reviewItem>
    <reviewItem>
      <errorID>6d864133-1f60-4ac4-8c7b-021e875b0b7a</errorID>
      <errorWord>国家“一带一路”倡议</errorWord>
      <group>L1_Word</group>
      <groupName>字词问题</groupName>
      <ability>L2_Typo</ability>
      <abilityName>字词错误</abilityName>
      <candidateList>
        <item>共建“一带一路”倡议</item>
      </candidateList>
      <explain/>
      <paraID> DE06DC2</paraID>
      <start>6</start>
      <end>16</end>
      <status>unmodified</status>
      <modifiedWord/>
      <trackRevisions>false</trackRevisions>
    </reviewItem>
    <reviewItem>
      <errorID>34713d3c-0dce-43c7-a8b9-e693df982a3e</errorID>
      <errorWord>(</errorWord>
      <group>L1_Format</group>
      <groupName>格式问题</groupName>
      <ability>L2_HalfPunc</ability>
      <abilityName>全半角检查</abilityName>
      <candidateList>
        <item>（</item>
      </candidateList>
      <explain>文本全半角错误。</explain>
      <paraID>44973294</paraID>
      <start>103</start>
      <end>104</end>
      <status>unmodified</status>
      <modifiedWord/>
      <trackRevisions>false</trackRevisions>
    </reviewItem>
    <reviewItem>
      <errorID>f9c796a0-f1ed-408f-bfc4-44c4bafbe2d0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1910FEBF</paraID>
      <start>15</start>
      <end>18</end>
      <status>unmodified</status>
      <modifiedWord/>
      <trackRevisions>false</trackRevisions>
    </reviewItem>
    <reviewItem>
      <errorID>d9a54b0d-fb46-46dc-81b9-8ddeeb6d6fa4</errorID>
      <errorWord>-</errorWord>
      <group>L1_Format</group>
      <groupName>格式问题</groupName>
      <ability>L2_HalfPunc</ability>
      <abilityName>全半角检查</abilityName>
      <candidateList>
        <item>－</item>
      </candidateList>
      <explain>文本全半角错误。</explain>
      <paraID>1910FEBF</paraID>
      <start>144</start>
      <end>145</end>
      <status>unmodified</status>
      <modifiedWord/>
      <trackRevisions>false</trackRevisions>
    </reviewItem>
    <reviewItem>
      <errorID>4bf4e88d-fd7e-4b37-9c95-b531df6c240f</errorID>
      <errorWord>-</errorWord>
      <group>L1_Format</group>
      <groupName>格式问题</groupName>
      <ability>L2_HalfPunc</ability>
      <abilityName>全半角检查</abilityName>
      <candidateList>
        <item>－</item>
      </candidateList>
      <explain>文本全半角错误。</explain>
      <paraID>1910FEBF</paraID>
      <start>156</start>
      <end>157</end>
      <status>unmodified</status>
      <modifiedWord/>
      <trackRevisions>false</trackRevisions>
    </reviewItem>
    <reviewItem>
      <errorID>cfeacd55-5811-4aa2-b930-32b5d62f19f3</errorID>
      <errorWord>委托了</errorWord>
      <group>L1_Word</group>
      <groupName>字词问题</groupName>
      <ability>L2_Typo</ability>
      <abilityName>字词错误</abilityName>
      <candidateList>
        <item>委托</item>
      </candidateList>
      <explain/>
      <paraID>2D3AE7C8</paraID>
      <start>16</start>
      <end>19</end>
      <status>unmodified</status>
      <modifiedWord/>
      <trackRevisions>false</trackRevisions>
    </reviewItem>
    <reviewItem>
      <errorID>f239309b-3f68-4cee-bad9-467302788417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563AC730</paraID>
      <start>0</start>
      <end>2</end>
      <status>unmodified</status>
      <modifiedWord/>
      <trackRevisions>false</trackRevisions>
    </reviewItem>
    <reviewItem>
      <errorID>f32f63ab-1ff4-4903-bd12-8ad0a00626d7</errorID>
      <errorWord>进入到</errorWord>
      <group>L1_Word</group>
      <groupName>字词问题</groupName>
      <ability>L2_Typo</ability>
      <abilityName>字词错误</abilityName>
      <candidateList>
        <item>进入</item>
      </candidateList>
      <explain>〈动〉支进到某个范围或某个时期里：～学校｜～新阶段◇～角色。</explain>
      <paraID> 496F9C9</paraID>
      <start>67</start>
      <end>70</end>
      <status>unmodified</status>
      <modifiedWord/>
      <trackRevisions>false</trackRevisions>
    </reviewItem>
    <reviewItem>
      <errorID>b0d94f3d-80c7-45fb-8fde-6bfc63aca783</errorID>
      <errorWord>水场</errorWord>
      <group>L1_Word</group>
      <groupName>字词问题</groupName>
      <ability>L2_Typo</ability>
      <abilityName>字词错误</abilityName>
      <candidateList>
        <item>水厂</item>
      </candidateList>
      <explain/>
      <paraID>7DF030C3</paraID>
      <start>2</start>
      <end>4</end>
      <status>unmodified</status>
      <modifiedWord/>
      <trackRevisions>false</trackRevisions>
    </reviewItem>
    <reviewItem>
      <errorID>9c83de43-7265-4872-bccc-74622757198f</errorID>
      <errorWord>依托供</errorWord>
      <group>L1_Word</group>
      <groupName>字词问题</groupName>
      <ability>L2_Typo</ability>
      <abilityName>字词错误</abilityName>
      <candidateList>
        <item>依托</item>
      </candidateList>
      <explain/>
      <paraID>5A43AD42</paraID>
      <start>5</start>
      <end>7</end>
      <status>modified</status>
      <modifiedWord>依托</modifiedWord>
      <trackRevisions>false</trackRevisions>
    </reviewItem>
    <reviewItem>
      <errorID>fc95d804-1828-4137-b2a8-c68206d52b60</errorID>
      <errorWord>污水厂</errorWord>
      <group>L1_Word</group>
      <groupName>字词问题</groupName>
      <ability>L2_Typo</ability>
      <abilityName>字词错误</abilityName>
      <candidateList>
        <item>污水处理厂</item>
      </candidateList>
      <explain/>
      <paraID>5F4C65C4</paraID>
      <start>13</start>
      <end>18</end>
      <status>modified</status>
      <modifiedWord>污水处理厂</modifiedWord>
      <trackRevisions>false</trackRevisions>
    </reviewItem>
    <reviewItem>
      <errorID>74086059-8790-4d81-bbd1-d126fb2afcdf</errorID>
      <errorWord>污水厂</errorWord>
      <group>L1_Word</group>
      <groupName>字词问题</groupName>
      <ability>L2_Typo</ability>
      <abilityName>字词错误</abilityName>
      <candidateList>
        <item>污水处理厂</item>
      </candidateList>
      <explain/>
      <paraID> A24D902</paraID>
      <start>23</start>
      <end>28</end>
      <status>modified</status>
      <modifiedWord>污水处理厂</modifiedWord>
      <trackRevisions>false</trackRevisions>
    </reviewItem>
    <reviewItem>
      <errorID>1e4df9da-5c57-4207-9105-9d08ff86ee1d</errorID>
      <errorWord>，</errorWord>
      <group>L1_Word</group>
      <groupName>字词问题</groupName>
      <ability>L2_Typo</ability>
      <abilityName>字词错误</abilityName>
      <candidateList>
        <item>，基</item>
      </candidateList>
      <explain/>
      <paraID> A24D902</paraID>
      <start>34</start>
      <end>35</end>
      <status>unmodified</status>
      <modifiedWord/>
      <trackRevisions>false</trackRevisions>
    </reviewItem>
    <reviewItem>
      <errorID>6f2df034-2bfb-4f9a-bbb7-a9299caf585c</errorID>
      <errorWord>交有</errorWord>
      <group>L1_Word</group>
      <groupName>字词问题</groupName>
      <ability>L2_Typo</ability>
      <abilityName>字词错误</abilityName>
      <candidateList>
        <item>交由</item>
      </candidateList>
      <explain>存在发音相同字词的误用。</explain>
      <paraID>7B2C2768</paraID>
      <start>36</start>
      <end>38</end>
      <status>modified</status>
      <modifiedWord>交由</modifiedWord>
      <trackRevisions>false</trackRevisions>
    </reviewItem>
    <reviewItem>
      <errorID>d8bbf6c3-ce6e-4124-a695-5925c9136160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50A45C1</paraID>
      <start>0</start>
      <end>2</end>
      <status>unmodified</status>
      <modifiedWord/>
      <trackRevisions>false</trackRevisions>
    </reviewItem>
    <reviewItem>
      <errorID>a974716f-7fe6-4f1e-8dc0-16607de8966d</errorID>
      <errorWord>进入到</errorWord>
      <group>L1_Word</group>
      <groupName>字词问题</groupName>
      <ability>L2_Typo</ability>
      <abilityName>字词错误</abilityName>
      <candidateList>
        <item>进入</item>
      </candidateList>
      <explain>〈动〉支进到某个范围或某个时期里：～学校｜～新阶段◇～角色。</explain>
      <paraID>5ED80A1E</paraID>
      <start>22</start>
      <end>25</end>
      <status>unmodified</status>
      <modifiedWord/>
      <trackRevisions>false</trackRevisions>
    </reviewItem>
    <reviewItem>
      <errorID>2edf1707-0331-4d8c-8be5-f3c8a68e4757</errorID>
      <errorWord>水场</errorWord>
      <group>L1_Word</group>
      <groupName>字词问题</groupName>
      <ability>L2_Typo</ability>
      <abilityName>字词错误</abilityName>
      <candidateList>
        <item>水厂</item>
      </candidateList>
      <explain/>
      <paraID>57089404</paraID>
      <start>2</start>
      <end>4</end>
      <status>unmodified</status>
      <modifiedWord/>
      <trackRevisions>false</trackRevisions>
    </reviewItem>
    <reviewItem>
      <errorID>51d31761-6719-40c6-89fd-f92bd00d6d86</errorID>
      <errorWord>水场</errorWord>
      <group>L1_Word</group>
      <groupName>字词问题</groupName>
      <ability>L2_Typo</ability>
      <abilityName>字词错误</abilityName>
      <candidateList>
        <item>水厂</item>
      </candidateList>
      <explain/>
      <paraID>544D1B4B</paraID>
      <start>47</start>
      <end>49</end>
      <status>unmodified</status>
      <modifiedWord/>
      <trackRevisions>false</trackRevisions>
    </reviewItem>
    <reviewItem>
      <errorID>2f975a61-d005-4be2-b64a-fa56d3f13f8e</errorID>
      <errorWord>污水厂</errorWord>
      <group>L1_Word</group>
      <groupName>字词问题</groupName>
      <ability>L2_Typo</ability>
      <abilityName>字词错误</abilityName>
      <candidateList>
        <item>污水处理厂</item>
      </candidateList>
      <explain/>
      <paraID> 628CEC5</paraID>
      <start>23</start>
      <end>28</end>
      <status>modified</status>
      <modifiedWord>污水处理厂</modifiedWord>
      <trackRevisions>false</trackRevisions>
    </reviewItem>
    <reviewItem>
      <errorID>ba71b209-84e5-4cde-aafe-9af65bac1ee2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622ED07A</paraID>
      <start>0</start>
      <end>2</end>
      <status>unmodified</status>
      <modifiedWord/>
      <trackRevisions>false</trackRevisions>
    </reviewItem>
    <reviewItem>
      <errorID>d6896303-ec4c-40b2-8078-91097a257c25</errorID>
      <errorWord>(</errorWord>
      <group>L1_Format</group>
      <groupName>格式问题</groupName>
      <ability>L2_HalfPunc</ability>
      <abilityName>全半角检查</abilityName>
      <candidateList>
        <item>（</item>
      </candidateList>
      <explain>文本全半角错误。</explain>
      <paraID>638A8F39</paraID>
      <start>10</start>
      <end>11</end>
      <status>unmodified</status>
      <modifiedWord/>
      <trackRevisions>false</trackRevisions>
    </reviewItem>
    <reviewItem>
      <errorID>19b29dd7-b3f3-4365-9375-809e6f89da52</errorID>
      <errorWord>)</errorWord>
      <group>L1_Format</group>
      <groupName>格式问题</groupName>
      <ability>L2_HalfPunc</ability>
      <abilityName>全半角检查</abilityName>
      <candidateList>
        <item>）</item>
      </candidateList>
      <explain>文本全半角错误。</explain>
      <paraID>638A8F39</paraID>
      <start>16</start>
      <end>17</end>
      <status>unmodified</status>
      <modifiedWord/>
      <trackRevisions>false</trackRevisions>
    </reviewItem>
    <reviewItem>
      <errorID>82af106a-ed15-4f73-855e-fa419eaeb6b8</errorID>
      <errorWord>(</errorWord>
      <group>L1_Format</group>
      <groupName>格式问题</groupName>
      <ability>L2_HalfPunc</ability>
      <abilityName>全半角检查</abilityName>
      <candidateList>
        <item>（</item>
      </candidateList>
      <explain>文本全半角错误。</explain>
      <paraID>1C5CB134</paraID>
      <start>6</start>
      <end>7</end>
      <status>unmodified</status>
      <modifiedWord/>
      <trackRevisions>false</trackRevisions>
    </reviewItem>
    <reviewItem>
      <errorID>0b7d6cc1-22e7-434d-a090-be2ae770f9e4</errorID>
      <errorWord>)</errorWord>
      <group>L1_Format</group>
      <groupName>格式问题</groupName>
      <ability>L2_HalfPunc</ability>
      <abilityName>全半角检查</abilityName>
      <candidateList>
        <item>）</item>
      </candidateList>
      <explain>文本全半角错误。</explain>
      <paraID>1C5CB134</paraID>
      <start>11</start>
      <end>12</end>
      <status>unmodified</status>
      <modifiedWord/>
      <trackRevisions>false</trackRevisions>
    </reviewItem>
    <reviewItem>
      <errorID>a3aa46ef-ff70-43cd-8f5c-b8778e24a679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1DE26DDB</paraID>
      <start>0</start>
      <end>2</end>
      <status>unmodified</status>
      <modifiedWord/>
      <trackRevisions>false</trackRevisions>
    </reviewItem>
    <reviewItem>
      <errorID>f7fad3ea-90ce-46f5-a2c5-317b9df20a6e</errorID>
      <errorWord>，</errorWord>
      <group>L1_Format</group>
      <groupName>格式问题</groupName>
      <ability>L2_HalfPunc</ability>
      <abilityName>全半角检查</abilityName>
      <candidateList>
        <item>,</item>
      </candidateList>
      <explain>文本全半角错误。</explain>
      <paraID>1C734986</paraID>
      <start>4</start>
      <end>5</end>
      <status>unmodified</status>
      <modifiedWord/>
      <trackRevisions>false</trackRevisions>
    </reviewItem>
    <reviewItem>
      <errorID>52e9c489-92a3-4872-82d1-e4d6741022c8</errorID>
      <errorWord>，</errorWord>
      <group>L1_Format</group>
      <groupName>格式问题</groupName>
      <ability>L2_HalfPunc</ability>
      <abilityName>全半角检查</abilityName>
      <candidateList>
        <item>, </item>
      </candidateList>
      <explain>文本全半角错误。</explain>
      <paraID>1C734986</paraID>
      <start>15</start>
      <end>16</end>
      <status>unmodified</status>
      <modifiedWord/>
      <trackRevisions>false</trackRevisions>
    </reviewItem>
    <reviewItem>
      <errorID>d6c39ecf-8940-4f1f-a63c-bcc672feaf45</errorID>
      <errorWord>，</errorWord>
      <group>L1_Format</group>
      <groupName>格式问题</groupName>
      <ability>L2_HalfPunc</ability>
      <abilityName>全半角检查</abilityName>
      <candidateList>
        <item>, </item>
      </candidateList>
      <explain>文本全半角错误。</explain>
      <paraID>2977D42E</paraID>
      <start>4</start>
      <end>5</end>
      <status>unmodified</status>
      <modifiedWord/>
      <trackRevisions>false</trackRevisions>
    </reviewItem>
    <reviewItem>
      <errorID>7ce4603f-b474-4006-8cd6-8e718ddf2834</errorID>
      <errorWord>，</errorWord>
      <group>L1_Format</group>
      <groupName>格式问题</groupName>
      <ability>L2_HalfPunc</ability>
      <abilityName>全半角检查</abilityName>
      <candidateList>
        <item>, </item>
      </candidateList>
      <explain>文本全半角错误。</explain>
      <paraID>5337F981</paraID>
      <start>4</start>
      <end>5</end>
      <status>unmodified</status>
      <modifiedWord/>
      <trackRevisions>false</trackRevisions>
    </reviewItem>
    <reviewItem>
      <errorID>796190d5-d601-4b92-9966-9c7e4a30735c</errorID>
      <errorWord>，</errorWord>
      <group>L1_Format</group>
      <groupName>格式问题</groupName>
      <ability>L2_HalfPunc</ability>
      <abilityName>全半角检查</abilityName>
      <candidateList>
        <item>,</item>
      </candidateList>
      <explain>文本全半角错误。</explain>
      <paraID>66EE1BA2</paraID>
      <start>4</start>
      <end>5</end>
      <status>unmodified</status>
      <modifiedWord/>
      <trackRevisions>false</trackRevisions>
    </reviewItem>
    <reviewItem>
      <errorID>c5be8b9a-5c46-4283-ba99-fe41cb32f45c</errorID>
      <errorWord>，</errorWord>
      <group>L1_Format</group>
      <groupName>格式问题</groupName>
      <ability>L2_HalfPunc</ability>
      <abilityName>全半角检查</abilityName>
      <candidateList>
        <item>, </item>
      </candidateList>
      <explain>文本全半角错误。</explain>
      <paraID>66EE1BA2</paraID>
      <start>14</start>
      <end>15</end>
      <status>unmodified</status>
      <modifiedWord/>
      <trackRevisions>false</trackRevisions>
    </reviewItem>
    <reviewItem>
      <errorID>d9d81ac8-92cc-4867-929c-9aa5315bf02f</errorID>
      <errorWord>，</errorWord>
      <group>L1_Format</group>
      <groupName>格式问题</groupName>
      <ability>L2_HalfPunc</ability>
      <abilityName>全半角检查</abilityName>
      <candidateList>
        <item>, </item>
      </candidateList>
      <explain>文本全半角错误。</explain>
      <paraID>3B0E8074</paraID>
      <start>4</start>
      <end>5</end>
      <status>unmodified</status>
      <modifiedWord/>
      <trackRevisions>false</trackRevisions>
    </reviewItem>
    <reviewItem>
      <errorID>89b36905-b279-4127-9be8-90ae2c957888</errorID>
      <errorWord>，</errorWord>
      <group>L1_Format</group>
      <groupName>格式问题</groupName>
      <ability>L2_HalfPunc</ability>
      <abilityName>全半角检查</abilityName>
      <candidateList>
        <item>, </item>
      </candidateList>
      <explain>文本全半角错误。</explain>
      <paraID>6D0DB24C</paraID>
      <start>4</start>
      <end>5</end>
      <status>unmodified</status>
      <modifiedWord/>
      <trackRevisions>false</trackRevisions>
    </reviewItem>
    <reviewItem>
      <errorID>617b8975-bd6e-4799-be76-81cf853e30a9</errorID>
      <errorWord>，</errorWord>
      <group>L1_Format</group>
      <groupName>格式问题</groupName>
      <ability>L2_HalfPunc</ability>
      <abilityName>全半角检查</abilityName>
      <candidateList>
        <item>,</item>
      </candidateList>
      <explain>文本全半角错误。</explain>
      <paraID>58CA8A6F</paraID>
      <start>4</start>
      <end>5</end>
      <status>unmodified</status>
      <modifiedWord/>
      <trackRevisions>false</trackRevisions>
    </reviewItem>
    <reviewItem>
      <errorID>27e94549-d27f-4274-a2ef-275112bb0b81</errorID>
      <errorWord>，</errorWord>
      <group>L1_Format</group>
      <groupName>格式问题</groupName>
      <ability>L2_HalfPunc</ability>
      <abilityName>全半角检查</abilityName>
      <candidateList>
        <item>, </item>
      </candidateList>
      <explain>文本全半角错误。</explain>
      <paraID>58CA8A6F</paraID>
      <start>14</start>
      <end>15</end>
      <status>unmodified</status>
      <modifiedWord/>
      <trackRevisions>false</trackRevisions>
    </reviewItem>
    <reviewItem>
      <errorID>caec9940-c095-44bc-a5de-9cbd5f764b3e</errorID>
      <errorWord>，</errorWord>
      <group>L1_Format</group>
      <groupName>格式问题</groupName>
      <ability>L2_HalfPunc</ability>
      <abilityName>全半角检查</abilityName>
      <candidateList>
        <item>, </item>
      </candidateList>
      <explain>文本全半角错误。</explain>
      <paraID>28B6CA0F</paraID>
      <start>4</start>
      <end>5</end>
      <status>unmodified</status>
      <modifiedWord/>
      <trackRevisions>false</trackRevisions>
    </reviewItem>
    <reviewItem>
      <errorID>02feafda-3d61-42de-8d5e-bc10108a525c</errorID>
      <errorWord>，</errorWord>
      <group>L1_Format</group>
      <groupName>格式问题</groupName>
      <ability>L2_HalfPunc</ability>
      <abilityName>全半角检查</abilityName>
      <candidateList>
        <item>, </item>
      </candidateList>
      <explain>文本全半角错误。</explain>
      <paraID>3CA28920</paraID>
      <start>4</start>
      <end>5</end>
      <status>unmodified</status>
      <modifiedWord/>
      <trackRevisions>false</trackRevisions>
    </reviewItem>
    <reviewItem>
      <errorID>7b274345-e46b-4c78-855f-1115484e3be5</errorID>
      <errorWord>，</errorWord>
      <group>L1_Format</group>
      <groupName>格式问题</groupName>
      <ability>L2_HalfPunc</ability>
      <abilityName>全半角检查</abilityName>
      <candidateList>
        <item>, </item>
      </candidateList>
      <explain>文本全半角错误。</explain>
      <paraID>65E4B09F</paraID>
      <start>4</start>
      <end>5</end>
      <status>unmodified</status>
      <modifiedWord/>
      <trackRevisions>false</trackRevisions>
    </reviewItem>
    <reviewItem>
      <errorID>2b60e8cf-c1c2-4a03-b7a5-b321e944ea94</errorID>
      <errorWord>，</errorWord>
      <group>L1_Format</group>
      <groupName>格式问题</groupName>
      <ability>L2_HalfPunc</ability>
      <abilityName>全半角检查</abilityName>
      <candidateList>
        <item>, </item>
      </candidateList>
      <explain>文本全半角错误。</explain>
      <paraID>6111F618</paraID>
      <start>4</start>
      <end>5</end>
      <status>unmodified</status>
      <modifiedWord/>
      <trackRevisions>false</trackRevisions>
    </reviewItem>
    <reviewItem>
      <errorID>3b52d4f8-ce04-42a4-a725-d491267cbff9</errorID>
      <errorWord>，</errorWord>
      <group>L1_Format</group>
      <groupName>格式问题</groupName>
      <ability>L2_HalfPunc</ability>
      <abilityName>全半角检查</abilityName>
      <candidateList>
        <item>,</item>
      </candidateList>
      <explain>文本全半角错误。</explain>
      <paraID>39BD50C6</paraID>
      <start>4</start>
      <end>5</end>
      <status>unmodified</status>
      <modifiedWord/>
      <trackRevisions>false</trackRevisions>
    </reviewItem>
    <reviewItem>
      <errorID>08d8cdd6-edb4-4462-b8c4-75e3396bc59b</errorID>
      <errorWord>，</errorWord>
      <group>L1_Format</group>
      <groupName>格式问题</groupName>
      <ability>L2_HalfPunc</ability>
      <abilityName>全半角检查</abilityName>
      <candidateList>
        <item>, </item>
      </candidateList>
      <explain>文本全半角错误。</explain>
      <paraID>39BD50C6</paraID>
      <start>15</start>
      <end>16</end>
      <status>unmodified</status>
      <modifiedWord/>
      <trackRevisions>false</trackRevisions>
    </reviewItem>
    <reviewItem>
      <errorID>45c4a304-ac37-4ea7-b4af-18368f2acf22</errorID>
      <errorWord>，</errorWord>
      <group>L1_Format</group>
      <groupName>格式问题</groupName>
      <ability>L2_HalfPunc</ability>
      <abilityName>全半角检查</abilityName>
      <candidateList>
        <item>, </item>
      </candidateList>
      <explain>文本全半角错误。</explain>
      <paraID>53FB03D1</paraID>
      <start>4</start>
      <end>5</end>
      <status>unmodified</status>
      <modifiedWord/>
      <trackRevisions>false</trackRevisions>
    </reviewItem>
    <reviewItem>
      <errorID>faad0673-be57-4fdf-b50e-4befc053be01</errorID>
      <errorWord>依托的</errorWord>
      <group>L1_Word</group>
      <groupName>字词问题</groupName>
      <ability>L2_Typo</ability>
      <abilityName>字词错误</abilityName>
      <candidateList>
        <item>依托</item>
      </candidateList>
      <explain/>
      <paraID> E820B1C</paraID>
      <start>11</start>
      <end>14</end>
      <status>unmodified</status>
      <modifiedWord/>
      <trackRevisions>false</trackRevisions>
    </reviewItem>
    <reviewItem>
      <errorID>af6b1773-777d-46d4-a621-b0fa0de014a5</errorID>
      <errorWord>塔形式</errorWord>
      <group>L1_Word</group>
      <groupName>字词问题</groupName>
      <ability>L2_Typo</ability>
      <abilityName>字词错误</abilityName>
      <candidateList>
        <item>塔型式</item>
      </candidateList>
      <explain/>
      <paraID>2B7DFE33</paraID>
      <start>0</start>
      <end>3</end>
      <status>unmodified</status>
      <modifiedWord/>
      <trackRevisions>false</trackRevisions>
    </reviewItem>
    <reviewItem>
      <errorID>27bb9980-e45c-453e-a28f-294224c29bad</errorID>
      <errorWord>KW</errorWord>
      <group>L1_Word</group>
      <groupName>字词问题</groupName>
      <ability>L2_Typo</ability>
      <abilityName>字词错误</abilityName>
      <candidateList>
        <item>kW</item>
      </candidateList>
      <explain/>
      <paraID>711E9ABC</paraID>
      <start>9</start>
      <end>11</end>
      <status>unmodified</status>
      <modifiedWord/>
      <trackRevisions>false</trackRevisions>
    </reviewItem>
    <reviewItem>
      <errorID>4fda8c2c-0ad3-4034-8b62-959b7640852f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2454EAF8</paraID>
      <start>0</start>
      <end>2</end>
      <status>unmodified</status>
      <modifiedWord/>
      <trackRevisions>false</trackRevisions>
    </reviewItem>
    <reviewItem>
      <errorID>a1121700-b4d5-4cc9-9dc6-ec04d2592fa1</errorID>
      <errorWord>（</errorWord>
      <group>L1_Format</group>
      <groupName>格式问题</groupName>
      <ability>L2_HalfPunc</ability>
      <abilityName>全半角检查</abilityName>
      <candidateList>
        <item>(</item>
      </candidateList>
      <explain>文本全半角错误。</explain>
      <paraID> EB1A7B7</paraID>
      <start>2</start>
      <end>3</end>
      <status>unmodified</status>
      <modifiedWord/>
      <trackRevisions>false</trackRevisions>
    </reviewItem>
    <reviewItem>
      <errorID>041cbd68-9b7b-43b5-bc5b-9784b9c2452e</errorID>
      <errorWord>）</errorWord>
      <group>L1_Format</group>
      <groupName>格式问题</groupName>
      <ability>L2_HalfPunc</ability>
      <abilityName>全半角检查</abilityName>
      <candidateList>
        <item>)</item>
      </candidateList>
      <explain>文本全半角错误。</explain>
      <paraID> EB1A7B7</paraID>
      <start>6</start>
      <end>7</end>
      <status>unmodified</status>
      <modifiedWord/>
      <trackRevisions>false</trackRevisions>
    </reviewItem>
    <reviewItem>
      <errorID>54760a68-4940-48ff-88a7-c75d78f0afef</errorID>
      <errorWord>（</errorWord>
      <group>L1_Format</group>
      <groupName>格式问题</groupName>
      <ability>L2_HalfPunc</ability>
      <abilityName>全半角检查</abilityName>
      <candidateList>
        <item>(</item>
      </candidateList>
      <explain>文本全半角错误。</explain>
      <paraID>438EF3D7</paraID>
      <start>2</start>
      <end>3</end>
      <status>unmodified</status>
      <modifiedWord/>
      <trackRevisions>false</trackRevisions>
    </reviewItem>
    <reviewItem>
      <errorID>ee21df79-e5e6-4bc2-b3ee-875ec5696f25</errorID>
      <errorWord>）</errorWord>
      <group>L1_Format</group>
      <groupName>格式问题</groupName>
      <ability>L2_HalfPunc</ability>
      <abilityName>全半角检查</abilityName>
      <candidateList>
        <item>)</item>
      </candidateList>
      <explain>文本全半角错误。</explain>
      <paraID>438EF3D7</paraID>
      <start>6</start>
      <end>7</end>
      <status>unmodified</status>
      <modifiedWord/>
      <trackRevisions>false</trackRevisions>
    </reviewItem>
    <reviewItem>
      <errorID>ef03d5e3-785f-410c-877b-cb538743183b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271B35B0</paraID>
      <start>0</start>
      <end>2</end>
      <status>unmodified</status>
      <modifiedWord/>
      <trackRevisions>false</trackRevisions>
    </reviewItem>
    <reviewItem>
      <errorID>e11fea5e-849c-4579-ae7c-f8dd51a31a2b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5CC41C67</paraID>
      <start>0</start>
      <end>2</end>
      <status>unmodified</status>
      <modifiedWord/>
      <trackRevisions>false</trackRevisions>
    </reviewItem>
    <reviewItem>
      <errorID>73197132-5486-41b6-95af-9f4d1040487d</errorID>
      <errorWord>水场</errorWord>
      <group>L1_Word</group>
      <groupName>字词问题</groupName>
      <ability>L2_Typo</ability>
      <abilityName>字词错误</abilityName>
      <candidateList>
        <item>水厂</item>
      </candidateList>
      <explain/>
      <paraID>2CA13AF3</paraID>
      <start>87</start>
      <end>89</end>
      <status>unmodified</status>
      <modifiedWord/>
      <trackRevisions>false</trackRevisions>
    </reviewItem>
    <reviewItem>
      <errorID>8d7e0ce5-188a-4ded-9004-ae1927a66b8e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67F6CB0A</paraID>
      <start>0</start>
      <end>2</end>
      <status>unmodified</status>
      <modifiedWord/>
      <trackRevisions>false</trackRevisions>
    </reviewItem>
    <reviewItem>
      <errorID>54122aa4-e981-44e6-bd8f-e43182d378a0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DF2F42F</paraID>
      <start>0</start>
      <end>2</end>
      <status>unmodified</status>
      <modifiedWord/>
      <trackRevisions>false</trackRevisions>
    </reviewItem>
    <reviewItem>
      <errorID>d17cda9f-6088-49ab-8184-bb730a10d4b3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58AEF4E3</paraID>
      <start>0</start>
      <end>2</end>
      <status>unmodified</status>
      <modifiedWord/>
      <trackRevisions>false</trackRevisions>
    </reviewItem>
    <reviewItem>
      <errorID>79b3201f-c1c2-47cb-9989-c646fb7f5374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2F5778BE</paraID>
      <start>0</start>
      <end>2</end>
      <status>unmodified</status>
      <modifiedWord/>
      <trackRevisions>false</trackRevisions>
    </reviewItem>
    <reviewItem>
      <errorID>aa320d77-05dd-42fa-89a7-57343cf0a420</errorID>
      <errorWord>-</errorWord>
      <group>L1_Format</group>
      <groupName>格式问题</groupName>
      <ability>L2_HalfPunc</ability>
      <abilityName>全半角检查</abilityName>
      <candidateList>
        <item>－</item>
      </candidateList>
      <explain>文本全半角错误。</explain>
      <paraID>2C302138</paraID>
      <start>37</start>
      <end>38</end>
      <status>unmodified</status>
      <modifiedWord/>
      <trackRevisions>false</trackRevisions>
    </reviewItem>
    <reviewItem>
      <errorID>6a260140-cbfa-47c8-9094-5bbf93f0aebd</errorID>
      <errorWord>进入到</errorWord>
      <group>L1_Word</group>
      <groupName>字词问题</groupName>
      <ability>L2_Typo</ability>
      <abilityName>字词错误</abilityName>
      <candidateList>
        <item>进入</item>
      </candidateList>
      <explain>〈动〉支进到某个范围或某个时期里：～学校｜～新阶段◇～角色。</explain>
      <paraID>2640522F</paraID>
      <start>28</start>
      <end>31</end>
      <status>unmodified</status>
      <modifiedWord/>
      <trackRevisions>false</trackRevisions>
    </reviewItem>
    <reviewItem>
      <errorID>5e6d34b1-bdc2-4d21-93ca-5258d0b2c6a5</errorID>
      <errorWord>~</errorWord>
      <group>L1_Format</group>
      <groupName>格式问题</groupName>
      <ability>L2_HalfPunc</ability>
      <abilityName>全半角检查</abilityName>
      <candidateList>
        <item>～</item>
      </candidateList>
      <explain>文本全半角错误。</explain>
      <paraID>1A49FFD8</paraID>
      <start>127</start>
      <end>128</end>
      <status>unmodified</status>
      <modifiedWord/>
      <trackRevisions>false</trackRevisions>
    </reviewItem>
    <reviewItem>
      <errorID>8e940b0d-0f3b-4035-88a3-1b1b45e03ea9</errorID>
      <errorWord>程</errorWord>
      <group>L1_Word</group>
      <groupName>字词问题</groupName>
      <ability>L2_Typo</ability>
      <abilityName>字词错误</abilityName>
      <candidateList>
        <item>程中</item>
      </candidateList>
      <explain/>
      <paraID>1BE4E1B7</paraID>
      <start>15</start>
      <end>16</end>
      <status>unmodified</status>
      <modifiedWord/>
      <trackRevisions>false</trackRevisions>
    </reviewItem>
    <reviewItem>
      <errorID>3eba3f73-8207-4f0f-9139-bac3fb6d2234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F766FB2</paraID>
      <start>0</start>
      <end>2</end>
      <status>unmodified</status>
      <modifiedWord/>
      <trackRevisions>false</trackRevisions>
    </reviewItem>
    <reviewItem>
      <errorID>969d8aff-a085-44c7-89d3-3037ad14a729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526642DB</paraID>
      <start>0</start>
      <end>2</end>
      <status>unmodified</status>
      <modifiedWord/>
      <trackRevisions>false</trackRevisions>
    </reviewItem>
    <reviewItem>
      <errorID>c4e14ba0-cd97-4309-9a85-ce0dacf2766c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41B84757</paraID>
      <start>0</start>
      <end>2</end>
      <status>unmodified</status>
      <modifiedWord/>
      <trackRevisions>false</trackRevisions>
    </reviewItem>
    <reviewItem>
      <errorID>ca98d2da-7084-409b-8b5f-38ac45339d3e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3C8C8424</paraID>
      <start>0</start>
      <end>2</end>
      <status>unmodified</status>
      <modifiedWord/>
      <trackRevisions>false</trackRevisions>
    </reviewItem>
    <reviewItem>
      <errorID>6e73c860-a7db-44fd-ba31-3fc45d7f7536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3B21FFB9</paraID>
      <start>0</start>
      <end>2</end>
      <status>unmodified</status>
      <modifiedWord/>
      <trackRevisions>false</trackRevisions>
    </reviewItem>
    <reviewItem>
      <errorID>558d6a08-af4c-4574-acdc-2c18ab37a11a</errorID>
      <errorWord>6、</errorWord>
      <group>L1_Format</group>
      <groupName>格式问题</groupName>
      <ability>L2_Ordinal</ability>
      <abilityName>序号格式</abilityName>
      <candidateList>
        <item>6.</item>
      </candidateList>
      <explain>当前序号格式不规范，建议修改为规范格式[6.]。</explain>
      <paraID>15275179</paraID>
      <start>0</start>
      <end>2</end>
      <status>unmodified</status>
      <modifiedWord/>
      <trackRevisions>false</trackRevisions>
    </reviewItem>
    <reviewItem>
      <errorID>c2a0cb36-6d71-4aae-ad6c-0498fc89486d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444DC847</paraID>
      <start>0</start>
      <end>2</end>
      <status>unmodified</status>
      <modifiedWord/>
      <trackRevisions>false</trackRevisions>
    </reviewItem>
    <reviewItem>
      <errorID>296e438b-09c6-4922-8100-9f44ef3603cf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3D36B902</paraID>
      <start>0</start>
      <end>2</end>
      <status>unmodified</status>
      <modifiedWord/>
      <trackRevisions>false</trackRevisions>
    </reviewItem>
    <reviewItem>
      <errorID>61b8197d-b308-44d4-9093-e8568e27e59e</errorID>
      <errorWord>(</errorWord>
      <group>L1_Format</group>
      <groupName>格式问题</groupName>
      <ability>L2_HalfPunc</ability>
      <abilityName>全半角检查</abilityName>
      <candidateList>
        <item>（</item>
      </candidateList>
      <explain>文本全半角错误。</explain>
      <paraID>3D36B902</paraID>
      <start>37</start>
      <end>38</end>
      <status>unmodified</status>
      <modifiedWord/>
      <trackRevisions>false</trackRevisions>
    </reviewItem>
    <reviewItem>
      <errorID>ebcd0eeb-c067-4dfe-994a-a90b9f0f5eaf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4D1F75CE</paraID>
      <start>0</start>
      <end>2</end>
      <status>unmodified</status>
      <modifiedWord/>
      <trackRevisions>false</trackRevisions>
    </reviewItem>
    <reviewItem>
      <errorID>6a21949b-6b19-4d08-b182-9591fc1d3af6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41D5FB00</paraID>
      <start>0</start>
      <end>3</end>
      <status>unmodified</status>
      <modifiedWord/>
      <trackRevisions>false</trackRevisions>
    </reviewItem>
    <reviewItem>
      <errorID>0bafd39d-d765-4e0e-aa69-335aa696d3a8</errorID>
      <errorWord>(</errorWord>
      <group>L1_Format</group>
      <groupName>格式问题</groupName>
      <ability>L2_HalfPunc</ability>
      <abilityName>全半角检查</abilityName>
      <candidateList>
        <item>（</item>
      </candidateList>
      <explain>文本全半角错误。</explain>
      <paraID>41D5FB00</paraID>
      <start>40</start>
      <end>41</end>
      <status>unmodified</status>
      <modifiedWord/>
      <trackRevisions>false</trackRevisions>
    </reviewItem>
    <reviewItem>
      <errorID>1e43ed1a-959f-42f5-ae1a-f9fc4a989eb7</errorID>
      <errorWord>前</errorWord>
      <group>L1_Word</group>
      <groupName>字词问题</groupName>
      <ability>L2_Typo</ability>
      <abilityName>字词错误</abilityName>
      <candidateList>
        <item>前正</item>
      </candidateList>
      <explain/>
      <paraID>41D5FB00</paraID>
      <start>150</start>
      <end>151</end>
      <status>unmodified</status>
      <modifiedWord/>
      <trackRevisions>false</trackRevisions>
    </reviewItem>
    <reviewItem>
      <errorID>7ff9ecc7-dff5-4ae7-bfaf-be0c5368537a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15F46E7A</paraID>
      <start>0</start>
      <end>3</end>
      <status>unmodified</status>
      <modifiedWord/>
      <trackRevisions>false</trackRevisions>
    </reviewItem>
    <reviewItem>
      <errorID>06033889-713a-4f54-a941-fce9024c6f7b</errorID>
      <errorWord>前</errorWord>
      <group>L1_Word</group>
      <groupName>字词问题</groupName>
      <ability>L2_Typo</ability>
      <abilityName>字词错误</abilityName>
      <candidateList>
        <item>前正</item>
      </candidateList>
      <explain/>
      <paraID>15F46E7A</paraID>
      <start>97</start>
      <end>98</end>
      <status>unmodified</status>
      <modifiedWord/>
      <trackRevisions>false</trackRevisions>
    </reviewItem>
    <reviewItem>
      <errorID>76c96814-dd1b-47c2-b116-6213630d464a</errorID>
      <errorWord>自贸钦</errorWord>
      <group>L1_Word</group>
      <groupName>字词问题</groupName>
      <ability>L2_Typo</ability>
      <abilityName>字词错误</abilityName>
      <candidateList>
        <item>自贸区</item>
      </candidateList>
      <explain/>
      <paraID>62A96499</paraID>
      <start>0</start>
      <end>3</end>
      <status>unmodified</status>
      <modifiedWord/>
      <trackRevisions>false</trackRevisions>
    </reviewItem>
    <reviewItem>
      <errorID>78663e4c-a0d4-444a-904e-46ab82ad797d</errorID>
      <errorWord>自贸钦</errorWord>
      <group>L1_Word</group>
      <groupName>字词问题</groupName>
      <ability>L2_Typo</ability>
      <abilityName>字词错误</abilityName>
      <candidateList>
        <item>自贸区</item>
      </candidateList>
      <explain/>
      <paraID>182033C4</paraID>
      <start>0</start>
      <end>3</end>
      <status>unmodified</status>
      <modifiedWord/>
      <trackRevisions>false</trackRevisions>
    </reviewItem>
    <reviewItem>
      <errorID>a993c30a-d967-4599-8643-da67b712f6d5</errorID>
      <errorWord>自贸钦</errorWord>
      <group>L1_Word</group>
      <groupName>字词问题</groupName>
      <ability>L2_Typo</ability>
      <abilityName>字词错误</abilityName>
      <candidateList>
        <item>自贸区</item>
      </candidateList>
      <explain/>
      <paraID> 5E8E051</paraID>
      <start>0</start>
      <end>3</end>
      <status>unmodified</status>
      <modifiedWord/>
      <trackRevisions>false</trackRevisions>
    </reviewItem>
    <reviewItem>
      <errorID>f2d8a3d4-90c1-4891-8533-3498458840d8</errorID>
      <errorWord>自贸钦</errorWord>
      <group>L1_Word</group>
      <groupName>字词问题</groupName>
      <ability>L2_Typo</ability>
      <abilityName>字词错误</abilityName>
      <candidateList>
        <item>自贸区</item>
      </candidateList>
      <explain/>
      <paraID>26F38DAB</paraID>
      <start>0</start>
      <end>3</end>
      <status>unmodified</status>
      <modifiedWord/>
      <trackRevisions>false</trackRevisions>
    </reviewItem>
    <reviewItem>
      <errorID>1335d0b4-09cb-44fa-899e-421b8778f51f</errorID>
      <errorWord>自贸钦</errorWord>
      <group>L1_Word</group>
      <groupName>字词问题</groupName>
      <ability>L2_Typo</ability>
      <abilityName>字词错误</abilityName>
      <candidateList>
        <item>自贸区</item>
      </candidateList>
      <explain/>
      <paraID>1B0B0FBA</paraID>
      <start>0</start>
      <end>3</end>
      <status>unmodified</status>
      <modifiedWord/>
      <trackRevisions>false</trackRevisions>
    </reviewItem>
    <reviewItem>
      <errorID>7543c1c4-31ff-464f-a169-01640326cafb</errorID>
      <errorWord>(</errorWord>
      <group>L1_Format</group>
      <groupName>格式问题</groupName>
      <ability>L2_HalfPunc</ability>
      <abilityName>全半角检查</abilityName>
      <candidateList>
        <item>（</item>
      </candidateList>
      <explain>文本全半角错误。</explain>
      <paraID>36C6053E</paraID>
      <start>22</start>
      <end>23</end>
      <status>unmodified</status>
      <modifiedWord/>
      <trackRevisions>false</trackRevisions>
    </reviewItem>
    <reviewItem>
      <errorID>3d9124c7-444b-48ef-b969-b8d1ee110779</errorID>
      <errorWord>自贸钦</errorWord>
      <group>L1_Word</group>
      <groupName>字词问题</groupName>
      <ability>L2_Typo</ability>
      <abilityName>字词错误</abilityName>
      <candidateList>
        <item>自贸区</item>
      </candidateList>
      <explain/>
      <paraID>76813D42</paraID>
      <start>0</start>
      <end>3</end>
      <status>unmodified</status>
      <modifiedWord/>
      <trackRevisions>false</trackRevisions>
    </reviewItem>
    <reviewItem>
      <errorID>969accf2-aa9b-415e-8744-6f37da900538</errorID>
      <errorWord>反应器中</errorWord>
      <group>L1_Word</group>
      <groupName>字词问题</groupName>
      <ability>L2_Typo</ability>
      <abilityName>字词错误</abilityName>
      <candidateList>
        <item>反应器</item>
      </candidateList>
      <explain/>
      <paraID>  B667EB</paraID>
      <start>61</start>
      <end>65</end>
      <status>unmodified</status>
      <modifiedWord/>
      <trackRevisions>false</trackRevisions>
    </reviewItem>
    <reviewItem>
      <errorID>2cd7bad5-abb7-4ebb-8b48-d4c8df5c2fa7</errorID>
      <errorWord>反应器中</errorWord>
      <group>L1_Word</group>
      <groupName>字词问题</groupName>
      <ability>L2_Typo</ability>
      <abilityName>字词错误</abilityName>
      <candidateList>
        <item>反应器</item>
      </candidateList>
      <explain/>
      <paraID> 1391DB9</paraID>
      <start>61</start>
      <end>65</end>
      <status>unmodified</status>
      <modifiedWord/>
      <trackRevisions>false</trackRevisions>
    </reviewItem>
    <reviewItem>
      <errorID>bc2db6dd-bdb0-4ac0-b1b0-9eaa1a0101e6</errorID>
      <errorWord>水计</errorWord>
      <group>L1_Word</group>
      <groupName>字词问题</groupName>
      <ability>L2_Typo</ability>
      <abilityName>字词错误</abilityName>
      <candidateList>
        <item>水井</item>
      </candidateList>
      <explain/>
      <paraID>3632864F</paraID>
      <start>20</start>
      <end>22</end>
      <status>unmodified</status>
      <modifiedWord/>
      <trackRevisions>false</trackRevisions>
    </reviewItem>
    <reviewItem>
      <errorID>e0d8ebf1-ffdf-438b-9fc4-b1b776124d35</errorID>
      <errorWord>座等</errorWord>
      <group>L1_Word</group>
      <groupName>字词问题</groupName>
      <ability>L2_Typo</ability>
      <abilityName>字词错误</abilityName>
      <candidateList>
        <item>座</item>
      </candidateList>
      <explain/>
      <paraID>2E2AF8B3</paraID>
      <start>173</start>
      <end>175</end>
      <status>unmodified</status>
      <modifiedWord/>
      <trackRevisions>false</trackRevisions>
    </reviewItem>
    <reviewItem>
      <errorID>44c29c2d-7750-4e8a-988e-b5e842511493</errorID>
      <errorWord>KW</errorWord>
      <group>L1_Word</group>
      <groupName>字词问题</groupName>
      <ability>L2_Typo</ability>
      <abilityName>字词错误</abilityName>
      <candidateList>
        <item>kW</item>
      </candidateList>
      <explain/>
      <paraID>18F01F80</paraID>
      <start>85</start>
      <end>87</end>
      <status>unmodified</status>
      <modifiedWord/>
      <trackRevisions>false</trackRevisions>
    </reviewItem>
    <reviewItem>
      <errorID>841f7b6d-0870-4467-90f7-3c903ea9d3fb</errorID>
      <errorWord>蒸发汽化</errorWord>
      <group>L1_Word</group>
      <groupName>字词问题</groupName>
      <ability>L2_Typo</ability>
      <abilityName>字词错误</abilityName>
      <candidateList>
        <item>蒸发气化</item>
      </candidateList>
      <explain/>
      <paraID>49564686</paraID>
      <start>99</start>
      <end>103</end>
      <status>unmodified</status>
      <modifiedWord/>
      <trackRevisions>false</trackRevisions>
    </reviewItem>
    <reviewItem>
      <errorID>cb1b0595-e834-4bf4-8f30-e70c6d9105d5</errorID>
      <errorWord>水场</errorWord>
      <group>L1_Word</group>
      <groupName>字词问题</groupName>
      <ability>L2_Typo</ability>
      <abilityName>字词错误</abilityName>
      <candidateList>
        <item>水厂</item>
      </candidateList>
      <explain/>
      <paraID>456707C7</paraID>
      <start>4</start>
      <end>6</end>
      <status>unmodified</status>
      <modifiedWord/>
      <trackRevisions>false</trackRevisions>
    </reviewItem>
    <reviewItem>
      <errorID>02adeadc-50c6-45cd-8746-c19846f1206b</errorID>
      <errorWord>水场</errorWord>
      <group>L1_Word</group>
      <groupName>字词问题</groupName>
      <ability>L2_Typo</ability>
      <abilityName>字词错误</abilityName>
      <candidateList>
        <item>水厂</item>
      </candidateList>
      <explain/>
      <paraID>618EC7E6</paraID>
      <start>4</start>
      <end>6</end>
      <status>unmodified</status>
      <modifiedWord/>
      <trackRevisions>false</trackRevisions>
    </reviewItem>
    <reviewItem>
      <errorID>0523af10-9f8b-4c05-a18d-9b864c137010</errorID>
      <errorWord>~</errorWord>
      <group>L1_Format</group>
      <groupName>格式问题</groupName>
      <ability>L2_HalfPunc</ability>
      <abilityName>全半角检查</abilityName>
      <candidateList>
        <item>～</item>
      </candidateList>
      <explain>文本全半角错误。</explain>
      <paraID>35A3B685</paraID>
      <start>19</start>
      <end>20</end>
      <status>unmodified</status>
      <modifiedWord/>
      <trackRevisions>false</trackRevisions>
    </reviewItem>
    <reviewItem>
      <errorID>a23b0be9-ea4f-4358-b5af-77ea690bad0f</errorID>
      <errorWord>共个</errorWord>
      <group>L1_Word</group>
      <groupName>字词问题</groupName>
      <ability>L2_Typo</ability>
      <abilityName>字词错误</abilityName>
      <candidateList>
        <item>共用</item>
      </candidateList>
      <explain/>
      <paraID>6686E56D</paraID>
      <start>7</start>
      <end>9</end>
      <status>unmodified</status>
      <modifiedWord/>
      <trackRevisions>false</trackRevisions>
    </reviewItem>
    <reviewItem>
      <errorID>57d923a2-93b5-440e-ae63-29222ac8647c</errorID>
      <errorWord>'</errorWord>
      <group>L1_Format</group>
      <groupName>格式问题</groupName>
      <ability>L2_HalfPunc</ability>
      <abilityName>全半角检查</abilityName>
      <candidateList/>
      <explain>文本全半角错误。</explain>
      <paraID>3A03DCD2</paraID>
      <start>19</start>
      <end>20</end>
      <status>unmodified</status>
      <modifiedWord/>
      <trackRevisions>false</trackRevisions>
    </reviewItem>
    <reviewItem>
      <errorID>18535edd-a148-4854-97ca-f17a479097f2</errorID>
      <errorWord>”</errorWord>
      <group>L1_Punc</group>
      <groupName>标点问题</groupName>
      <ability>L2_Punc</ability>
      <abilityName>标点符号检查</abilityName>
      <candidateList/>
      <explain/>
      <paraID>3A03DCD2</paraID>
      <start>27</start>
      <end>28</end>
      <status>unmodified</status>
      <modifiedWord/>
      <trackRevisions>false</trackRevisions>
    </reviewItem>
    <reviewItem>
      <errorID>cdcd1c48-e5fd-4eea-bba7-d15759378e87</errorID>
      <errorWord>气简</errorWord>
      <group>L1_Word</group>
      <groupName>字词问题</groupName>
      <ability>L2_Typo</ability>
      <abilityName>字词错误</abilityName>
      <candidateList>
        <item>气筒</item>
      </candidateList>
      <explain>存在字形相近字词的误用。</explain>
      <paraID>3A03DCD2</paraID>
      <start>44</start>
      <end>46</end>
      <status>modified</status>
      <modifiedWord>气筒</modifiedWord>
      <trackRevisions>false</trackRevisions>
    </reviewItem>
    <reviewItem>
      <errorID>87ce248c-a980-473a-92f2-08c922960cbe</errorID>
      <errorWord>(</errorWord>
      <group>L1_Format</group>
      <groupName>格式问题</groupName>
      <ability>L2_HalfPunc</ability>
      <abilityName>全半角检查</abilityName>
      <candidateList>
        <item>（</item>
      </candidateList>
      <explain>文本全半角错误。</explain>
      <paraID> 47DF15D</paraID>
      <start>38</start>
      <end>39</end>
      <status>unmodified</status>
      <modifiedWord/>
      <trackRevisions>false</trackRevisions>
    </reviewItem>
    <reviewItem>
      <errorID>07cb2ac0-e6d2-4b87-bd6e-d8b6da9866c1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2E646114</paraID>
      <start>0</start>
      <end>2</end>
      <status>unmodified</status>
      <modifiedWord/>
      <trackRevisions>false</trackRevisions>
    </reviewItem>
    <reviewItem>
      <errorID>8a65701f-f8ae-498e-9164-f770f5f07ffe</errorID>
      <errorWord>工程总</errorWord>
      <group>L1_Word</group>
      <groupName>字词问题</groupName>
      <ability>L2_Typo</ability>
      <abilityName>字词错误</abilityName>
      <candidateList>
        <item>工程</item>
      </candidateList>
      <explain/>
      <paraID>57604027</paraID>
      <start>4</start>
      <end>7</end>
      <status>unmodified</status>
      <modifiedWord/>
      <trackRevisions>false</trackRevisions>
    </reviewItem>
    <reviewItem>
      <errorID>6a0b8002-1840-4719-a162-aaa4c768d5bc</errorID>
      <errorWord>高压氧气</errorWord>
      <group>L1_Knowledge</group>
      <groupName>知识性问题</groupName>
      <ability>L2_Term</ability>
      <abilityName>专业术语</abilityName>
      <candidateList>
        <item>高压氧舱</item>
      </candidateList>
      <explain/>
      <paraID>57604027</paraID>
      <start>36</start>
      <end>40</end>
      <status>unmodified</status>
      <modifiedWord/>
      <trackRevisions>false</trackRevisions>
    </reviewItem>
    <reviewItem>
      <errorID>90fe148f-ce9d-4ca4-ac30-faa5117cd47e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F161ACE</paraID>
      <start>0</start>
      <end>2</end>
      <status>unmodified</status>
      <modifiedWord/>
      <trackRevisions>false</trackRevisions>
    </reviewItem>
    <reviewItem>
      <errorID>d2258baa-577c-4002-9459-94ae26aa4b41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60A72493</paraID>
      <start>0</start>
      <end>2</end>
      <status>unmodified</status>
      <modifiedWord/>
      <trackRevisions>false</trackRevisions>
    </reviewItem>
    <reviewItem>
      <errorID>39b05b28-d4f6-41a3-8f0c-c528549abce7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7DC78968</paraID>
      <start>0</start>
      <end>2</end>
      <status>unmodified</status>
      <modifiedWord/>
      <trackRevisions>false</trackRevisions>
    </reviewItem>
    <reviewItem>
      <errorID>266fd766-7815-419a-94e2-0de36ce75066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57E3DF23</paraID>
      <start>0</start>
      <end>2</end>
      <status>unmodified</status>
      <modifiedWord/>
      <trackRevisions>false</trackRevisions>
    </reviewItem>
    <reviewItem>
      <errorID>f33dbf37-4614-4e6c-97eb-897dd53e273d</errorID>
      <errorWord>组份</errorWord>
      <group>L1_Word</group>
      <groupName>字词问题</groupName>
      <ability>L2_Variant</ability>
      <abilityName>异形词</abilityName>
      <candidateList>
        <item>组分</item>
      </candidateList>
      <explain>词汇[组份]的规范词形写作[组分]。</explain>
      <paraID>57C3428C</paraID>
      <start>69</start>
      <end>71</end>
      <status>unmodified</status>
      <modifiedWord/>
      <trackRevisions>false</trackRevisions>
    </reviewItem>
    <reviewItem>
      <errorID>222159a7-27b1-4e94-9e2b-5129563a4ed9</errorID>
      <errorWord>组份</errorWord>
      <group>L1_Word</group>
      <groupName>字词问题</groupName>
      <ability>L2_Variant</ability>
      <abilityName>异形词</abilityName>
      <candidateList>
        <item>组分</item>
      </candidateList>
      <explain>词汇[组份]的规范词形写作[组分]。</explain>
      <paraID>57C3428C</paraID>
      <start>78</start>
      <end>80</end>
      <status>unmodified</status>
      <modifiedWord/>
      <trackRevisions>false</trackRevisions>
    </reviewItem>
    <reviewItem>
      <errorID>feae64e3-238d-4b37-915d-03a7e44b4ef4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27793A15</paraID>
      <start>0</start>
      <end>2</end>
      <status>unmodified</status>
      <modifiedWord/>
      <trackRevisions>false</trackRevisions>
    </reviewItem>
    <reviewItem>
      <errorID>e4cdac48-3c41-4e7e-9ba6-3efef22d5d46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75521734</paraID>
      <start>0</start>
      <end>2</end>
      <status>unmodified</status>
      <modifiedWord/>
      <trackRevisions>false</trackRevisions>
    </reviewItem>
    <reviewItem>
      <errorID>727a245b-329a-4653-a834-5b26b77cd333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29E2E6D2</paraID>
      <start>0</start>
      <end>2</end>
      <status>unmodified</status>
      <modifiedWord/>
      <trackRevisions>false</trackRevisions>
    </reviewItem>
    <reviewItem>
      <errorID>6315cbf3-298b-42b9-83c1-753ed6ac239b</errorID>
      <errorWord>进</errorWord>
      <group>L1_Word</group>
      <groupName>字词问题</groupName>
      <ability>L2_Typo</ability>
      <abilityName>字词错误</abilityName>
      <candidateList>
        <item>进入</item>
      </candidateList>
      <explain>〈动〉支进到某个范围或某个时期里：～学校｜～新阶段◇～角色。</explain>
      <paraID>3E1AEB1E</paraID>
      <start>26</start>
      <end>27</end>
      <status>unmodified</status>
      <modifiedWord/>
      <trackRevisions>false</trackRevisions>
    </reviewItem>
    <reviewItem>
      <errorID>7ef160af-9624-4415-bb4e-8c4d62f674c9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1AD5052E</paraID>
      <start>0</start>
      <end>2</end>
      <status>unmodified</status>
      <modifiedWord/>
      <trackRevisions>false</trackRevisions>
    </reviewItem>
    <reviewItem>
      <errorID>ce8a38d0-0098-4450-9581-aebb4a62fab2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702E167C</paraID>
      <start>0</start>
      <end>3</end>
      <status>unmodified</status>
      <modifiedWord/>
      <trackRevisions>false</trackRevisions>
    </reviewItem>
    <reviewItem>
      <errorID>d63d9a0c-b16c-4c97-9347-e490fad74725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5501ACB2</paraID>
      <start>0</start>
      <end>3</end>
      <status>unmodified</status>
      <modifiedWord/>
      <trackRevisions>false</trackRevisions>
    </reviewItem>
    <reviewItem>
      <errorID>36ea5d97-db0d-43e1-9057-1306302cb166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2B63AE1C</paraID>
      <start>0</start>
      <end>2</end>
      <status>unmodified</status>
      <modifiedWord/>
      <trackRevisions>false</trackRevisions>
    </reviewItem>
    <reviewItem>
      <errorID>2b617814-524d-4dfa-8b36-df38dfecc6d7</errorID>
      <errorWord>汽化</errorWord>
      <group>L1_Word</group>
      <groupName>字词问题</groupName>
      <ability>L2_Typo</ability>
      <abilityName>字词错误</abilityName>
      <candidateList>
        <item>气化</item>
      </candidateList>
      <explain/>
      <paraID>52515E8E</paraID>
      <start>24</start>
      <end>26</end>
      <status>unmodified</status>
      <modifiedWord/>
      <trackRevisions>false</trackRevisions>
    </reviewItem>
    <reviewItem>
      <errorID>504a7247-345e-481b-9d83-c59c25f349b4</errorID>
      <errorWord>）由</errorWord>
      <group>L1_Word</group>
      <groupName>字词问题</groupName>
      <ability>L2_Typo</ability>
      <abilityName>字词错误</abilityName>
      <candidateList>
        <item>）</item>
      </candidateList>
      <explain/>
      <paraID>52515E8E</paraID>
      <start>102</start>
      <end>104</end>
      <status>unmodified</status>
      <modifiedWord/>
      <trackRevisions>false</trackRevisions>
    </reviewItem>
    <reviewItem>
      <errorID>240fccf4-9078-47d2-9ade-59cca2a8cd4e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9FAB8D0</paraID>
      <start>0</start>
      <end>2</end>
      <status>unmodified</status>
      <modifiedWord/>
      <trackRevisions>false</trackRevisions>
    </reviewItem>
    <reviewItem>
      <errorID>aa1783e1-775e-4e5d-b344-0d48dda0ba65</errorID>
      <errorWord>物塔</errorWord>
      <group>L1_Word</group>
      <groupName>字词问题</groupName>
      <ability>L2_Typo</ability>
      <abilityName>字词错误</abilityName>
      <candidateList>
        <item>物体</item>
      </candidateList>
      <explain/>
      <paraID>563A916A</paraID>
      <start>5</start>
      <end>7</end>
      <status>unmodified</status>
      <modifiedWord/>
      <trackRevisions>false</trackRevisions>
    </reviewItem>
    <reviewItem>
      <errorID>2c7ed838-e0a5-4919-98d7-23f6d44041ed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3CBEF56A</paraID>
      <start>0</start>
      <end>2</end>
      <status>unmodified</status>
      <modifiedWord/>
      <trackRevisions>false</trackRevisions>
    </reviewItem>
    <reviewItem>
      <errorID>5afe4d96-b5b5-41ed-87f9-b22f2ce640cb</errorID>
      <errorWord>有机组份</errorWord>
      <group>L1_Word</group>
      <groupName>字词问题</groupName>
      <ability>L2_Variant</ability>
      <abilityName>异形词</abilityName>
      <candidateList>
        <item>有机组分</item>
      </candidateList>
      <explain>词汇[有机组份]的规范词形写作[有机组分]。</explain>
      <paraID> F12F15B</paraID>
      <start>71</start>
      <end>75</end>
      <status>unmodified</status>
      <modifiedWord/>
      <trackRevisions>false</trackRevisions>
    </reviewItem>
    <reviewItem>
      <errorID>ff052748-8663-430c-b300-34846c2783af</errorID>
      <errorWord>有机组份</errorWord>
      <group>L1_Word</group>
      <groupName>字词问题</groupName>
      <ability>L2_Variant</ability>
      <abilityName>异形词</abilityName>
      <candidateList>
        <item>有机组分</item>
      </candidateList>
      <explain>词汇[有机组份]的规范词形写作[有机组分]。</explain>
      <paraID> 661049D</paraID>
      <start>92</start>
      <end>96</end>
      <status>unmodified</status>
      <modifiedWord/>
      <trackRevisions>false</trackRevisions>
    </reviewItem>
    <reviewItem>
      <errorID>8e579d54-346a-4b09-82c4-820c3cc0c993</errorID>
      <errorWord>有机组份</errorWord>
      <group>L1_Word</group>
      <groupName>字词问题</groupName>
      <ability>L2_Variant</ability>
      <abilityName>异形词</abilityName>
      <candidateList>
        <item>有机组分</item>
      </candidateList>
      <explain>词汇[有机组份]的规范词形写作[有机组分]。</explain>
      <paraID> BE96413</paraID>
      <start>97</start>
      <end>101</end>
      <status>unmodified</status>
      <modifiedWord/>
      <trackRevisions>false</trackRevisions>
    </reviewItem>
    <reviewItem>
      <errorID>22cd3d0d-706f-4c40-8a0c-e51cdb0724a6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4C997C20</paraID>
      <start>0</start>
      <end>2</end>
      <status>unmodified</status>
      <modifiedWord/>
      <trackRevisions>false</trackRevisions>
    </reviewItem>
    <reviewItem>
      <errorID>f200fa63-9a6d-4097-ab50-1eaf050ba63f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2F0879C7</paraID>
      <start>0</start>
      <end>2</end>
      <status>unmodified</status>
      <modifiedWord/>
      <trackRevisions>false</trackRevisions>
    </reviewItem>
    <reviewItem>
      <errorID>1f35795c-2b11-4d9b-ba27-fedb703a8c74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63BF07A1</paraID>
      <start>0</start>
      <end>2</end>
      <status>unmodified</status>
      <modifiedWord/>
      <trackRevisions>false</trackRevisions>
    </reviewItem>
    <reviewItem>
      <errorID>86dd3f19-6810-41c9-a1c4-a39adb5dd216</errorID>
      <errorWord>（</errorWord>
      <group>L1_Format</group>
      <groupName>格式问题</groupName>
      <ability>L2_HalfPunc</ability>
      <abilityName>全半角检查</abilityName>
      <candidateList>
        <item>(</item>
      </candidateList>
      <explain>文本全半角错误。</explain>
      <paraID>27A477BC</paraID>
      <start>0</start>
      <end>1</end>
      <status>unmodified</status>
      <modifiedWord/>
      <trackRevisions>false</trackRevisions>
    </reviewItem>
    <reviewItem>
      <errorID>93899895-1a46-4ba6-80f6-5fab440b1996</errorID>
      <errorWord>）</errorWord>
      <group>L1_Format</group>
      <groupName>格式问题</groupName>
      <ability>L2_HalfPunc</ability>
      <abilityName>全半角检查</abilityName>
      <candidateList>
        <item>)</item>
      </candidateList>
      <explain>文本全半角错误。</explain>
      <paraID>27A477BC</paraID>
      <start>2</start>
      <end>3</end>
      <status>unmodified</status>
      <modifiedWord/>
      <trackRevisions>false</trackRevisions>
    </reviewItem>
    <reviewItem>
      <errorID>70bccc48-aecb-42c7-a80e-74e8d7d5f834</errorID>
      <errorWord>（</errorWord>
      <group>L1_Punc</group>
      <groupName>标点问题</groupName>
      <ability>L2_Punc</ability>
      <abilityName>标点符号检查</abilityName>
      <candidateList/>
      <explain>同一形式括号套用。</explain>
      <paraID>385E7ADF</paraID>
      <start>18</start>
      <end>19</end>
      <status>unmodified</status>
      <modifiedWord/>
      <trackRevisions>false</trackRevisions>
    </reviewItem>
    <reviewItem>
      <errorID>9217c24b-35c0-47aa-b0dc-f263a58f02ee</errorID>
      <errorWord>）</errorWord>
      <group>L1_Punc</group>
      <groupName>标点问题</groupName>
      <ability>L2_Punc</ability>
      <abilityName>标点符号检查</abilityName>
      <candidateList/>
      <explain>同一形式括号套用。</explain>
      <paraID>385E7ADF</paraID>
      <start>21</start>
      <end>22</end>
      <status>unmodified</status>
      <modifiedWord/>
      <trackRevisions>false</trackRevisions>
    </reviewItem>
    <reviewItem>
      <errorID>30d919e3-1e44-4a95-a754-846617ee4e10</errorID>
      <errorWord>（</errorWord>
      <group>L1_Punc</group>
      <groupName>标点问题</groupName>
      <ability>L2_Punc</ability>
      <abilityName>标点符号检查</abilityName>
      <candidateList/>
      <explain>同一形式括号套用。</explain>
      <paraID>385E7ADF</paraID>
      <start>55</start>
      <end>56</end>
      <status>unmodified</status>
      <modifiedWord/>
      <trackRevisions>false</trackRevisions>
    </reviewItem>
    <reviewItem>
      <errorID>fcabd0ee-7ccd-4b87-ac73-7e9d7a70fd26</errorID>
      <errorWord>）</errorWord>
      <group>L1_Punc</group>
      <groupName>标点问题</groupName>
      <ability>L2_Punc</ability>
      <abilityName>标点符号检查</abilityName>
      <candidateList/>
      <explain>同一形式括号套用。</explain>
      <paraID>385E7ADF</paraID>
      <start>57</start>
      <end>58</end>
      <status>unmodified</status>
      <modifiedWord/>
      <trackRevisions>false</trackRevisions>
    </reviewItem>
    <reviewItem>
      <errorID>5cec9dde-0e19-4f14-b575-c43a44b5cd5b</errorID>
      <errorWord>《国家污染防治技术指导目录》（2025年）</errorWord>
      <group>L1_Knowledge</group>
      <groupName>知识性问题</groupName>
      <ability>L2_Knowledge</ability>
      <abilityName>其他知识</abilityName>
      <candidateList>
        <item>《国家污染防治技术指导目录（2025年）》</item>
      </candidateList>
      <explain>疑似政策文件、法律法规名称等书写不规范，请注意检查。</explain>
      <paraID>55C56970</paraID>
      <start>84</start>
      <end>105</end>
      <status>modified</status>
      <modifiedWord>《国家污染防治技术指导目录（2025年）》</modifiedWord>
      <trackRevisions>false</trackRevisions>
    </reviewItem>
    <reviewItem>
      <errorID>dc9c0c1f-4b24-49ac-8024-cb989671e606</errorID>
      <errorWord>《国家污染防治技术指导目录》（2025年）</errorWord>
      <group>L1_Knowledge</group>
      <groupName>知识性问题</groupName>
      <ability>L2_Knowledge</ability>
      <abilityName>其他知识</abilityName>
      <candidateList>
        <item>《国家污染防治技术指导目录（2025年）》</item>
      </candidateList>
      <explain>疑似政策文件、法律法规名称等书写不规范，请注意检查。</explain>
      <paraID>2A823D8B</paraID>
      <start>4</start>
      <end>25</end>
      <status>modified</status>
      <modifiedWord>《国家污染防治技术指导目录（2025年）》</modifiedWord>
      <trackRevisions>false</trackRevisions>
    </reviewItem>
    <reviewItem>
      <errorID>03ee0ed2-49b8-47c7-aecc-67e2b386460b</errorID>
      <errorWord>《国家污染防治技术指导目录》（2025年）</errorWord>
      <group>L1_Knowledge</group>
      <groupName>知识性问题</groupName>
      <ability>L2_Knowledge</ability>
      <abilityName>其他知识</abilityName>
      <candidateList>
        <item>《国家污染防治技术指导目录（2025年）》</item>
      </candidateList>
      <explain>疑似政策文件、法律法规名称等书写不规范，请注意检查。</explain>
      <paraID>6CB89A2A</paraID>
      <start>37</start>
      <end>58</end>
      <status>modified</status>
      <modifiedWord>《国家污染防治技术指导目录（2025年）》</modifiedWord>
      <trackRevisions>false</trackRevisions>
    </reviewItem>
    <reviewItem>
      <errorID>f3946d4a-2558-4acd-9599-5df658393231</errorID>
      <errorWord>（</errorWord>
      <group>L1_Punc</group>
      <groupName>标点问题</groupName>
      <ability>L2_Punc</ability>
      <abilityName>标点符号检查</abilityName>
      <candidateList/>
      <explain>同一形式括号套用。</explain>
      <paraID>3EF0D216</paraID>
      <start>24</start>
      <end>25</end>
      <status>unmodified</status>
      <modifiedWord/>
      <trackRevisions>false</trackRevisions>
    </reviewItem>
    <reviewItem>
      <errorID>c0506d41-b4e1-4316-9041-42443c0156ab</errorID>
      <errorWord>）</errorWord>
      <group>L1_Punc</group>
      <groupName>标点问题</groupName>
      <ability>L2_Punc</ability>
      <abilityName>标点符号检查</abilityName>
      <candidateList/>
      <explain>同一形式括号套用。</explain>
      <paraID>3EF0D216</paraID>
      <start>27</start>
      <end>28</end>
      <status>unmodified</status>
      <modifiedWord/>
      <trackRevisions>false</trackRevisions>
    </reviewItem>
    <reviewItem>
      <errorID>ac7773be-a22b-4666-ae4a-4d835a48e1ea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3EF0D216</paraID>
      <start>47</start>
      <end>48</end>
      <status>unmodified</status>
      <modifiedWord/>
      <trackRevisions>false</trackRevisions>
    </reviewItem>
    <reviewItem>
      <errorID>3692bf05-f3a7-4df3-af14-7856cb45b37e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68ADD986</paraID>
      <start>113</start>
      <end>114</end>
      <status>unmodified</status>
      <modifiedWord/>
      <trackRevisions>false</trackRevisions>
    </reviewItem>
    <reviewItem>
      <errorID>4de0676e-5f76-4fde-8363-05486e3177a7</errorID>
      <errorWord>垃圾筒</errorWord>
      <group>L1_Word</group>
      <groupName>字词问题</groupName>
      <ability>L2_Typo</ability>
      <abilityName>字词错误</abilityName>
      <candidateList>
        <item>垃圾桶</item>
      </candidateList>
      <explain/>
      <paraID> 21BCAF7</paraID>
      <start>35</start>
      <end>38</end>
      <status>modified</status>
      <modifiedWord>垃圾桶</modifiedWord>
      <trackRevisions>false</trackRevisions>
    </reviewItem>
    <reviewItem>
      <errorID>4238c258-872d-47ec-ad2c-4f2b1a7c5102</errorID>
      <errorWord>垃圾筒</errorWord>
      <group>L1_Word</group>
      <groupName>字词问题</groupName>
      <ability>L2_Typo</ability>
      <abilityName>字词错误</abilityName>
      <candidateList>
        <item>垃圾桶</item>
      </candidateList>
      <explain/>
      <paraID> 21BCAF7</paraID>
      <start>75</start>
      <end>78</end>
      <status>modified</status>
      <modifiedWord>垃圾桶</modifiedWord>
      <trackRevisions>false</trackRevisions>
    </reviewItem>
    <reviewItem>
      <errorID>93fa436b-a1c5-4196-b83d-27b46ad29126</errorID>
      <errorWord>后由</errorWord>
      <group>L1_Word</group>
      <groupName>字词问题</groupName>
      <ability>L2_Typo</ability>
      <abilityName>字词错误</abilityName>
      <candidateList>
        <item>后</item>
      </candidateList>
      <explain>❶君主的妻子：皇～｜～妃。❷古代称君主：商之先～。❸（Hòu）〈名〉姓。</explain>
      <paraID> 21BCAF7</paraID>
      <start>109</start>
      <end>111</end>
      <status>unmodified</status>
      <modifiedWord/>
      <trackRevisions>false</trackRevisions>
    </reviewItem>
    <reviewItem>
      <errorID>ca9c8a54-ca72-4233-aac4-aeb85366ee6b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43986C87</paraID>
      <start>0</start>
      <end>2</end>
      <status>unmodified</status>
      <modifiedWord/>
      <trackRevisions>false</trackRevisions>
    </reviewItem>
    <reviewItem>
      <errorID>228b8391-2f9d-4c1d-89a5-de90feb8b057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454A1644</paraID>
      <start>0</start>
      <end>2</end>
      <status>unmodified</status>
      <modifiedWord/>
      <trackRevisions>false</trackRevisions>
    </reviewItem>
    <reviewItem>
      <errorID>ad7b16a4-1e45-4451-b1c5-76da6cf441a1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560EF4DC</paraID>
      <start>0</start>
      <end>2</end>
      <status>unmodified</status>
      <modifiedWord/>
      <trackRevisions>false</trackRevisions>
    </reviewItem>
    <reviewItem>
      <errorID>da15107f-3eda-4e76-9130-d0aa85003611</errorID>
      <errorWord>分类及</errorWord>
      <group>L1_Word</group>
      <groupName>字词问题</groupName>
      <ability>L2_Typo</ability>
      <abilityName>字词错误</abilityName>
      <candidateList>
        <item>分类</item>
      </candidateList>
      <explain/>
      <paraID> 66B6259</paraID>
      <start>12</start>
      <end>15</end>
      <status>unmodified</status>
      <modifiedWord/>
      <trackRevisions>false</trackRevisions>
    </reviewItem>
    <reviewItem>
      <errorID>0af08df6-cf17-4557-a259-df0168975aeb</errorID>
      <errorWord>、</errorWord>
      <group>L1_Word</group>
      <groupName>字词问题</groupName>
      <ability>L2_Typo</ability>
      <abilityName>字词错误</abilityName>
      <candidateList>
        <item>、通</item>
      </candidateList>
      <explain/>
      <paraID>536FA411</paraID>
      <start>211</start>
      <end>212</end>
      <status>unmodified</status>
      <modifiedWord/>
      <trackRevisions>false</trackRevisions>
    </reviewItem>
    <reviewItem>
      <errorID>2c162243-538f-4861-b44e-9ba9148faf45</errorID>
      <errorWord>程</errorWord>
      <group>L1_Word</group>
      <groupName>字词问题</groupName>
      <ability>L2_Typo</ability>
      <abilityName>字词错误</abilityName>
      <candidateList>
        <item>程中</item>
      </candidateList>
      <explain/>
      <paraID>54E0FDC9</paraID>
      <start>5</start>
      <end>6</end>
      <status>unmodified</status>
      <modifiedWord/>
      <trackRevisions>false</trackRevisions>
    </reviewItem>
    <reviewItem>
      <errorID>a2c06568-2a38-4481-a2e9-b38572301905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507DE985</paraID>
      <start>0</start>
      <end>2</end>
      <status>unmodified</status>
      <modifiedWord/>
      <trackRevisions>false</trackRevisions>
    </reviewItem>
    <reviewItem>
      <errorID>8566a88e-8ecc-46b3-8f7e-76813cc7e3f9</errorID>
      <errorWord>产生的</errorWord>
      <group>L1_Word</group>
      <groupName>字词问题</groupName>
      <ability>L2_Typo</ability>
      <abilityName>字词错误</abilityName>
      <candidateList>
        <item>产生</item>
      </candidateList>
      <explain/>
      <paraID>7B2077B7</paraID>
      <start>13</start>
      <end>16</end>
      <status>unmodified</status>
      <modifiedWord/>
      <trackRevisions>false</trackRevisions>
    </reviewItem>
    <reviewItem>
      <errorID>c2357b41-36e2-4bf6-9ee5-2db3cdcaa1a1</errorID>
      <errorWord>污水厂</errorWord>
      <group>L1_Word</group>
      <groupName>字词问题</groupName>
      <ability>L2_Typo</ability>
      <abilityName>字词错误</abilityName>
      <candidateList>
        <item>污水处理厂</item>
      </candidateList>
      <explain/>
      <paraID>7B2077B7</paraID>
      <start>83</start>
      <end>88</end>
      <status>modified</status>
      <modifiedWord>污水处理厂</modifiedWord>
      <trackRevisions>false</trackRevisions>
    </reviewItem>
    <reviewItem>
      <errorID>fc1c4ed6-6ed1-4c20-afa1-a53d539e4eda</errorID>
      <errorWord>，</errorWord>
      <group>L1_Word</group>
      <groupName>字词问题</groupName>
      <ability>L2_Typo</ability>
      <abilityName>字词错误</abilityName>
      <candidateList>
        <item>，在</item>
      </candidateList>
      <explain/>
      <paraID> DE67675</paraID>
      <start>54</start>
      <end>55</end>
      <status>unmodified</status>
      <modifiedWord/>
      <trackRevisions>false</trackRevisions>
    </reviewItem>
    <reviewItem>
      <errorID>0aeb84fd-20b1-4d74-b1d5-ec992d1be702</errorID>
      <errorWord>实施</errorWord>
      <group>L1_Word</group>
      <groupName>字词问题</groupName>
      <ability>L2_Typo</ability>
      <abilityName>字词错误</abilityName>
      <candidateList>
        <item>实时</item>
      </candidateList>
      <explain>〈副〉与某事发生、发展过程同时（做某事）：进行～报道｜～传递股市行情。</explain>
      <paraID>7CB81C22</paraID>
      <start>65</start>
      <end>67</end>
      <status>unmodified</status>
      <modifiedWord/>
      <trackRevisions>false</trackRevisions>
    </reviewItem>
    <reviewItem>
      <errorID>bf69945e-057c-4887-84c6-e10294767527</errorID>
      <errorWord>土壤检测</errorWord>
      <group>L1_Word</group>
      <groupName>字词问题</groupName>
      <ability>L2_Typo</ability>
      <abilityName>字词错误</abilityName>
      <candidateList>
        <item>土壤监测</item>
      </candidateList>
      <explain/>
      <paraID>60BE0362</paraID>
      <start>50</start>
      <end>54</end>
      <status>unmodified</status>
      <modifiedWord/>
      <trackRevisions>false</trackRevisions>
    </reviewItem>
    <reviewItem>
      <errorID>cbeac25e-9020-460a-85dc-d070f8657abf</errorID>
      <errorWord>，</errorWord>
      <group>L1_Word</group>
      <groupName>字词问题</groupName>
      <ability>L2_Typo</ability>
      <abilityName>字词错误</abilityName>
      <candidateList>
        <item>，在</item>
      </candidateList>
      <explain/>
      <paraID> 8D294F9</paraID>
      <start>27</start>
      <end>28</end>
      <status>unmodified</status>
      <modifiedWord/>
      <trackRevisions>false</trackRevisions>
    </reviewItem>
    <reviewItem>
      <errorID>4b47411d-9d4e-4bcf-9998-baa30b6acb0c</errorID>
      <errorWord>视频监视</errorWord>
      <group>L1_Knowledge</group>
      <groupName>知识性问题</groupName>
      <ability>L2_Term</ability>
      <abilityName>专业术语</abilityName>
      <candidateList>
        <item>视频监控</item>
      </candidateList>
      <explain/>
      <paraID> 1E06F4A</paraID>
      <start>14</start>
      <end>18</end>
      <status>unmodified</status>
      <modifiedWord/>
      <trackRevisions>false</trackRevisions>
    </reviewItem>
    <reviewItem>
      <errorID>c158ba0d-900c-4d50-9073-99746a8af708</errorID>
      <errorWord>视频监视</errorWord>
      <group>L1_Knowledge</group>
      <groupName>知识性问题</groupName>
      <ability>L2_Term</ability>
      <abilityName>专业术语</abilityName>
      <candidateList>
        <item>视频监控</item>
      </candidateList>
      <explain/>
      <paraID> 1E06F4A</paraID>
      <start>68</start>
      <end>72</end>
      <status>unmodified</status>
      <modifiedWord/>
      <trackRevisions>false</trackRevisions>
    </reviewItem>
    <reviewItem>
      <errorID>087e913c-b977-497c-9df5-c1eb29c50613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488BCEAF</paraID>
      <start>0</start>
      <end>2</end>
      <status>unmodified</status>
      <modifiedWord/>
      <trackRevisions>false</trackRevisions>
    </reviewItem>
    <reviewItem>
      <errorID>ca0bf46d-68d8-4ece-8459-1def1a741db3</errorID>
      <errorWord>境</errorWord>
      <group>L1_Word</group>
      <groupName>字词问题</groupName>
      <ability>L2_Typo</ability>
      <abilityName>字词错误</abilityName>
      <candidateList>
        <item>境局</item>
      </candidateList>
      <explain/>
      <paraID>5B92BE82</paraID>
      <start>25</start>
      <end>26</end>
      <status>unmodified</status>
      <modifiedWord/>
      <trackRevisions>false</trackRevisions>
    </reviewItem>
    <reviewItem>
      <errorID>cd06c1b4-4a1e-471f-a75b-32a9fc07ad79</errorID>
      <errorWord>，</errorWord>
      <group>L1_Word</group>
      <groupName>字词问题</groupName>
      <ability>L2_Typo</ability>
      <abilityName>字词错误</abilityName>
      <candidateList>
        <item>，在</item>
      </candidateList>
      <explain/>
      <paraID> 1A69352</paraID>
      <start>13</start>
      <end>14</end>
      <status>unmodified</status>
      <modifiedWord/>
      <trackRevisions>false</trackRevisions>
    </reviewItem>
    <reviewItem>
      <errorID>cb0391e8-de40-489f-a6a6-755c1a613d39</errorID>
      <errorWord>地</errorWord>
      <group>L1_Word</group>
      <groupName>字词问题</groupName>
      <ability>L2_DDD</ability>
      <abilityName>的地得用法</abilityName>
      <candidateList>
        <item>的</item>
      </candidateList>
      <explain>“的”常用于连接修饰语与名词性中心语，表示属性、所属或描述。</explain>
      <paraID> 1A69352</paraID>
      <start>150</start>
      <end>151</end>
      <status>unmodified</status>
      <modifiedWord/>
      <trackRevisions>false</trackRevisions>
    </reviewItem>
    <reviewItem>
      <errorID>a0293cb7-8fef-46a5-bd9a-1990b7d5e627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1F5B894D</paraID>
      <start>0</start>
      <end>2</end>
      <status>unmodified</status>
      <modifiedWord/>
      <trackRevisions>false</trackRevisions>
    </reviewItem>
    <reviewItem>
      <errorID>7a3cbefe-b74e-47bc-b1d5-0ce1a5321e01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2CE16B45</paraID>
      <start>0</start>
      <end>2</end>
      <status>unmodified</status>
      <modifiedWord/>
      <trackRevisions>false</trackRevisions>
    </reviewItem>
    <reviewItem>
      <errorID>8a703e7b-f8ed-477d-b04d-3501ca206049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3FA37DE5</paraID>
      <start>0</start>
      <end>2</end>
      <status>unmodified</status>
      <modifiedWord/>
      <trackRevisions>false</trackRevisions>
    </reviewItem>
    <reviewItem>
      <errorID>6c746f73-d016-4d81-9906-5e0375439cbe</errorID>
      <errorWord>在线检测</errorWord>
      <group>L1_Word</group>
      <groupName>字词问题</groupName>
      <ability>L2_Typo</ability>
      <abilityName>字词错误</abilityName>
      <candidateList>
        <item>在线监测</item>
      </candidateList>
      <explain/>
      <paraID>7E3B6AC9</paraID>
      <start>93</start>
      <end>97</end>
      <status>unmodified</status>
      <modifiedWord/>
      <trackRevisions>false</trackRevisions>
    </reviewItem>
    <reviewItem>
      <errorID>6a2423e9-8a8a-4449-8762-334b22d593c8</errorID>
      <errorWord>(</errorWord>
      <group>L1_Format</group>
      <groupName>格式问题</groupName>
      <ability>L2_HalfPunc</ability>
      <abilityName>全半角检查</abilityName>
      <candidateList>
        <item>（</item>
      </candidateList>
      <explain>文本全半角错误。</explain>
      <paraID>15AAD003</paraID>
      <start>13</start>
      <end>14</end>
      <status>unmodified</status>
      <modifiedWord/>
      <trackRevisions>false</trackRevisions>
    </reviewItem>
    <reviewItem>
      <errorID>87ea02fe-6520-42e2-8389-e83d6ef1a4ec</errorID>
      <errorWord>(</errorWord>
      <group>L1_Format</group>
      <groupName>格式问题</groupName>
      <ability>L2_HalfPunc</ability>
      <abilityName>全半角检查</abilityName>
      <candidateList>
        <item>（</item>
      </candidateList>
      <explain>文本全半角错误。</explain>
      <paraID>1CD667AA</paraID>
      <start>13</start>
      <end>14</end>
      <status>unmodified</status>
      <modifiedWord/>
      <trackRevisions>false</trackRevisions>
    </reviewItem>
    <reviewItem>
      <errorID>582fbabf-4a26-4318-90dd-32e557459905</errorID>
      <errorWord>(</errorWord>
      <group>L1_Format</group>
      <groupName>格式问题</groupName>
      <ability>L2_HalfPunc</ability>
      <abilityName>全半角检查</abilityName>
      <candidateList>
        <item>（</item>
      </candidateList>
      <explain>文本全半角错误。</explain>
      <paraID>24C37E44</paraID>
      <start>13</start>
      <end>14</end>
      <status>unmodified</status>
      <modifiedWord/>
      <trackRevisions>false</trackRevisions>
    </reviewItem>
    <reviewItem>
      <errorID>b0b4a1dd-47ae-4f1f-8da3-a91f93dece43</errorID>
      <errorWord>排放放</errorWord>
      <group>L1_Word</group>
      <groupName>字词问题</groupName>
      <ability>L2_Typo</ability>
      <abilityName>字词错误</abilityName>
      <candidateList>
        <item>排放</item>
      </candidateList>
      <explain/>
      <paraID>587629EA</paraID>
      <start>6</start>
      <end>8</end>
      <status>modified</status>
      <modifiedWord>排放</modifiedWord>
      <trackRevisions>false</trackRevisions>
    </reviewItem>
    <reviewItem>
      <errorID>7e06e9d8-a323-446f-a5bc-c17c50d3d7d2</errorID>
      <errorWord>排放放</errorWord>
      <group>L1_Word</group>
      <groupName>字词问题</groupName>
      <ability>L2_Typo</ability>
      <abilityName>字词错误</abilityName>
      <candidateList>
        <item>排放</item>
      </candidateList>
      <explain/>
      <paraID>1161C896</paraID>
      <start>6</start>
      <end>8</end>
      <status>modified</status>
      <modifiedWord>排放</modifiedWord>
      <trackRevisions>false</trackRevisions>
    </reviewItem>
    <reviewItem>
      <errorID>6b26d1c5-7679-4951-a1dd-3046839885df</errorID>
      <errorWord>(</errorWord>
      <group>L1_Format</group>
      <groupName>格式问题</groupName>
      <ability>L2_HalfPunc</ability>
      <abilityName>全半角检查</abilityName>
      <candidateList>
        <item>（</item>
      </candidateList>
      <explain>文本全半角错误。</explain>
      <paraID>6BEBB699</paraID>
      <start>13</start>
      <end>14</end>
      <status>unmodified</status>
      <modifiedWord/>
      <trackRevisions>false</trackRevisions>
    </reviewItem>
    <reviewItem>
      <errorID>d7502e93-5398-4e93-a1b5-2179724b945a</errorID>
      <errorWord>(</errorWord>
      <group>L1_Format</group>
      <groupName>格式问题</groupName>
      <ability>L2_HalfPunc</ability>
      <abilityName>全半角检查</abilityName>
      <candidateList>
        <item>（</item>
      </candidateList>
      <explain>文本全半角错误。</explain>
      <paraID>5D3BE1AB</paraID>
      <start>13</start>
      <end>14</end>
      <status>unmodified</status>
      <modifiedWord/>
      <trackRevisions>false</trackRevisions>
    </reviewItem>
    <reviewItem>
      <errorID>8a36285b-2dcd-4393-b962-ca08eac7fbf6</errorID>
      <errorWord>(</errorWord>
      <group>L1_Format</group>
      <groupName>格式问题</groupName>
      <ability>L2_HalfPunc</ability>
      <abilityName>全半角检查</abilityName>
      <candidateList>
        <item>（</item>
      </candidateList>
      <explain>文本全半角错误。</explain>
      <paraID>6B402AD3</paraID>
      <start>13</start>
      <end>14</end>
      <status>unmodified</status>
      <modifiedWord/>
      <trackRevisions>false</trackRevisions>
    </reviewItem>
    <reviewItem>
      <errorID>19a61154-8cf0-4cbc-8297-896739a036c2</errorID>
      <errorWord>(</errorWord>
      <group>L1_Format</group>
      <groupName>格式问题</groupName>
      <ability>L2_HalfPunc</ability>
      <abilityName>全半角检查</abilityName>
      <candidateList>
        <item>（</item>
      </candidateList>
      <explain>文本全半角错误。</explain>
      <paraID>35AE7BBC</paraID>
      <start>50</start>
      <end>51</end>
      <status>unmodified</status>
      <modifiedWord/>
      <trackRevisions>false</trackRevisions>
    </reviewItem>
    <reviewItem>
      <errorID>d73b1aec-7fc4-47e9-9e94-ad80cf265db6</errorID>
      <errorWord>)</errorWord>
      <group>L1_Format</group>
      <groupName>格式问题</groupName>
      <ability>L2_HalfPunc</ability>
      <abilityName>全半角检查</abilityName>
      <candidateList>
        <item>）</item>
      </candidateList>
      <explain>文本全半角错误。</explain>
      <paraID>35AE7BBC</paraID>
      <start>63</start>
      <end>64</end>
      <status>unmodified</status>
      <modifiedWord/>
      <trackRevisions>false</trackRevisions>
    </reviewItem>
    <reviewItem>
      <errorID>3bf723fe-e3ab-4209-98ba-7b307ef45795</errorID>
      <errorWord>(</errorWord>
      <group>L1_Format</group>
      <groupName>格式问题</groupName>
      <ability>L2_HalfPunc</ability>
      <abilityName>全半角检查</abilityName>
      <candidateList>
        <item>（</item>
      </candidateList>
      <explain>文本全半角错误。</explain>
      <paraID>63416D68</paraID>
      <start>50</start>
      <end>51</end>
      <status>unmodified</status>
      <modifiedWord/>
      <trackRevisions>false</trackRevisions>
    </reviewItem>
    <reviewItem>
      <errorID>3f913335-0b9f-4b10-ad18-f9a4f0e8a032</errorID>
      <errorWord>)</errorWord>
      <group>L1_Format</group>
      <groupName>格式问题</groupName>
      <ability>L2_HalfPunc</ability>
      <abilityName>全半角检查</abilityName>
      <candidateList>
        <item>）</item>
      </candidateList>
      <explain>文本全半角错误。</explain>
      <paraID>63416D68</paraID>
      <start>63</start>
      <end>64</end>
      <status>unmodified</status>
      <modifiedWord/>
      <trackRevisions>false</trackRevisions>
    </reviewItem>
    <reviewItem>
      <errorID>9c7a7cc5-9aa7-45f8-a26f-2e747fa52141</errorID>
      <errorWord>（</errorWord>
      <group>L1_Punc</group>
      <groupName>标点问题</groupName>
      <ability>L2_Punc</ability>
      <abilityName>标点符号检查</abilityName>
      <candidateList/>
      <explain/>
      <paraID>63416D68</paraID>
      <start>76</start>
      <end>77</end>
      <status>unmodified</status>
      <modifiedWord/>
      <trackRevisions>false</trackRevisions>
    </reviewItem>
    <reviewItem>
      <errorID>ccb59208-d287-42b5-bdf0-73832a95a6db</errorID>
      <errorWord>(</errorWord>
      <group>L1_Format</group>
      <groupName>格式问题</groupName>
      <ability>L2_HalfPunc</ability>
      <abilityName>全半角检查</abilityName>
      <candidateList>
        <item>（</item>
      </candidateList>
      <explain>文本全半角错误。</explain>
      <paraID>4ED6FCB8</paraID>
      <start>13</start>
      <end>14</end>
      <status>unmodified</status>
      <modifiedWord/>
      <trackRevisions>false</trackRevisions>
    </reviewItem>
    <reviewItem>
      <errorID>08044b85-c5af-4f87-ab9f-51a7e83bd25b</errorID>
      <errorWord>水计</errorWord>
      <group>L1_Word</group>
      <groupName>字词问题</groupName>
      <ability>L2_Typo</ability>
      <abilityName>字词错误</abilityName>
      <candidateList>
        <item>水井</item>
      </candidateList>
      <explain/>
      <paraID>3B4D0558</paraID>
      <start>20</start>
      <end>22</end>
      <status>unmodified</status>
      <modifiedWord/>
      <trackRevisions>false</trackRevisions>
    </reviewItem>
    <reviewItem>
      <errorID>a09fc4d1-f46f-4c8b-b98f-49fbc949888b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63C5BFD4</paraID>
      <start>0</start>
      <end>2</end>
      <status>unmodified</status>
      <modifiedWord/>
      <trackRevisions>false</trackRevisions>
    </reviewItem>
    <reviewItem>
      <errorID>e0167e75-6b50-48ff-a2b2-bb2c62b7f511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2D8F3327</paraID>
      <start>0</start>
      <end>2</end>
      <status>unmodified</status>
      <modifiedWord/>
      <trackRevisions>false</trackRevisions>
    </reviewItem>
    <reviewItem>
      <errorID>365c80a3-11ad-467e-805d-698a62849f6a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314E2885</paraID>
      <start>0</start>
      <end>2</end>
      <status>unmodified</status>
      <modifiedWord/>
      <trackRevisions>false</trackRevisions>
    </reviewItem>
    <reviewItem>
      <errorID>250eb2c9-1067-4f39-89f2-1cc6c95b9fc3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1CD8540B</paraID>
      <start>0</start>
      <end>2</end>
      <status>unmodified</status>
      <modifiedWord/>
      <trackRevisions>false</trackRevisions>
    </reviewItem>
    <reviewItem>
      <errorID>f671c517-f3a6-4513-b254-d9d7e1adea6d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5B4E33D9</paraID>
      <start>0</start>
      <end>2</end>
      <status>unmodified</status>
      <modifiedWord/>
      <trackRevisions>false</trackRevisions>
    </reviewItem>
    <reviewItem>
      <errorID>6e786026-c971-4876-9368-fc58e5735f88</errorID>
      <errorWord>年</errorWord>
      <group>L1_Word</group>
      <groupName>字词问题</groupName>
      <ability>L2_Typo</ability>
      <abilityName>字词错误</abilityName>
      <candidateList>
        <item>年度</item>
      </candidateList>
      <explain/>
      <paraID>38C291F7</paraID>
      <start>0</start>
      <end>1</end>
      <status>unmodified</status>
      <modifiedWord/>
      <trackRevisions>false</trackRevisions>
    </reviewItem>
    <reviewItem>
      <errorID>cd1b2c6b-dcc3-4392-bc5d-33e78c3f96c0</errorID>
      <errorWord>）</errorWord>
      <group>L1_Format</group>
      <groupName>格式问题</groupName>
      <ability>L2_HalfPunc</ability>
      <abilityName>全半角检查</abilityName>
      <candidateList>
        <item>)</item>
      </candidateList>
      <explain>文本全半角错误。</explain>
      <paraID>32706DE3</paraID>
      <start>6</start>
      <end>7</end>
      <status>unmodified</status>
      <modifiedWord/>
      <trackRevisions>false</trackRevisions>
    </reviewItem>
    <reviewItem>
      <errorID>c478d0d7-d5f9-44a4-8c34-33dc7fb003f8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7C6EFCD0</paraID>
      <start>0</start>
      <end>2</end>
      <status>unmodified</status>
      <modifiedWord/>
      <trackRevisions>false</trackRevisions>
    </reviewItem>
    <reviewItem>
      <errorID>fb4a99b3-6d92-4a6d-9766-8dcc266a70cb</errorID>
      <errorWord>(</errorWord>
      <group>L1_Format</group>
      <groupName>格式问题</groupName>
      <ability>L2_HalfPunc</ability>
      <abilityName>全半角检查</abilityName>
      <candidateList>
        <item>（</item>
      </candidateList>
      <explain>文本全半角错误。</explain>
      <paraID>32F6582F</paraID>
      <start>6</start>
      <end>7</end>
      <status>unmodified</status>
      <modifiedWord/>
      <trackRevisions>false</trackRevisions>
    </reviewItem>
    <reviewItem>
      <errorID>c20ea8b1-441a-4084-b419-3bc73747ec3a</errorID>
      <errorWord>)</errorWord>
      <group>L1_Format</group>
      <groupName>格式问题</groupName>
      <ability>L2_HalfPunc</ability>
      <abilityName>全半角检查</abilityName>
      <candidateList>
        <item>）</item>
      </candidateList>
      <explain>文本全半角错误。</explain>
      <paraID>32F6582F</paraID>
      <start>8</start>
      <end>9</end>
      <status>unmodified</status>
      <modifiedWord/>
      <trackRevisions>false</trackRevisions>
    </reviewItem>
    <reviewItem>
      <errorID>7e2b3abc-887f-4d0a-aebb-28cb49e25a39</errorID>
      <errorWord>～</errorWord>
      <group>L1_Format</group>
      <groupName>格式问题</groupName>
      <ability>L2_HalfPunc</ability>
      <abilityName>全半角检查</abilityName>
      <candidateList>
        <item>~</item>
      </candidateList>
      <explain>文本全半角错误。</explain>
      <paraID>1286B482</paraID>
      <start>9</start>
      <end>10</end>
      <status>unmodified</status>
      <modifiedWord/>
      <trackRevisions>false</trackRevisions>
    </reviewItem>
    <reviewItem>
      <errorID>1d353061-53bd-4b04-ae4d-225f98b0e880</errorID>
      <errorWord>（</errorWord>
      <group>L1_Format</group>
      <groupName>格式问题</groupName>
      <ability>L2_HalfPunc</ability>
      <abilityName>全半角检查</abilityName>
      <candidateList>
        <item>(</item>
      </candidateList>
      <explain>文本全半角错误。</explain>
      <paraID>1C3B4F9C</paraID>
      <start>0</start>
      <end>1</end>
      <status>unmodified</status>
      <modifiedWord/>
      <trackRevisions>false</trackRevisions>
    </reviewItem>
    <reviewItem>
      <errorID>450bb6b9-c5ca-493d-998d-3ca8498fbf7f</errorID>
      <errorWord>）</errorWord>
      <group>L1_Format</group>
      <groupName>格式问题</groupName>
      <ability>L2_HalfPunc</ability>
      <abilityName>全半角检查</abilityName>
      <candidateList>
        <item>)</item>
      </candidateList>
      <explain>文本全半角错误。</explain>
      <paraID>1C3B4F9C</paraID>
      <start>6</start>
      <end>7</end>
      <status>unmodified</status>
      <modifiedWord/>
      <trackRevisions>false</trackRevisions>
    </reviewItem>
    <reviewItem>
      <errorID>fe5b6b27-bb77-48dc-a6e9-6f34710a876a</errorID>
      <errorWord>（</errorWord>
      <group>L1_Format</group>
      <groupName>格式问题</groupName>
      <ability>L2_HalfPunc</ability>
      <abilityName>全半角检查</abilityName>
      <candidateList>
        <item>(</item>
      </candidateList>
      <explain>文本全半角错误。</explain>
      <paraID>457CEEE9</paraID>
      <start>0</start>
      <end>1</end>
      <status>unmodified</status>
      <modifiedWord/>
      <trackRevisions>false</trackRevisions>
    </reviewItem>
    <reviewItem>
      <errorID>863822fc-5f8c-44f4-b6c0-3cafb34fbdec</errorID>
      <errorWord>）</errorWord>
      <group>L1_Format</group>
      <groupName>格式问题</groupName>
      <ability>L2_HalfPunc</ability>
      <abilityName>全半角检查</abilityName>
      <candidateList>
        <item>)</item>
      </candidateList>
      <explain>文本全半角错误。</explain>
      <paraID>457CEEE9</paraID>
      <start>6</start>
      <end>7</end>
      <status>unmodified</status>
      <modifiedWord/>
      <trackRevisions>false</trackRevisions>
    </reviewItem>
    <reviewItem>
      <errorID>406fda54-a3b7-444a-9dd5-ca4b339f57c4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5B07D040</paraID>
      <start>0</start>
      <end>2</end>
      <status>unmodified</status>
      <modifiedWord/>
      <trackRevisions>false</trackRevisions>
    </reviewItem>
    <reviewItem>
      <errorID>4ac4dd72-52fb-4e07-b7bd-06a4142640e5</errorID>
      <errorWord>根据广西生态环境数据中心近岸海域监测点位显示</errorWord>
      <group>L1_Word</group>
      <groupName>字词问题</groupName>
      <ability>L2_Typo</ability>
      <abilityName>字词错误</abilityName>
      <candidateList>
        <item>根据广西生态环境数据中心近岸海域监测点位</item>
      </candidateList>
      <explain/>
      <paraID>70D054F5</paraID>
      <start>88</start>
      <end>110</end>
      <status>unmodified</status>
      <modifiedWord/>
      <trackRevisions>false</trackRevisions>
    </reviewItem>
    <reviewItem>
      <errorID>9121c5c9-a845-4dd7-acd9-a3603a15be94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166E0399</paraID>
      <start>6</start>
      <end>7</end>
      <status>unmodified</status>
      <modifiedWord/>
      <trackRevisions>false</trackRevisions>
    </reviewItem>
    <reviewItem>
      <errorID>f402b2e9-b560-4d86-929f-541927ff1fcd</errorID>
      <errorWord>要</errorWord>
      <group>L1_Word</group>
      <groupName>字词问题</groupName>
      <ability>L2_Typo</ability>
      <abilityName>字词错误</abilityName>
      <candidateList>
        <item>要是</item>
      </candidateList>
      <explain/>
      <paraID>68938D9D</paraID>
      <start>8</start>
      <end>9</end>
      <status>unmodified</status>
      <modifiedWord/>
      <trackRevisions>false</trackRevisions>
    </reviewItem>
    <reviewItem>
      <errorID>77d412a7-13e6-41e9-8393-7cb80f1f5152</errorID>
      <errorWord>污水厂</errorWord>
      <group>L1_Word</group>
      <groupName>字词问题</groupName>
      <ability>L2_Typo</ability>
      <abilityName>字词错误</abilityName>
      <candidateList>
        <item>污水处理厂</item>
      </candidateList>
      <explain/>
      <paraID>68938D9D</paraID>
      <start>130</start>
      <end>135</end>
      <status>modified</status>
      <modifiedWord>污水处理厂</modifiedWord>
      <trackRevisions>false</trackRevisions>
    </reviewItem>
    <reviewItem>
      <errorID>91621279-0e05-42df-b203-843e4a0f8513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38588261</paraID>
      <start>0</start>
      <end>2</end>
      <status>unmodified</status>
      <modifiedWord/>
      <trackRevisions>false</trackRevisions>
    </reviewItem>
    <reviewItem>
      <errorID>f7e389e9-bd62-4a95-a979-b0b53e8f9382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585C2A19</paraID>
      <start>0</start>
      <end>2</end>
      <status>unmodified</status>
      <modifiedWord/>
      <trackRevisions>false</trackRevisions>
    </reviewItem>
    <reviewItem>
      <errorID>820bc87b-ed52-415d-9890-2edeca4f40a9</errorID>
      <errorWord>程</errorWord>
      <group>L1_Word</group>
      <groupName>字词问题</groupName>
      <ability>L2_Typo</ability>
      <abilityName>字词错误</abilityName>
      <candidateList>
        <item>程中</item>
      </candidateList>
      <explain/>
      <paraID>6323EC7B</paraID>
      <start>19</start>
      <end>20</end>
      <status>unmodified</status>
      <modifiedWord/>
      <trackRevisions>false</trackRevisions>
    </reviewItem>
    <reviewItem>
      <errorID>d5630e74-53dc-46d5-b48f-bb0494fcb442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63EDE10D</paraID>
      <start>0</start>
      <end>2</end>
      <status>unmodified</status>
      <modifiedWord/>
      <trackRevisions>false</trackRevisions>
    </reviewItem>
    <reviewItem>
      <errorID>a433d807-2c73-4e6c-84ff-62210069c6ce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32CA96F0</paraID>
      <start>0</start>
      <end>2</end>
      <status>unmodified</status>
      <modifiedWord/>
      <trackRevisions>false</trackRevisions>
    </reviewItem>
    <reviewItem>
      <errorID>247286d7-e1a6-4eb6-9377-93d244c3d8ad</errorID>
      <errorWord>污水厂</errorWord>
      <group>L1_Word</group>
      <groupName>字词问题</groupName>
      <ability>L2_Typo</ability>
      <abilityName>字词错误</abilityName>
      <candidateList>
        <item>污水处理厂</item>
      </candidateList>
      <explain/>
      <paraID>7C24CED5</paraID>
      <start>24</start>
      <end>29</end>
      <status>modified</status>
      <modifiedWord>污水处理厂</modifiedWord>
      <trackRevisions>false</trackRevisions>
    </reviewItem>
    <reviewItem>
      <errorID>1701b633-d674-43d3-a4e3-95d04e9ec005</errorID>
      <errorWord>》</errorWord>
      <group>L1_Word</group>
      <groupName>字词问题</groupName>
      <ability>L2_Typo</ability>
      <abilityName>字词错误</abilityName>
      <candidateList>
        <item>》等</item>
      </candidateList>
      <explain/>
      <paraID>202D439B</paraID>
      <start>18</start>
      <end>19</end>
      <status>unmodified</status>
      <modifiedWord/>
      <trackRevisions>false</trackRevisions>
    </reviewItem>
    <reviewItem>
      <errorID>95cc64ff-696e-462d-bd68-7dd39206944d</errorID>
      <errorWord>配备</errorWord>
      <group>L1_Word</group>
      <groupName>字词问题</groupName>
      <ability>L2_Typo</ability>
      <abilityName>字词错误</abilityName>
      <candidateList>
        <item>配</item>
      </candidateList>
      <explain/>
      <paraID> FD79C28</paraID>
      <start>29</start>
      <end>31</end>
      <status>unmodified</status>
      <modifiedWord/>
      <trackRevisions>false</trackRevisions>
    </reviewItem>
    <reviewItem>
      <errorID>db114158-c9cd-442b-8080-2e095969bd6f</errorID>
      <errorWord>途径</errorWord>
      <group>L1_Word</group>
      <groupName>字词问题</groupName>
      <ability>L2_Typo</ability>
      <abilityName>字词错误</abilityName>
      <candidateList>
        <item>途经</item>
      </candidateList>
      <explain>存在发音相同字词的误用。</explain>
      <paraID>5683C388</paraID>
      <start>40</start>
      <end>42</end>
      <status>unmodified</status>
      <modifiedWord/>
      <trackRevisions>false</trackRevisions>
    </reviewItem>
    <reviewItem>
      <errorID>05cbc907-129b-48e0-a827-88807d911de9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22BDF1C4</paraID>
      <start>0</start>
      <end>2</end>
      <status>unmodified</status>
      <modifiedWord/>
      <trackRevisions>false</trackRevisions>
    </reviewItem>
    <reviewItem>
      <errorID>2e651ef0-e45e-4013-a80b-899cfed78821</errorID>
      <errorWord>程</errorWord>
      <group>L1_Word</group>
      <groupName>字词问题</groupName>
      <ability>L2_Typo</ability>
      <abilityName>字词错误</abilityName>
      <candidateList>
        <item>程中</item>
      </candidateList>
      <explain/>
      <paraID>4D78C14C</paraID>
      <start>24</start>
      <end>25</end>
      <status>unmodified</status>
      <modifiedWord/>
      <trackRevisions>false</trackRevisions>
    </reviewItem>
    <reviewItem>
      <errorID>91855ca8-998a-4fb9-baba-a7056cbb2b3c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208377F1</paraID>
      <start>0</start>
      <end>2</end>
      <status>unmodified</status>
      <modifiedWord/>
      <trackRevisions>false</trackRevisions>
    </reviewItem>
    <reviewItem>
      <errorID>b9b4aa5f-2aa8-4a2c-acc7-0f8c4f1044bd</errorID>
      <errorWord>是由于温度和大气压力的变化引起</errorWord>
      <group>L1_Word</group>
      <groupName>字词问题</groupName>
      <ability>L2_Typo</ability>
      <abilityName>字词错误</abilityName>
      <candidateList>
        <item>是由于温度和大气压力的变化</item>
      </candidateList>
      <explain/>
      <paraID>48EEC310</paraID>
      <start>7</start>
      <end>22</end>
      <status>unmodified</status>
      <modifiedWord/>
      <trackRevisions>false</trackRevisions>
    </reviewItem>
    <reviewItem>
      <errorID>8c1cbd4c-cfba-46e8-b43c-cd44454d1150</errorID>
      <errorWord>（</errorWord>
      <group>L1_Format</group>
      <groupName>格式问题</groupName>
      <ability>L2_HalfPunc</ability>
      <abilityName>全半角检查</abilityName>
      <candidateList>
        <item>(</item>
      </candidateList>
      <explain>文本全半角错误。</explain>
      <paraID>6591E808</paraID>
      <start>1</start>
      <end>2</end>
      <status>unmodified</status>
      <modifiedWord/>
      <trackRevisions>false</trackRevisions>
    </reviewItem>
    <reviewItem>
      <errorID>d25f0d9f-1a2a-4674-9d3c-8524136a257d</errorID>
      <errorWord>）</errorWord>
      <group>L1_Format</group>
      <groupName>格式问题</groupName>
      <ability>L2_HalfPunc</ability>
      <abilityName>全半角检查</abilityName>
      <candidateList>
        <item>)</item>
      </candidateList>
      <explain>文本全半角错误。</explain>
      <paraID>6591E808</paraID>
      <start>4</start>
      <end>5</end>
      <status>unmodified</status>
      <modifiedWord/>
      <trackRevisions>false</trackRevisions>
    </reviewItem>
    <reviewItem>
      <errorID>55268cc7-7e2e-4383-ada1-b958f92d5a6e</errorID>
      <errorWord>（</errorWord>
      <group>L1_Format</group>
      <groupName>格式问题</groupName>
      <ability>L2_HalfPunc</ability>
      <abilityName>全半角检查</abilityName>
      <candidateList>
        <item>(</item>
      </candidateList>
      <explain>文本全半角错误。</explain>
      <paraID>76E55F2B</paraID>
      <start>2</start>
      <end>3</end>
      <status>unmodified</status>
      <modifiedWord/>
      <trackRevisions>false</trackRevisions>
    </reviewItem>
    <reviewItem>
      <errorID>bdc82240-7e9c-4efc-ad46-3068436eeb6a</errorID>
      <errorWord>）</errorWord>
      <group>L1_Format</group>
      <groupName>格式问题</groupName>
      <ability>L2_HalfPunc</ability>
      <abilityName>全半角检查</abilityName>
      <candidateList>
        <item>)</item>
      </candidateList>
      <explain>文本全半角错误。</explain>
      <paraID>76E55F2B</paraID>
      <start>4</start>
      <end>5</end>
      <status>unmodified</status>
      <modifiedWord/>
      <trackRevisions>false</trackRevisions>
    </reviewItem>
    <reviewItem>
      <errorID>f01b69e2-361d-4d49-b8bb-0f3e0593ca5d</errorID>
      <errorWord>（</errorWord>
      <group>L1_Format</group>
      <groupName>格式问题</groupName>
      <ability>L2_HalfPunc</ability>
      <abilityName>全半角检查</abilityName>
      <candidateList>
        <item>(</item>
      </candidateList>
      <explain>文本全半角错误。</explain>
      <paraID>6F421774</paraID>
      <start>0</start>
      <end>1</end>
      <status>unmodified</status>
      <modifiedWord/>
      <trackRevisions>false</trackRevisions>
    </reviewItem>
    <reviewItem>
      <errorID>4040a8cd-3c19-4ea2-9f9d-3de72d57009a</errorID>
      <errorWord>）</errorWord>
      <group>L1_Format</group>
      <groupName>格式问题</groupName>
      <ability>L2_HalfPunc</ability>
      <abilityName>全半角检查</abilityName>
      <candidateList>
        <item>)</item>
      </candidateList>
      <explain>文本全半角错误。</explain>
      <paraID>6F421774</paraID>
      <start>2</start>
      <end>3</end>
      <status>unmodified</status>
      <modifiedWord/>
      <trackRevisions>false</trackRevisions>
    </reviewItem>
    <reviewItem>
      <errorID>1d0f7107-c18c-4a21-a27b-c07d304407fc</errorID>
      <errorWord>（</errorWord>
      <group>L1_Format</group>
      <groupName>格式问题</groupName>
      <ability>L2_HalfPunc</ability>
      <abilityName>全半角检查</abilityName>
      <candidateList>
        <item>(</item>
      </candidateList>
      <explain>文本全半角错误。</explain>
      <paraID>5A3DA70E</paraID>
      <start>0</start>
      <end>1</end>
      <status>unmodified</status>
      <modifiedWord/>
      <trackRevisions>false</trackRevisions>
    </reviewItem>
    <reviewItem>
      <errorID>0f99c570-b4db-4279-91e8-fe2149d7094d</errorID>
      <errorWord>）</errorWord>
      <group>L1_Format</group>
      <groupName>格式问题</groupName>
      <ability>L2_HalfPunc</ability>
      <abilityName>全半角检查</abilityName>
      <candidateList>
        <item>)</item>
      </candidateList>
      <explain>文本全半角错误。</explain>
      <paraID>5A3DA70E</paraID>
      <start>2</start>
      <end>3</end>
      <status>unmodified</status>
      <modifiedWord/>
      <trackRevisions>false</trackRevisions>
    </reviewItem>
    <reviewItem>
      <errorID>57991887-e8a8-4a9d-8328-e5d46eb80eaf</errorID>
      <errorWord>（</errorWord>
      <group>L1_Format</group>
      <groupName>格式问题</groupName>
      <ability>L2_HalfPunc</ability>
      <abilityName>全半角检查</abilityName>
      <candidateList>
        <item>(</item>
      </candidateList>
      <explain>文本全半角错误。</explain>
      <paraID> 594B8A6</paraID>
      <start>1</start>
      <end>2</end>
      <status>unmodified</status>
      <modifiedWord/>
      <trackRevisions>false</trackRevisions>
    </reviewItem>
    <reviewItem>
      <errorID>0ed0b960-ee5d-432a-977b-fe8258d866a5</errorID>
      <errorWord>）</errorWord>
      <group>L1_Format</group>
      <groupName>格式问题</groupName>
      <ability>L2_HalfPunc</ability>
      <abilityName>全半角检查</abilityName>
      <candidateList>
        <item>)</item>
      </candidateList>
      <explain>文本全半角错误。</explain>
      <paraID> 594B8A6</paraID>
      <start>4</start>
      <end>5</end>
      <status>unmodified</status>
      <modifiedWord/>
      <trackRevisions>false</trackRevisions>
    </reviewItem>
    <reviewItem>
      <errorID>efe1df72-ff26-4ee2-b73c-d98d300d81f1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4A241838</paraID>
      <start>0</start>
      <end>2</end>
      <status>unmodified</status>
      <modifiedWord/>
      <trackRevisions>false</trackRevisions>
    </reviewItem>
    <reviewItem>
      <errorID>69e02ac7-1fb3-4e6a-bd19-57a36898d7da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21ABE354</paraID>
      <start>0</start>
      <end>2</end>
      <status>unmodified</status>
      <modifiedWord/>
      <trackRevisions>false</trackRevisions>
    </reviewItem>
    <reviewItem>
      <errorID>6e8cfeac-89d7-4e70-a2ac-921e28a75316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22B15CEF</paraID>
      <start>0</start>
      <end>2</end>
      <status>unmodified</status>
      <modifiedWord/>
      <trackRevisions>false</trackRevisions>
    </reviewItem>
    <reviewItem>
      <errorID>9b868006-def3-4712-8f35-42f2293d8a19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3E9756FB</paraID>
      <start>0</start>
      <end>2</end>
      <status>unmodified</status>
      <modifiedWord/>
      <trackRevisions>false</trackRevisions>
    </reviewItem>
    <reviewItem>
      <errorID>ebd70e76-932b-47f2-afdc-26337b42084f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47DEE016</paraID>
      <start>24</start>
      <end>27</end>
      <status>unmodified</status>
      <modifiedWord/>
      <trackRevisions>false</trackRevisions>
    </reviewItem>
    <reviewItem>
      <errorID>9466b0dc-cebe-4a76-b279-21a2c4f36dfa</errorID>
      <errorWord>(</errorWord>
      <group>L1_Format</group>
      <groupName>格式问题</groupName>
      <ability>L2_HalfPunc</ability>
      <abilityName>全半角检查</abilityName>
      <candidateList>
        <item>（</item>
      </candidateList>
      <explain>文本全半角错误。</explain>
      <paraID>47DEE016</paraID>
      <start>88</start>
      <end>89</end>
      <status>unmodified</status>
      <modifiedWord/>
      <trackRevisions>false</trackRevisions>
    </reviewItem>
    <reviewItem>
      <errorID>d435d6e6-293a-42cb-8b97-95376a18e105</errorID>
      <errorWord>)</errorWord>
      <group>L1_Format</group>
      <groupName>格式问题</groupName>
      <ability>L2_HalfPunc</ability>
      <abilityName>全半角检查</abilityName>
      <candidateList>
        <item>）</item>
      </candidateList>
      <explain>文本全半角错误。</explain>
      <paraID>47DEE016</paraID>
      <start>100</start>
      <end>101</end>
      <status>unmodified</status>
      <modifiedWord/>
      <trackRevisions>false</trackRevisions>
    </reviewItem>
    <reviewItem>
      <errorID>4d2fb2a2-9893-4748-ba05-26b6db7d6a4c</errorID>
      <errorWord>源源</errorWord>
      <group>L1_Word</group>
      <groupName>字词问题</groupName>
      <ability>L2_Typo</ability>
      <abilityName>字词错误</abilityName>
      <candidateList>
        <item>源</item>
      </candidateList>
      <explain/>
      <paraID>6E7E7AE2</paraID>
      <start>1</start>
      <end>3</end>
      <status>unmodified</status>
      <modifiedWord/>
      <trackRevisions>false</trackRevisions>
    </reviewItem>
    <reviewItem>
      <errorID>bcb4ae5d-2bd4-4df0-8053-c808425554fa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752CDA45</paraID>
      <start>24</start>
      <end>27</end>
      <status>unmodified</status>
      <modifiedWord/>
      <trackRevisions>false</trackRevisions>
    </reviewItem>
    <reviewItem>
      <errorID>b24cee0e-bebd-4be9-bb1d-73173baef9d7</errorID>
      <errorWord>程</errorWord>
      <group>L1_Word</group>
      <groupName>字词问题</groupName>
      <ability>L2_Typo</ability>
      <abilityName>字词错误</abilityName>
      <candidateList>
        <item>程中</item>
      </candidateList>
      <explain/>
      <paraID>5146DE7B</paraID>
      <start>31</start>
      <end>32</end>
      <status>unmodified</status>
      <modifiedWord/>
      <trackRevisions>false</trackRevisions>
    </reviewItem>
    <reviewItem>
      <errorID>4b414ef1-b9ff-4241-957a-8505bb76c1dd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38A518FD</paraID>
      <start>0</start>
      <end>2</end>
      <status>unmodified</status>
      <modifiedWord/>
      <trackRevisions>false</trackRevisions>
    </reviewItem>
    <reviewItem>
      <errorID>e543cfe8-039c-41be-b049-98d79af6940c</errorID>
      <errorWord>程</errorWord>
      <group>L1_Word</group>
      <groupName>字词问题</groupName>
      <ability>L2_Typo</ability>
      <abilityName>字词错误</abilityName>
      <candidateList>
        <item>程中</item>
      </candidateList>
      <explain/>
      <paraID>4BF4261E</paraID>
      <start>26</start>
      <end>27</end>
      <status>unmodified</status>
      <modifiedWord/>
      <trackRevisions>false</trackRevisions>
    </reviewItem>
    <reviewItem>
      <errorID>bc2d3cf3-bec0-41ad-97b4-feddd61a8ea6</errorID>
      <errorWord>(</errorWord>
      <group>L1_Format</group>
      <groupName>格式问题</groupName>
      <ability>L2_HalfPunc</ability>
      <abilityName>全半角检查</abilityName>
      <candidateList>
        <item>（</item>
      </candidateList>
      <explain>文本全半角错误。</explain>
      <paraID>353CA178</paraID>
      <start>70</start>
      <end>71</end>
      <status>unmodified</status>
      <modifiedWord/>
      <trackRevisions>false</trackRevisions>
    </reviewItem>
    <reviewItem>
      <errorID>7a54d33a-75a8-4fb1-8a16-3a750865ca8f</errorID>
      <errorWord>)</errorWord>
      <group>L1_Format</group>
      <groupName>格式问题</groupName>
      <ability>L2_HalfPunc</ability>
      <abilityName>全半角检查</abilityName>
      <candidateList>
        <item>）</item>
      </candidateList>
      <explain>文本全半角错误。</explain>
      <paraID>353CA178</paraID>
      <start>83</start>
      <end>84</end>
      <status>unmodified</status>
      <modifiedWord/>
      <trackRevisions>false</trackRevisions>
    </reviewItem>
    <reviewItem>
      <errorID>f073d40a-515d-4be4-8e1c-30c3bfff4dd7</errorID>
      <errorWord>(</errorWord>
      <group>L1_Format</group>
      <groupName>格式问题</groupName>
      <ability>L2_HalfPunc</ability>
      <abilityName>全半角检查</abilityName>
      <candidateList>
        <item>（</item>
      </candidateList>
      <explain>文本全半角错误。</explain>
      <paraID> E9A0056</paraID>
      <start>76</start>
      <end>77</end>
      <status>unmodified</status>
      <modifiedWord/>
      <trackRevisions>false</trackRevisions>
    </reviewItem>
    <reviewItem>
      <errorID>5cf62bf1-ec70-4d3a-93f6-08c6aef00696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3E087139</paraID>
      <start>0</start>
      <end>2</end>
      <status>unmodified</status>
      <modifiedWord/>
      <trackRevisions>false</trackRevisions>
    </reviewItem>
    <reviewItem>
      <errorID>c874786a-8d5f-4107-a358-72e168407140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F328EE9</paraID>
      <start>0</start>
      <end>2</end>
      <status>unmodified</status>
      <modifiedWord/>
      <trackRevisions>false</trackRevisions>
    </reviewItem>
    <reviewItem>
      <errorID>4b755b03-2c23-4d92-a557-dfc3d492dca6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1F092877</paraID>
      <start>0</start>
      <end>2</end>
      <status>unmodified</status>
      <modifiedWord/>
      <trackRevisions>false</trackRevisions>
    </reviewItem>
    <reviewItem>
      <errorID>ce14941a-fd19-46fb-8077-a4822d4a75ad</errorID>
      <errorWord>III</errorWord>
      <group>L1_Knowledge</group>
      <groupName>知识性问题</groupName>
      <ability>L2_Knowledge</ability>
      <abilityName>其他知识</abilityName>
      <candidateList>
        <item>Ⅲ</item>
      </candidateList>
      <explain/>
      <paraID>119CFCF2</paraID>
      <start>54</start>
      <end>57</end>
      <status>unmodified</status>
      <modifiedWord/>
      <trackRevisions>false</trackRevisions>
    </reviewItem>
    <reviewItem>
      <errorID>0fd5f27c-c822-4b49-abc5-cebe22e7f8d0</errorID>
      <errorWord>III</errorWord>
      <group>L1_Knowledge</group>
      <groupName>知识性问题</groupName>
      <ability>L2_Knowledge</ability>
      <abilityName>其他知识</abilityName>
      <candidateList>
        <item>Ⅲ</item>
      </candidateList>
      <explain/>
      <paraID>119CFCF2</paraID>
      <start>58</start>
      <end>61</end>
      <status>unmodified</status>
      <modifiedWord/>
      <trackRevisions>false</trackRevisions>
    </reviewItem>
    <reviewItem>
      <errorID>ac8306a3-84e3-4e5a-9f74-50ff86f09648</errorID>
      <errorWord>III</errorWord>
      <group>L1_Knowledge</group>
      <groupName>知识性问题</groupName>
      <ability>L2_Knowledge</ability>
      <abilityName>其他知识</abilityName>
      <candidateList>
        <item>Ⅲ</item>
      </candidateList>
      <explain/>
      <paraID>119CFCF2</paraID>
      <start>62</start>
      <end>65</end>
      <status>unmodified</status>
      <modifiedWord/>
      <trackRevisions>false</trackRevisions>
    </reviewItem>
    <reviewItem>
      <errorID>53621a53-d5b7-4544-a5fb-771a5bbf4fbb</errorID>
      <errorWord>III</errorWord>
      <group>L1_Knowledge</group>
      <groupName>知识性问题</groupName>
      <ability>L2_Knowledge</ability>
      <abilityName>其他知识</abilityName>
      <candidateList>
        <item>Ⅲ</item>
      </candidateList>
      <explain/>
      <paraID>119CFCF2</paraID>
      <start>80</start>
      <end>83</end>
      <status>unmodified</status>
      <modifiedWord/>
      <trackRevisions>false</trackRevisions>
    </reviewItem>
    <reviewItem>
      <errorID>dc8dc529-ca99-4830-9a19-643b1dd0966c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7A83B07D</paraID>
      <start>0</start>
      <end>2</end>
      <status>unmodified</status>
      <modifiedWord/>
      <trackRevisions>false</trackRevisions>
    </reviewItem>
    <reviewItem>
      <errorID>8611a841-aaa5-4c5d-ae22-20bbb4b14559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34AE5972</paraID>
      <start>0</start>
      <end>2</end>
      <status>unmodified</status>
      <modifiedWord/>
      <trackRevisions>false</trackRevisions>
    </reviewItem>
    <reviewItem>
      <errorID>9ece0967-e427-406c-8a55-5101ea6b7d03</errorID>
      <errorWord>污水厂</errorWord>
      <group>L1_Word</group>
      <groupName>字词问题</groupName>
      <ability>L2_Typo</ability>
      <abilityName>字词错误</abilityName>
      <candidateList>
        <item>污水处理厂</item>
      </candidateList>
      <explain/>
      <paraID>490D5C36</paraID>
      <start>9</start>
      <end>14</end>
      <status>modified</status>
      <modifiedWord>污水处理厂</modifiedWord>
      <trackRevisions>false</trackRevisions>
    </reviewItem>
    <reviewItem>
      <errorID>5e60c808-64df-44a3-be49-9d65ea49b8b1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7324C133</paraID>
      <start>0</start>
      <end>3</end>
      <status>unmodified</status>
      <modifiedWord/>
      <trackRevisions>false</trackRevisions>
    </reviewItem>
    <reviewItem>
      <errorID>15ef3193-ef1a-4b37-9d36-8fe5a8d6d06c</errorID>
      <errorWord>许</errorWord>
      <group>L1_Word</group>
      <groupName>字词问题</groupName>
      <ability>L2_Typo</ability>
      <abilityName>字词错误</abilityName>
      <candidateList>
        <item>许可</item>
      </candidateList>
      <explain/>
      <paraID>423EAB9E</paraID>
      <start>35</start>
      <end>36</end>
      <status>unmodified</status>
      <modifiedWord/>
      <trackRevisions>false</trackRevisions>
    </reviewItem>
    <reviewItem>
      <errorID>7d398436-451e-4499-beec-b061c5201332</errorID>
      <errorWord>交有</errorWord>
      <group>L1_Word</group>
      <groupName>字词问题</groupName>
      <ability>L2_Typo</ability>
      <abilityName>字词错误</abilityName>
      <candidateList>
        <item>交由</item>
      </candidateList>
      <explain>存在发音相同字词的误用。</explain>
      <paraID>1E699D4B</paraID>
      <start>20</start>
      <end>22</end>
      <status>modified</status>
      <modifiedWord>交由</modifiedWord>
      <trackRevisions>false</trackRevisions>
    </reviewItem>
    <reviewItem>
      <errorID>d009e877-5b9e-4d2e-a2cf-a325de588606</errorID>
      <errorWord>程</errorWord>
      <group>L1_Word</group>
      <groupName>字词问题</groupName>
      <ability>L2_Typo</ability>
      <abilityName>字词错误</abilityName>
      <candidateList>
        <item>程中</item>
      </candidateList>
      <explain/>
      <paraID>40B62F4F</paraID>
      <start>78</start>
      <end>79</end>
      <status>unmodified</status>
      <modifiedWord/>
      <trackRevisions>false</trackRevisions>
    </reviewItem>
    <reviewItem>
      <errorID>57b2fbd0-0e1a-468c-a449-028c2433abfc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5447F97D</paraID>
      <start>0</start>
      <end>2</end>
      <status>unmodified</status>
      <modifiedWord/>
      <trackRevisions>false</trackRevisions>
    </reviewItem>
    <reviewItem>
      <errorID>ca47f4e6-0951-46ee-a91d-6838ff1f8a91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24B86F2A</paraID>
      <start>0</start>
      <end>2</end>
      <status>unmodified</status>
      <modifiedWord/>
      <trackRevisions>false</trackRevisions>
    </reviewItem>
    <reviewItem>
      <errorID>4b2e2d4f-45a4-4a6a-a77c-b453b531a70f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447742DA</paraID>
      <start>0</start>
      <end>2</end>
      <status>unmodified</status>
      <modifiedWord/>
      <trackRevisions>false</trackRevisions>
    </reviewItem>
    <reviewItem>
      <errorID>c1dc7841-881d-4030-935e-07b5c4728295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7DF4B74</paraID>
      <start>0</start>
      <end>2</end>
      <status>unmodified</status>
      <modifiedWord/>
      <trackRevisions>false</trackRevisions>
    </reviewItem>
    <reviewItem>
      <errorID>c4f1b326-6ee4-4448-be92-d599c0218feb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61CC4B9C</paraID>
      <start>0</start>
      <end>2</end>
      <status>unmodified</status>
      <modifiedWord/>
      <trackRevisions>false</trackRevisions>
    </reviewItem>
    <reviewItem>
      <errorID>217b3916-8773-44a7-a41b-fb33fbfa536f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2CB133CF</paraID>
      <start>0</start>
      <end>2</end>
      <status>unmodified</status>
      <modifiedWord/>
      <trackRevisions>false</trackRevisions>
    </reviewItem>
    <reviewItem>
      <errorID>94608ea5-b073-4772-9631-d7427b5c5101</errorID>
      <errorWord>（</errorWord>
      <group>L1_Punc</group>
      <groupName>标点问题</groupName>
      <ability>L2_Punc</ability>
      <abilityName>标点符号检查</abilityName>
      <candidateList/>
      <explain>同一形式括号套用。</explain>
      <paraID>6E9F5722</paraID>
      <start>203</start>
      <end>204</end>
      <status>unmodified</status>
      <modifiedWord/>
      <trackRevisions>false</trackRevisions>
    </reviewItem>
    <reviewItem>
      <errorID>a72995fd-4cf2-49a3-ad8e-cbcddb877b5e</errorID>
      <errorWord>）</errorWord>
      <group>L1_Punc</group>
      <groupName>标点问题</groupName>
      <ability>L2_Punc</ability>
      <abilityName>标点符号检查</abilityName>
      <candidateList/>
      <explain>同一形式括号套用。</explain>
      <paraID>6E9F5722</paraID>
      <start>207</start>
      <end>208</end>
      <status>unmodified</status>
      <modifiedWord/>
      <trackRevisions>false</trackRevisions>
    </reviewItem>
    <reviewItem>
      <errorID>826a159c-61b9-4bae-bf7a-58d72f6a58a4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754F2466</paraID>
      <start>0</start>
      <end>2</end>
      <status>unmodified</status>
      <modifiedWord/>
      <trackRevisions>false</trackRevisions>
    </reviewItem>
    <reviewItem>
      <errorID>fa9e7170-beef-4bb3-8b63-2a4a78a9f90f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B255C80</paraID>
      <start>0</start>
      <end>2</end>
      <status>unmodified</status>
      <modifiedWord/>
      <trackRevisions>false</trackRevisions>
    </reviewItem>
    <reviewItem>
      <errorID>da39b24e-c540-4555-818b-e0926a62420c</errorID>
      <errorWord>危险物质</errorWord>
      <group>L1_Word</group>
      <groupName>字词问题</groupName>
      <ability>L2_Typo</ability>
      <abilityName>字词错误</abilityName>
      <candidateList>
        <item>危险物资</item>
      </candidateList>
      <explain/>
      <paraID> B255C80</paraID>
      <start>2</start>
      <end>6</end>
      <status>unmodified</status>
      <modifiedWord/>
      <trackRevisions>false</trackRevisions>
    </reviewItem>
    <reviewItem>
      <errorID>75c01cb9-1d90-4829-b606-3604a0734d46</errorID>
      <errorWord>(</errorWord>
      <group>L1_Format</group>
      <groupName>格式问题</groupName>
      <ability>L2_HalfPunc</ability>
      <abilityName>全半角检查</abilityName>
      <candidateList>
        <item>（</item>
      </candidateList>
      <explain>文本全半角错误。</explain>
      <paraID> 88DD504</paraID>
      <start>4</start>
      <end>5</end>
      <status>unmodified</status>
      <modifiedWord/>
      <trackRevisions>false</trackRevisions>
    </reviewItem>
    <reviewItem>
      <errorID>6033564d-880b-4532-8f3d-e46072d11bb8</errorID>
      <errorWord>)</errorWord>
      <group>L1_Format</group>
      <groupName>格式问题</groupName>
      <ability>L2_HalfPunc</ability>
      <abilityName>全半角检查</abilityName>
      <candidateList>
        <item>）</item>
      </candidateList>
      <explain>文本全半角错误。</explain>
      <paraID> 88DD504</paraID>
      <start>8</start>
      <end>9</end>
      <status>unmodified</status>
      <modifiedWord/>
      <trackRevisions>false</trackRevisions>
    </reviewItem>
    <reviewItem>
      <errorID>edac3fc9-ab12-4103-bdbb-b803c57554b9</errorID>
      <errorWord>(</errorWord>
      <group>L1_Format</group>
      <groupName>格式问题</groupName>
      <ability>L2_HalfPunc</ability>
      <abilityName>全半角检查</abilityName>
      <candidateList>
        <item>（</item>
      </candidateList>
      <explain>文本全半角错误。</explain>
      <paraID>6B4A66DA</paraID>
      <start>31</start>
      <end>32</end>
      <status>unmodified</status>
      <modifiedWord/>
      <trackRevisions>false</trackRevisions>
    </reviewItem>
    <reviewItem>
      <errorID>ebaf06b9-20cd-4d3b-a5c2-5cd7d42cfc07</errorID>
      <errorWord>(</errorWord>
      <group>L1_Format</group>
      <groupName>格式问题</groupName>
      <ability>L2_HalfPunc</ability>
      <abilityName>全半角检查</abilityName>
      <candidateList>
        <item>（</item>
      </candidateList>
      <explain>文本全半角错误。</explain>
      <paraID>3546AFD4</paraID>
      <start>5</start>
      <end>6</end>
      <status>unmodified</status>
      <modifiedWord/>
      <trackRevisions>false</trackRevisions>
    </reviewItem>
    <reviewItem>
      <errorID>424c3595-bfc1-4f17-8566-acad62eb2c17</errorID>
      <errorWord>)</errorWord>
      <group>L1_Format</group>
      <groupName>格式问题</groupName>
      <ability>L2_HalfPunc</ability>
      <abilityName>全半角检查</abilityName>
      <candidateList>
        <item>）</item>
      </candidateList>
      <explain>文本全半角错误。</explain>
      <paraID>3546AFD4</paraID>
      <start>9</start>
      <end>10</end>
      <status>unmodified</status>
      <modifiedWord/>
      <trackRevisions>false</trackRevisions>
    </reviewItem>
    <reviewItem>
      <errorID>76ad174d-c05e-410c-9c5b-35ddb66e12ca</errorID>
      <errorWord>(</errorWord>
      <group>L1_Format</group>
      <groupName>格式问题</groupName>
      <ability>L2_HalfPunc</ability>
      <abilityName>全半角检查</abilityName>
      <candidateList>
        <item>（</item>
      </candidateList>
      <explain>文本全半角错误。</explain>
      <paraID>11AA0E43</paraID>
      <start>4</start>
      <end>5</end>
      <status>unmodified</status>
      <modifiedWord/>
      <trackRevisions>false</trackRevisions>
    </reviewItem>
    <reviewItem>
      <errorID>7fa12834-7dbe-4e07-83ad-4d69ad5d3f2b</errorID>
      <errorWord>)</errorWord>
      <group>L1_Format</group>
      <groupName>格式问题</groupName>
      <ability>L2_HalfPunc</ability>
      <abilityName>全半角检查</abilityName>
      <candidateList>
        <item>）</item>
      </candidateList>
      <explain>文本全半角错误。</explain>
      <paraID>11AA0E43</paraID>
      <start>6</start>
      <end>7</end>
      <status>unmodified</status>
      <modifiedWord/>
      <trackRevisions>false</trackRevisions>
    </reviewItem>
    <reviewItem>
      <errorID>7514f30a-7736-487f-92cc-e9a2d00016b8</errorID>
      <errorWord>(</errorWord>
      <group>L1_Format</group>
      <groupName>格式问题</groupName>
      <ability>L2_HalfPunc</ability>
      <abilityName>全半角检查</abilityName>
      <candidateList>
        <item>（</item>
      </candidateList>
      <explain>文本全半角错误。</explain>
      <paraID>56F46838</paraID>
      <start>6</start>
      <end>7</end>
      <status>unmodified</status>
      <modifiedWord/>
      <trackRevisions>false</trackRevisions>
    </reviewItem>
    <reviewItem>
      <errorID>cab22573-6aee-4588-9e26-af7c08396918</errorID>
      <errorWord>)</errorWord>
      <group>L1_Format</group>
      <groupName>格式问题</groupName>
      <ability>L2_HalfPunc</ability>
      <abilityName>全半角检查</abilityName>
      <candidateList>
        <item>）</item>
      </candidateList>
      <explain>文本全半角错误。</explain>
      <paraID>56F46838</paraID>
      <start>10</start>
      <end>11</end>
      <status>unmodified</status>
      <modifiedWord/>
      <trackRevisions>false</trackRevisions>
    </reviewItem>
    <reviewItem>
      <errorID>3fd80a1f-a440-4b86-a6c2-27cb93b28c2a</errorID>
      <errorWord>(</errorWord>
      <group>L1_Format</group>
      <groupName>格式问题</groupName>
      <ability>L2_HalfPunc</ability>
      <abilityName>全半角检查</abilityName>
      <candidateList>
        <item>（</item>
      </candidateList>
      <explain>文本全半角错误。</explain>
      <paraID>1C25248C</paraID>
      <start>30</start>
      <end>31</end>
      <status>unmodified</status>
      <modifiedWord/>
      <trackRevisions>false</trackRevisions>
    </reviewItem>
    <reviewItem>
      <errorID>69383ebd-d0a1-44bc-9cab-705bfa91ce60</errorID>
      <errorWord>)</errorWord>
      <group>L1_Format</group>
      <groupName>格式问题</groupName>
      <ability>L2_HalfPunc</ability>
      <abilityName>全半角检查</abilityName>
      <candidateList>
        <item>）</item>
      </candidateList>
      <explain>文本全半角错误。</explain>
      <paraID>1C25248C</paraID>
      <start>37</start>
      <end>38</end>
      <status>unmodified</status>
      <modifiedWord/>
      <trackRevisions>false</trackRevisions>
    </reviewItem>
    <reviewItem>
      <errorID>82800da5-645e-4387-afd5-05d5cbc83854</errorID>
      <errorWord>建规</errorWord>
      <group>L1_Word</group>
      <groupName>字词问题</groupName>
      <ability>L2_Typo</ability>
      <abilityName>字词错误</abilityName>
      <candidateList>
        <item>建筑</item>
      </candidateList>
      <explain/>
      <paraID>17BF7032</paraID>
      <start>25</start>
      <end>27</end>
      <status>unmodified</status>
      <modifiedWord/>
      <trackRevisions>false</trackRevisions>
    </reviewItem>
    <reviewItem>
      <errorID>2a388755-1bdc-40c0-ac65-5b644895db2c</errorID>
      <errorWord>(</errorWord>
      <group>L1_Format</group>
      <groupName>格式问题</groupName>
      <ability>L2_HalfPunc</ability>
      <abilityName>全半角检查</abilityName>
      <candidateList>
        <item>（</item>
      </candidateList>
      <explain>文本全半角错误。</explain>
      <paraID> ECC9435</paraID>
      <start>2</start>
      <end>3</end>
      <status>unmodified</status>
      <modifiedWord/>
      <trackRevisions>false</trackRevisions>
    </reviewItem>
    <reviewItem>
      <errorID>d6f4a967-3ab1-4211-a6cd-9d9f44e3db42</errorID>
      <errorWord>)</errorWord>
      <group>L1_Format</group>
      <groupName>格式问题</groupName>
      <ability>L2_HalfPunc</ability>
      <abilityName>全半角检查</abilityName>
      <candidateList>
        <item>）</item>
      </candidateList>
      <explain>文本全半角错误。</explain>
      <paraID> ECC9435</paraID>
      <start>4</start>
      <end>5</end>
      <status>unmodified</status>
      <modifiedWord/>
      <trackRevisions>false</trackRevisions>
    </reviewItem>
    <reviewItem>
      <errorID>3afe8915-662f-4a37-a692-62f26934e50c</errorID>
      <errorWord>(</errorWord>
      <group>L1_Format</group>
      <groupName>格式问题</groupName>
      <ability>L2_HalfPunc</ability>
      <abilityName>全半角检查</abilityName>
      <candidateList>
        <item>（</item>
      </candidateList>
      <explain>文本全半角错误。</explain>
      <paraID>3EEE1EB5</paraID>
      <start>31</start>
      <end>32</end>
      <status>unmodified</status>
      <modifiedWord/>
      <trackRevisions>false</trackRevisions>
    </reviewItem>
    <reviewItem>
      <errorID>495b8c1d-ae5d-4953-84eb-18b31479a91a</errorID>
      <errorWord>)</errorWord>
      <group>L1_Format</group>
      <groupName>格式问题</groupName>
      <ability>L2_HalfPunc</ability>
      <abilityName>全半角检查</abilityName>
      <candidateList>
        <item>）</item>
      </candidateList>
      <explain>文本全半角错误。</explain>
      <paraID>3EEE1EB5</paraID>
      <start>33</start>
      <end>34</end>
      <status>unmodified</status>
      <modifiedWord/>
      <trackRevisions>false</trackRevisions>
    </reviewItem>
    <reviewItem>
      <errorID>7db74f66-d0f6-4fc0-b07a-7063d192f513</errorID>
      <errorWord>(</errorWord>
      <group>L1_Format</group>
      <groupName>格式问题</groupName>
      <ability>L2_HalfPunc</ability>
      <abilityName>全半角检查</abilityName>
      <candidateList>
        <item>（</item>
      </candidateList>
      <explain>文本全半角错误。</explain>
      <paraID>5BE97D4A</paraID>
      <start>4</start>
      <end>5</end>
      <status>unmodified</status>
      <modifiedWord/>
      <trackRevisions>false</trackRevisions>
    </reviewItem>
    <reviewItem>
      <errorID>5023e474-6f5b-46d7-ab29-7a690ef4a392</errorID>
      <errorWord>)</errorWord>
      <group>L1_Format</group>
      <groupName>格式问题</groupName>
      <ability>L2_HalfPunc</ability>
      <abilityName>全半角检查</abilityName>
      <candidateList>
        <item>）</item>
      </candidateList>
      <explain>文本全半角错误。</explain>
      <paraID>5BE97D4A</paraID>
      <start>7</start>
      <end>8</end>
      <status>unmodified</status>
      <modifiedWord/>
      <trackRevisions>false</trackRevisions>
    </reviewItem>
    <reviewItem>
      <errorID>a09f8184-a232-430d-8012-7e889bc76ca2</errorID>
      <errorWord>(</errorWord>
      <group>L1_Format</group>
      <groupName>格式问题</groupName>
      <ability>L2_HalfPunc</ability>
      <abilityName>全半角检查</abilityName>
      <candidateList>
        <item>（</item>
      </candidateList>
      <explain>文本全半角错误。</explain>
      <paraID>56016F33</paraID>
      <start>32</start>
      <end>33</end>
      <status>unmodified</status>
      <modifiedWord/>
      <trackRevisions>false</trackRevisions>
    </reviewItem>
    <reviewItem>
      <errorID>988d9d46-0b53-4294-b5a2-ccf2723f24d9</errorID>
      <errorWord>)</errorWord>
      <group>L1_Format</group>
      <groupName>格式问题</groupName>
      <ability>L2_HalfPunc</ability>
      <abilityName>全半角检查</abilityName>
      <candidateList>
        <item>）</item>
      </candidateList>
      <explain>文本全半角错误。</explain>
      <paraID>56016F33</paraID>
      <start>35</start>
      <end>36</end>
      <status>unmodified</status>
      <modifiedWord/>
      <trackRevisions>false</trackRevisions>
    </reviewItem>
    <reviewItem>
      <errorID>0301d418-b1c7-417a-9591-2c90e79d6c48</errorID>
      <errorWord>(</errorWord>
      <group>L1_Format</group>
      <groupName>格式问题</groupName>
      <ability>L2_HalfPunc</ability>
      <abilityName>全半角检查</abilityName>
      <candidateList>
        <item>（</item>
      </candidateList>
      <explain>文本全半角错误。</explain>
      <paraID>76576824</paraID>
      <start>2</start>
      <end>3</end>
      <status>unmodified</status>
      <modifiedWord/>
      <trackRevisions>false</trackRevisions>
    </reviewItem>
    <reviewItem>
      <errorID>f200e93c-359b-4dea-88c9-eb3084295b1b</errorID>
      <errorWord>)</errorWord>
      <group>L1_Format</group>
      <groupName>格式问题</groupName>
      <ability>L2_HalfPunc</ability>
      <abilityName>全半角检查</abilityName>
      <candidateList>
        <item>）</item>
      </candidateList>
      <explain>文本全半角错误。</explain>
      <paraID>76576824</paraID>
      <start>5</start>
      <end>6</end>
      <status>unmodified</status>
      <modifiedWord/>
      <trackRevisions>false</trackRevisions>
    </reviewItem>
    <reviewItem>
      <errorID>790a00e3-ebae-4979-821b-a9735c7980f1</errorID>
      <errorWord>：</errorWord>
      <group>L1_Format</group>
      <groupName>格式问题</groupName>
      <ability>L2_HalfPunc</ability>
      <abilityName>全半角检查</abilityName>
      <candidateList>
        <item>:</item>
      </candidateList>
      <explain>文本全半角错误。</explain>
      <paraID>4D2304DE</paraID>
      <start>9</start>
      <end>10</end>
      <status>unmodified</status>
      <modifiedWord/>
      <trackRevisions>false</trackRevisions>
    </reviewItem>
    <reviewItem>
      <errorID>51732dcf-b018-463c-a17f-7ec7b0710cc2</errorID>
      <errorWord>(</errorWord>
      <group>L1_Format</group>
      <groupName>格式问题</groupName>
      <ability>L2_HalfPunc</ability>
      <abilityName>全半角检查</abilityName>
      <candidateList>
        <item>（</item>
      </candidateList>
      <explain>文本全半角错误。</explain>
      <paraID>4D2304DE</paraID>
      <start>19</start>
      <end>20</end>
      <status>unmodified</status>
      <modifiedWord/>
      <trackRevisions>false</trackRevisions>
    </reviewItem>
    <reviewItem>
      <errorID>5c88bd74-70af-4958-86f8-0305e313c283</errorID>
      <errorWord>)</errorWord>
      <group>L1_Format</group>
      <groupName>格式问题</groupName>
      <ability>L2_HalfPunc</ability>
      <abilityName>全半角检查</abilityName>
      <candidateList>
        <item>）</item>
      </candidateList>
      <explain>文本全半角错误。</explain>
      <paraID>4D2304DE</paraID>
      <start>24</start>
      <end>25</end>
      <status>unmodified</status>
      <modifiedWord/>
      <trackRevisions>false</trackRevisions>
    </reviewItem>
    <reviewItem>
      <errorID>6e24f536-c62c-420d-9d88-c3068c8f0c42</errorID>
      <errorWord>(</errorWord>
      <group>L1_Format</group>
      <groupName>格式问题</groupName>
      <ability>L2_HalfPunc</ability>
      <abilityName>全半角检查</abilityName>
      <candidateList>
        <item>（</item>
      </candidateList>
      <explain>文本全半角错误。</explain>
      <paraID>4D2304DE</paraID>
      <start>35</start>
      <end>36</end>
      <status>unmodified</status>
      <modifiedWord/>
      <trackRevisions>false</trackRevisions>
    </reviewItem>
    <reviewItem>
      <errorID>153932fd-e27e-4ba8-847b-f74bdcac606d</errorID>
      <errorWord>)</errorWord>
      <group>L1_Format</group>
      <groupName>格式问题</groupName>
      <ability>L2_HalfPunc</ability>
      <abilityName>全半角检查</abilityName>
      <candidateList>
        <item>）</item>
      </candidateList>
      <explain>文本全半角错误。</explain>
      <paraID>4D2304DE</paraID>
      <start>39</start>
      <end>40</end>
      <status>unmodified</status>
      <modifiedWord/>
      <trackRevisions>false</trackRevisions>
    </reviewItem>
    <reviewItem>
      <errorID>1e81417a-8e90-43d7-bee3-48b18a7499d2</errorID>
      <errorWord>：</errorWord>
      <group>L1_Format</group>
      <groupName>格式问题</groupName>
      <ability>L2_HalfPunc</ability>
      <abilityName>全半角检查</abilityName>
      <candidateList>
        <item>:</item>
      </candidateList>
      <explain>文本全半角错误。</explain>
      <paraID>6F62FB8A</paraID>
      <start>4</start>
      <end>5</end>
      <status>unmodified</status>
      <modifiedWord/>
      <trackRevisions>false</trackRevisions>
    </reviewItem>
    <reviewItem>
      <errorID>73b9644c-5f04-4d0a-906d-cbb92f9ac98c</errorID>
      <errorWord>(</errorWord>
      <group>L1_Format</group>
      <groupName>格式问题</groupName>
      <ability>L2_HalfPunc</ability>
      <abilityName>全半角检查</abilityName>
      <candidateList>
        <item>（</item>
      </candidateList>
      <explain>文本全半角错误。</explain>
      <paraID>6F62FB8A</paraID>
      <start>16</start>
      <end>17</end>
      <status>unmodified</status>
      <modifiedWord/>
      <trackRevisions>false</trackRevisions>
    </reviewItem>
    <reviewItem>
      <errorID>cac7ae99-eded-4d5f-83eb-3eb6f8b291a2</errorID>
      <errorWord>)</errorWord>
      <group>L1_Format</group>
      <groupName>格式问题</groupName>
      <ability>L2_HalfPunc</ability>
      <abilityName>全半角检查</abilityName>
      <candidateList>
        <item>）</item>
      </candidateList>
      <explain>文本全半角错误。</explain>
      <paraID>6F62FB8A</paraID>
      <start>21</start>
      <end>22</end>
      <status>unmodified</status>
      <modifiedWord/>
      <trackRevisions>false</trackRevisions>
    </reviewItem>
    <reviewItem>
      <errorID>261f2398-dee2-4995-b0c6-0986417a5b18</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25D5D671</paraID>
      <start>32</start>
      <end>36</end>
      <status>unmodified</status>
      <modifiedWord/>
      <trackRevisions>false</trackRevisions>
    </reviewItem>
    <reviewItem>
      <errorID>02e3da2d-9f8e-4196-85a5-a7b56fd77536</errorID>
      <errorWord>佩带防毒面具</errorWord>
      <group>L1_Word</group>
      <groupName>字词问题</groupName>
      <ability>L2_Alias</ability>
      <abilityName>也作/曾用词</abilityName>
      <candidateList>
        <item>佩戴防毒面具</item>
      </candidateList>
      <explain>词汇[佩带防毒面具]为不规范表述或旧称，其规范书面表述为[佩戴防毒面具]。</explain>
      <paraID>343FA4F0</paraID>
      <start>11</start>
      <end>17</end>
      <status>unmodified</status>
      <modifiedWord/>
      <trackRevisions>false</trackRevisions>
    </reviewItem>
    <reviewItem>
      <errorID>9b5c78b5-e43d-4b48-80c5-28a00b2e4107</errorID>
      <errorWord>佩带</errorWord>
      <group>L1_Word</group>
      <groupName>字词问题</groupName>
      <ability>L2_Typo</ability>
      <abilityName>字词错误</abilityName>
      <candidateList>
        <item>佩戴</item>
      </candidateList>
      <explain>存在发音相同字词的误用。</explain>
      <paraID>343FA4F0</paraID>
      <start>29</start>
      <end>31</end>
      <status>unmodified</status>
      <modifiedWord/>
      <trackRevisions>false</trackRevisions>
    </reviewItem>
    <reviewItem>
      <errorID>b718fdac-a9bd-497a-96f9-7ee1195874d6</errorID>
      <errorWord>(</errorWord>
      <group>L1_Format</group>
      <groupName>格式问题</groupName>
      <ability>L2_HalfPunc</ability>
      <abilityName>全半角检查</abilityName>
      <candidateList>
        <item>（</item>
      </candidateList>
      <explain>文本全半角错误。</explain>
      <paraID>7EAEA32B</paraID>
      <start>4</start>
      <end>5</end>
      <status>unmodified</status>
      <modifiedWord/>
      <trackRevisions>false</trackRevisions>
    </reviewItem>
    <reviewItem>
      <errorID>410fe434-7e98-4fd4-9b60-c6668e43ba75</errorID>
      <errorWord>)</errorWord>
      <group>L1_Format</group>
      <groupName>格式问题</groupName>
      <ability>L2_HalfPunc</ability>
      <abilityName>全半角检查</abilityName>
      <candidateList>
        <item>）</item>
      </candidateList>
      <explain>文本全半角错误。</explain>
      <paraID>7EAEA32B</paraID>
      <start>11</start>
      <end>12</end>
      <status>unmodified</status>
      <modifiedWord/>
      <trackRevisions>false</trackRevisions>
    </reviewItem>
    <reviewItem>
      <errorID>72bd602f-ea38-41ea-9e63-b31912208006</errorID>
      <errorWord>其它</errorWord>
      <group>L1_Word</group>
      <groupName>字词问题</groupName>
      <ability>L2_Alias</ability>
      <abilityName>也作/曾用词</abilityName>
      <candidateList>
        <item>其他</item>
      </candidateList>
      <explain>词汇[其它]为不规范表述或旧称，其规范书面表述为[其他]。</explain>
      <paraID>4AEF3E51</paraID>
      <start>103</start>
      <end>105</end>
      <status>modified</status>
      <modifiedWord>其他</modifiedWord>
      <trackRevisions>false</trackRevisions>
    </reviewItem>
    <reviewItem>
      <errorID>760dd74b-c89d-4ccb-b059-f7ebc581579b</errorID>
      <errorWord>(</errorWord>
      <group>L1_Format</group>
      <groupName>格式问题</groupName>
      <ability>L2_HalfPunc</ability>
      <abilityName>全半角检查</abilityName>
      <candidateList>
        <item>（</item>
      </candidateList>
      <explain>文本全半角错误。</explain>
      <paraID>73CC8F97</paraID>
      <start>2</start>
      <end>3</end>
      <status>unmodified</status>
      <modifiedWord/>
      <trackRevisions>false</trackRevisions>
    </reviewItem>
    <reviewItem>
      <errorID>9f6cfd04-da86-432a-b8b6-60a38ddaeac2</errorID>
      <errorWord>)</errorWord>
      <group>L1_Format</group>
      <groupName>格式问题</groupName>
      <ability>L2_HalfPunc</ability>
      <abilityName>全半角检查</abilityName>
      <candidateList>
        <item>）</item>
      </candidateList>
      <explain>文本全半角错误。</explain>
      <paraID>73CC8F97</paraID>
      <start>4</start>
      <end>5</end>
      <status>unmodified</status>
      <modifiedWord/>
      <trackRevisions>false</trackRevisions>
    </reviewItem>
    <reviewItem>
      <errorID>48d687ba-9322-4fb1-b49f-e989f8f4d8cc</errorID>
      <errorWord>(</errorWord>
      <group>L1_Format</group>
      <groupName>格式问题</groupName>
      <ability>L2_HalfPunc</ability>
      <abilityName>全半角检查</abilityName>
      <candidateList>
        <item>（</item>
      </candidateList>
      <explain>文本全半角错误。</explain>
      <paraID>35C0030E</paraID>
      <start>33</start>
      <end>34</end>
      <status>unmodified</status>
      <modifiedWord/>
      <trackRevisions>false</trackRevisions>
    </reviewItem>
    <reviewItem>
      <errorID>6c218e4f-7f64-42fe-ab24-7e57c2ca8526</errorID>
      <errorWord>)</errorWord>
      <group>L1_Format</group>
      <groupName>格式问题</groupName>
      <ability>L2_HalfPunc</ability>
      <abilityName>全半角检查</abilityName>
      <candidateList>
        <item>）</item>
      </candidateList>
      <explain>文本全半角错误。</explain>
      <paraID>35C0030E</paraID>
      <start>37</start>
      <end>38</end>
      <status>unmodified</status>
      <modifiedWord/>
      <trackRevisions>false</trackRevisions>
    </reviewItem>
    <reviewItem>
      <errorID>d77f039a-fdb0-413c-9cf1-0765a448c761</errorID>
      <errorWord>(</errorWord>
      <group>L1_Format</group>
      <groupName>格式问题</groupName>
      <ability>L2_HalfPunc</ability>
      <abilityName>全半角检查</abilityName>
      <candidateList>
        <item>（</item>
      </candidateList>
      <explain>文本全半角错误。</explain>
      <paraID>31E53420</paraID>
      <start>4</start>
      <end>5</end>
      <status>unmodified</status>
      <modifiedWord/>
      <trackRevisions>false</trackRevisions>
    </reviewItem>
    <reviewItem>
      <errorID>dd52829e-369b-430c-9eea-bdaea31af8de</errorID>
      <errorWord>)</errorWord>
      <group>L1_Format</group>
      <groupName>格式问题</groupName>
      <ability>L2_HalfPunc</ability>
      <abilityName>全半角检查</abilityName>
      <candidateList>
        <item>）</item>
      </candidateList>
      <explain>文本全半角错误。</explain>
      <paraID>31E53420</paraID>
      <start>8</start>
      <end>9</end>
      <status>unmodified</status>
      <modifiedWord/>
      <trackRevisions>false</trackRevisions>
    </reviewItem>
    <reviewItem>
      <errorID>3699b1f1-32c8-4eb6-a562-4995404c7093</errorID>
      <errorWord>(</errorWord>
      <group>L1_Format</group>
      <groupName>格式问题</groupName>
      <ability>L2_HalfPunc</ability>
      <abilityName>全半角检查</abilityName>
      <candidateList>
        <item>（</item>
      </candidateList>
      <explain>文本全半角错误。</explain>
      <paraID>3430F751</paraID>
      <start>31</start>
      <end>32</end>
      <status>unmodified</status>
      <modifiedWord/>
      <trackRevisions>false</trackRevisions>
    </reviewItem>
    <reviewItem>
      <errorID>a36029f3-4448-45ac-a640-63be85e7f27a</errorID>
      <errorWord>(</errorWord>
      <group>L1_Format</group>
      <groupName>格式问题</groupName>
      <ability>L2_HalfPunc</ability>
      <abilityName>全半角检查</abilityName>
      <candidateList>
        <item>（</item>
      </candidateList>
      <explain>文本全半角错误。</explain>
      <paraID>6FED5CE2</paraID>
      <start>4</start>
      <end>5</end>
      <status>unmodified</status>
      <modifiedWord/>
      <trackRevisions>false</trackRevisions>
    </reviewItem>
    <reviewItem>
      <errorID>fcb847a1-3974-4ae2-b3cd-4d1f6b881e30</errorID>
      <errorWord>)</errorWord>
      <group>L1_Format</group>
      <groupName>格式问题</groupName>
      <ability>L2_HalfPunc</ability>
      <abilityName>全半角检查</abilityName>
      <candidateList>
        <item>）</item>
      </candidateList>
      <explain>文本全半角错误。</explain>
      <paraID>6FED5CE2</paraID>
      <start>6</start>
      <end>7</end>
      <status>unmodified</status>
      <modifiedWord/>
      <trackRevisions>false</trackRevisions>
    </reviewItem>
    <reviewItem>
      <errorID>6868b8d9-5da8-4305-9fb7-d46d9165738e</errorID>
      <errorWord>(</errorWord>
      <group>L1_Format</group>
      <groupName>格式问题</groupName>
      <ability>L2_HalfPunc</ability>
      <abilityName>全半角检查</abilityName>
      <candidateList>
        <item>（</item>
      </candidateList>
      <explain>文本全半角错误。</explain>
      <paraID>6ACF14AC</paraID>
      <start>15</start>
      <end>16</end>
      <status>unmodified</status>
      <modifiedWord/>
      <trackRevisions>false</trackRevisions>
    </reviewItem>
    <reviewItem>
      <errorID>7f70fda3-cda5-4945-969a-968d706b5dc6</errorID>
      <errorWord>)</errorWord>
      <group>L1_Format</group>
      <groupName>格式问题</groupName>
      <ability>L2_HalfPunc</ability>
      <abilityName>全半角检查</abilityName>
      <candidateList>
        <item>）</item>
      </candidateList>
      <explain>文本全半角错误。</explain>
      <paraID>6ACF14AC</paraID>
      <start>19</start>
      <end>20</end>
      <status>unmodified</status>
      <modifiedWord/>
      <trackRevisions>false</trackRevisions>
    </reviewItem>
    <reviewItem>
      <errorID>630cc20d-d71c-4f67-af09-2bbfc16277b7</errorID>
      <errorWord>(</errorWord>
      <group>L1_Format</group>
      <groupName>格式问题</groupName>
      <ability>L2_HalfPunc</ability>
      <abilityName>全半角检查</abilityName>
      <candidateList>
        <item>（</item>
      </candidateList>
      <explain>文本全半角错误。</explain>
      <paraID>6ACF14AC</paraID>
      <start>33</start>
      <end>34</end>
      <status>unmodified</status>
      <modifiedWord/>
      <trackRevisions>false</trackRevisions>
    </reviewItem>
    <reviewItem>
      <errorID>dc632944-82ee-4ffe-9e63-78acf46f9992</errorID>
      <errorWord>)</errorWord>
      <group>L1_Format</group>
      <groupName>格式问题</groupName>
      <ability>L2_HalfPunc</ability>
      <abilityName>全半角检查</abilityName>
      <candidateList>
        <item>）</item>
      </candidateList>
      <explain>文本全半角错误。</explain>
      <paraID>6ACF14AC</paraID>
      <start>40</start>
      <end>41</end>
      <status>unmodified</status>
      <modifiedWord/>
      <trackRevisions>false</trackRevisions>
    </reviewItem>
    <reviewItem>
      <errorID>fd751b51-afa0-4af5-9d54-995f0347cbf1</errorID>
      <errorWord>建规</errorWord>
      <group>L1_Word</group>
      <groupName>字词问题</groupName>
      <ability>L2_Typo</ability>
      <abilityName>字词错误</abilityName>
      <candidateList>
        <item>建筑</item>
      </candidateList>
      <explain/>
      <paraID>3F5A35FD</paraID>
      <start>28</start>
      <end>30</end>
      <status>unmodified</status>
      <modifiedWord/>
      <trackRevisions>false</trackRevisions>
    </reviewItem>
    <reviewItem>
      <errorID>10047cd8-da9b-409e-9f27-de69fa0ce5ff</errorID>
      <errorWord>(</errorWord>
      <group>L1_Format</group>
      <groupName>格式问题</groupName>
      <ability>L2_HalfPunc</ability>
      <abilityName>全半角检查</abilityName>
      <candidateList>
        <item>（</item>
      </candidateList>
      <explain>文本全半角错误。</explain>
      <paraID>392A6F92</paraID>
      <start>2</start>
      <end>3</end>
      <status>unmodified</status>
      <modifiedWord/>
      <trackRevisions>false</trackRevisions>
    </reviewItem>
    <reviewItem>
      <errorID>9dc6315f-1d5e-479e-8400-4f2dab5fdb59</errorID>
      <errorWord>)</errorWord>
      <group>L1_Format</group>
      <groupName>格式问题</groupName>
      <ability>L2_HalfPunc</ability>
      <abilityName>全半角检查</abilityName>
      <candidateList>
        <item>）</item>
      </candidateList>
      <explain>文本全半角错误。</explain>
      <paraID>392A6F92</paraID>
      <start>4</start>
      <end>5</end>
      <status>unmodified</status>
      <modifiedWord/>
      <trackRevisions>false</trackRevisions>
    </reviewItem>
    <reviewItem>
      <errorID>ebb24ebe-5f41-4eba-8e17-7527c54153ed</errorID>
      <errorWord>(</errorWord>
      <group>L1_Format</group>
      <groupName>格式问题</groupName>
      <ability>L2_HalfPunc</ability>
      <abilityName>全半角检查</abilityName>
      <candidateList>
        <item>（</item>
      </candidateList>
      <explain>文本全半角错误。</explain>
      <paraID>17F7F4C2</paraID>
      <start>27</start>
      <end>28</end>
      <status>unmodified</status>
      <modifiedWord/>
      <trackRevisions>false</trackRevisions>
    </reviewItem>
    <reviewItem>
      <errorID>f485a39a-f24c-4de5-9a5a-82fb238e9106</errorID>
      <errorWord>)</errorWord>
      <group>L1_Format</group>
      <groupName>格式问题</groupName>
      <ability>L2_HalfPunc</ability>
      <abilityName>全半角检查</abilityName>
      <candidateList>
        <item>）</item>
      </candidateList>
      <explain>文本全半角错误。</explain>
      <paraID>17F7F4C2</paraID>
      <start>29</start>
      <end>30</end>
      <status>unmodified</status>
      <modifiedWord/>
      <trackRevisions>false</trackRevisions>
    </reviewItem>
    <reviewItem>
      <errorID>5ee5866d-8d24-4932-bfbb-faeeae4a9307</errorID>
      <errorWord>(</errorWord>
      <group>L1_Format</group>
      <groupName>格式问题</groupName>
      <ability>L2_HalfPunc</ability>
      <abilityName>全半角检查</abilityName>
      <candidateList>
        <item>（</item>
      </candidateList>
      <explain>文本全半角错误。</explain>
      <paraID>21D3C3C6</paraID>
      <start>4</start>
      <end>5</end>
      <status>unmodified</status>
      <modifiedWord/>
      <trackRevisions>false</trackRevisions>
    </reviewItem>
    <reviewItem>
      <errorID>8e7fad44-dfdf-422a-aa39-9ccd27144386</errorID>
      <errorWord>)</errorWord>
      <group>L1_Format</group>
      <groupName>格式问题</groupName>
      <ability>L2_HalfPunc</ability>
      <abilityName>全半角检查</abilityName>
      <candidateList>
        <item>）</item>
      </candidateList>
      <explain>文本全半角错误。</explain>
      <paraID>21D3C3C6</paraID>
      <start>7</start>
      <end>8</end>
      <status>unmodified</status>
      <modifiedWord/>
      <trackRevisions>false</trackRevisions>
    </reviewItem>
    <reviewItem>
      <errorID>bdd44e0d-e115-484f-b1c3-325f69448451</errorID>
      <errorWord>(</errorWord>
      <group>L1_Format</group>
      <groupName>格式问题</groupName>
      <ability>L2_HalfPunc</ability>
      <abilityName>全半角检查</abilityName>
      <candidateList>
        <item>（</item>
      </candidateList>
      <explain>文本全半角错误。</explain>
      <paraID>5421C881</paraID>
      <start>33</start>
      <end>34</end>
      <status>unmodified</status>
      <modifiedWord/>
      <trackRevisions>false</trackRevisions>
    </reviewItem>
    <reviewItem>
      <errorID>f08c8fcf-9544-42f3-b634-583488938df3</errorID>
      <errorWord>)</errorWord>
      <group>L1_Format</group>
      <groupName>格式问题</groupName>
      <ability>L2_HalfPunc</ability>
      <abilityName>全半角检查</abilityName>
      <candidateList>
        <item>）</item>
      </candidateList>
      <explain>文本全半角错误。</explain>
      <paraID>5421C881</paraID>
      <start>36</start>
      <end>37</end>
      <status>unmodified</status>
      <modifiedWord/>
      <trackRevisions>false</trackRevisions>
    </reviewItem>
    <reviewItem>
      <errorID>bde84a63-c821-47ea-9a4d-375cf4f9d4cf</errorID>
      <errorWord>(</errorWord>
      <group>L1_Format</group>
      <groupName>格式问题</groupName>
      <ability>L2_HalfPunc</ability>
      <abilityName>全半角检查</abilityName>
      <candidateList>
        <item>（</item>
      </candidateList>
      <explain>文本全半角错误。</explain>
      <paraID>1D705CD0</paraID>
      <start>44</start>
      <end>45</end>
      <status>unmodified</status>
      <modifiedWord/>
      <trackRevisions>false</trackRevisions>
    </reviewItem>
    <reviewItem>
      <errorID>d374d42b-391e-4e86-a908-6144a82e1750</errorID>
      <errorWord>)</errorWord>
      <group>L1_Format</group>
      <groupName>格式问题</groupName>
      <ability>L2_HalfPunc</ability>
      <abilityName>全半角检查</abilityName>
      <candidateList>
        <item>）</item>
      </candidateList>
      <explain>文本全半角错误。</explain>
      <paraID>1D705CD0</paraID>
      <start>47</start>
      <end>48</end>
      <status>unmodified</status>
      <modifiedWord/>
      <trackRevisions>false</trackRevisions>
    </reviewItem>
    <reviewItem>
      <errorID>1e6c3398-5f96-4ed8-ae65-d022cbbff9ea</errorID>
      <errorWord>(</errorWord>
      <group>L1_Format</group>
      <groupName>格式问题</groupName>
      <ability>L2_HalfPunc</ability>
      <abilityName>全半角检查</abilityName>
      <candidateList>
        <item>（</item>
      </candidateList>
      <explain>文本全半角错误。</explain>
      <paraID>1D705CD0</paraID>
      <start>56</start>
      <end>57</end>
      <status>unmodified</status>
      <modifiedWord/>
      <trackRevisions>false</trackRevisions>
    </reviewItem>
    <reviewItem>
      <errorID>3e867a6d-cf22-4b39-9226-5e4ec6398160</errorID>
      <errorWord>)</errorWord>
      <group>L1_Format</group>
      <groupName>格式问题</groupName>
      <ability>L2_HalfPunc</ability>
      <abilityName>全半角检查</abilityName>
      <candidateList>
        <item>）</item>
      </candidateList>
      <explain>文本全半角错误。</explain>
      <paraID>1D705CD0</paraID>
      <start>59</start>
      <end>60</end>
      <status>unmodified</status>
      <modifiedWord/>
      <trackRevisions>false</trackRevisions>
    </reviewItem>
    <reviewItem>
      <errorID>588581fd-7317-45de-9cb5-e630f21cbc9a</errorID>
      <errorWord>(</errorWord>
      <group>L1_Format</group>
      <groupName>格式问题</groupName>
      <ability>L2_HalfPunc</ability>
      <abilityName>全半角检查</abilityName>
      <candidateList>
        <item>（</item>
      </candidateList>
      <explain>文本全半角错误。</explain>
      <paraID>294E450D</paraID>
      <start>2</start>
      <end>3</end>
      <status>unmodified</status>
      <modifiedWord/>
      <trackRevisions>false</trackRevisions>
    </reviewItem>
    <reviewItem>
      <errorID>bf537be3-0c0e-4744-b07f-13e0a4b830b5</errorID>
      <errorWord>)</errorWord>
      <group>L1_Format</group>
      <groupName>格式问题</groupName>
      <ability>L2_HalfPunc</ability>
      <abilityName>全半角检查</abilityName>
      <candidateList>
        <item>）</item>
      </candidateList>
      <explain>文本全半角错误。</explain>
      <paraID>294E450D</paraID>
      <start>5</start>
      <end>6</end>
      <status>unmodified</status>
      <modifiedWord/>
      <trackRevisions>false</trackRevisions>
    </reviewItem>
    <reviewItem>
      <errorID>e98edf65-4785-4b99-83a5-6ccd1b634c5c</errorID>
      <errorWord>)</errorWord>
      <group>L1_Format</group>
      <groupName>格式问题</groupName>
      <ability>L2_HalfPunc</ability>
      <abilityName>全半角检查</abilityName>
      <candidateList>
        <item>）</item>
      </candidateList>
      <explain>文本全半角错误。</explain>
      <paraID>64A4F838</paraID>
      <start>44</start>
      <end>45</end>
      <status>unmodified</status>
      <modifiedWord/>
      <trackRevisions>false</trackRevisions>
    </reviewItem>
    <reviewItem>
      <errorID>2303f561-682d-4c89-966a-44dbfef5e309</errorID>
      <errorWord>(</errorWord>
      <group>L1_Format</group>
      <groupName>格式问题</groupName>
      <ability>L2_HalfPunc</ability>
      <abilityName>全半角检查</abilityName>
      <candidateList>
        <item>（</item>
      </candidateList>
      <explain>文本全半角错误。</explain>
      <paraID>64A4F838</paraID>
      <start>46</start>
      <end>47</end>
      <status>unmodified</status>
      <modifiedWord/>
      <trackRevisions>false</trackRevisions>
    </reviewItem>
    <reviewItem>
      <errorID>4f72e69e-39ab-422f-be12-85652b67980b</errorID>
      <errorWord>)</errorWord>
      <group>L1_Format</group>
      <groupName>格式问题</groupName>
      <ability>L2_HalfPunc</ability>
      <abilityName>全半角检查</abilityName>
      <candidateList>
        <item>）</item>
      </candidateList>
      <explain>文本全半角错误。</explain>
      <paraID>64A4F838</paraID>
      <start>54</start>
      <end>55</end>
      <status>unmodified</status>
      <modifiedWord/>
      <trackRevisions>false</trackRevisions>
    </reviewItem>
    <reviewItem>
      <errorID>83a1d518-b73e-4a52-a842-10855f343a4f</errorID>
      <errorWord>：</errorWord>
      <group>L1_Format</group>
      <groupName>格式问题</groupName>
      <ability>L2_HalfPunc</ability>
      <abilityName>全半角检查</abilityName>
      <candidateList>
        <item>:</item>
      </candidateList>
      <explain>文本全半角错误。</explain>
      <paraID>346F2602</paraID>
      <start>9</start>
      <end>10</end>
      <status>unmodified</status>
      <modifiedWord/>
      <trackRevisions>false</trackRevisions>
    </reviewItem>
    <reviewItem>
      <errorID>a9ca32ee-aab7-4e61-8cb7-487127f415cb</errorID>
      <errorWord>(</errorWord>
      <group>L1_Format</group>
      <groupName>格式问题</groupName>
      <ability>L2_HalfPunc</ability>
      <abilityName>全半角检查</abilityName>
      <candidateList>
        <item>（</item>
      </candidateList>
      <explain>文本全半角错误。</explain>
      <paraID>346F2602</paraID>
      <start>19</start>
      <end>20</end>
      <status>unmodified</status>
      <modifiedWord/>
      <trackRevisions>false</trackRevisions>
    </reviewItem>
    <reviewItem>
      <errorID>48dfbb4e-70d9-4b3f-9cd1-09e44a29b932</errorID>
      <errorWord>)</errorWord>
      <group>L1_Format</group>
      <groupName>格式问题</groupName>
      <ability>L2_HalfPunc</ability>
      <abilityName>全半角检查</abilityName>
      <candidateList>
        <item>）</item>
      </candidateList>
      <explain>文本全半角错误。</explain>
      <paraID>346F2602</paraID>
      <start>24</start>
      <end>25</end>
      <status>unmodified</status>
      <modifiedWord/>
      <trackRevisions>false</trackRevisions>
    </reviewItem>
    <reviewItem>
      <errorID>50061344-bdbb-407c-b2c3-8bbb428c969d</errorID>
      <errorWord>(</errorWord>
      <group>L1_Format</group>
      <groupName>格式问题</groupName>
      <ability>L2_HalfPunc</ability>
      <abilityName>全半角检查</abilityName>
      <candidateList>
        <item>（</item>
      </candidateList>
      <explain>文本全半角错误。</explain>
      <paraID>346F2602</paraID>
      <start>34</start>
      <end>35</end>
      <status>unmodified</status>
      <modifiedWord/>
      <trackRevisions>false</trackRevisions>
    </reviewItem>
    <reviewItem>
      <errorID>52063a7a-8034-4cf7-a98c-3454cafc3bb7</errorID>
      <errorWord>)</errorWord>
      <group>L1_Format</group>
      <groupName>格式问题</groupName>
      <ability>L2_HalfPunc</ability>
      <abilityName>全半角检查</abilityName>
      <candidateList>
        <item>）</item>
      </candidateList>
      <explain>文本全半角错误。</explain>
      <paraID>346F2602</paraID>
      <start>38</start>
      <end>39</end>
      <status>unmodified</status>
      <modifiedWord/>
      <trackRevisions>false</trackRevisions>
    </reviewItem>
    <reviewItem>
      <errorID>c25309cf-f6ed-43b8-bb34-e2a41bae97d8</errorID>
      <errorWord>(</errorWord>
      <group>L1_Format</group>
      <groupName>格式问题</groupName>
      <ability>L2_HalfPunc</ability>
      <abilityName>全半角检查</abilityName>
      <candidateList>
        <item>（</item>
      </candidateList>
      <explain>文本全半角错误。</explain>
      <paraID>6A3FFA7F</paraID>
      <start>83</start>
      <end>84</end>
      <status>unmodified</status>
      <modifiedWord/>
      <trackRevisions>false</trackRevisions>
    </reviewItem>
    <reviewItem>
      <errorID>cebcdd85-8ac2-426a-bb84-914a1faebb3e</errorID>
      <errorWord>)</errorWord>
      <group>L1_Format</group>
      <groupName>格式问题</groupName>
      <ability>L2_HalfPunc</ability>
      <abilityName>全半角检查</abilityName>
      <candidateList>
        <item>）</item>
      </candidateList>
      <explain>文本全半角错误。</explain>
      <paraID>6A3FFA7F</paraID>
      <start>86</start>
      <end>87</end>
      <status>unmodified</status>
      <modifiedWord/>
      <trackRevisions>false</trackRevisions>
    </reviewItem>
    <reviewItem>
      <errorID>a728c130-417d-4879-aaaa-d974430306ff</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6B82E933</paraID>
      <start>37</start>
      <end>39</end>
      <status>unmodified</status>
      <modifiedWord/>
      <trackRevisions>false</trackRevisions>
    </reviewItem>
    <reviewItem>
      <errorID>3a37d327-2aa4-4b30-992e-7ed30a039e62</errorID>
      <errorWord>佩带防毒面具</errorWord>
      <group>L1_Word</group>
      <groupName>字词问题</groupName>
      <ability>L2_Alias</ability>
      <abilityName>也作/曾用词</abilityName>
      <candidateList>
        <item>佩戴防毒面具</item>
      </candidateList>
      <explain>词汇[佩带防毒面具]为不规范表述或旧称，其规范书面表述为[佩戴防毒面具]。</explain>
      <paraID>7BA3D694</paraID>
      <start>11</start>
      <end>17</end>
      <status>unmodified</status>
      <modifiedWord/>
      <trackRevisions>false</trackRevisions>
    </reviewItem>
    <reviewItem>
      <errorID>df8a651b-2c29-4368-b84e-20e8ead5bb03</errorID>
      <errorWord>佩带</errorWord>
      <group>L1_Word</group>
      <groupName>字词问题</groupName>
      <ability>L2_Typo</ability>
      <abilityName>字词错误</abilityName>
      <candidateList>
        <item>佩戴</item>
      </candidateList>
      <explain>存在发音相同字词的误用。</explain>
      <paraID>7BA3D694</paraID>
      <start>29</start>
      <end>31</end>
      <status>unmodified</status>
      <modifiedWord/>
      <trackRevisions>false</trackRevisions>
    </reviewItem>
    <reviewItem>
      <errorID>0365396d-8c5c-4de6-9d85-8e9ac0492707</errorID>
      <errorWord>(</errorWord>
      <group>L1_Format</group>
      <groupName>格式问题</groupName>
      <ability>L2_HalfPunc</ability>
      <abilityName>全半角检查</abilityName>
      <candidateList>
        <item>（</item>
      </candidateList>
      <explain>文本全半角错误。</explain>
      <paraID>7BA3D694</paraID>
      <start>133</start>
      <end>134</end>
      <status>unmodified</status>
      <modifiedWord/>
      <trackRevisions>false</trackRevisions>
    </reviewItem>
    <reviewItem>
      <errorID>4cdd4cc9-8ed1-4f3b-ab13-d53b67697711</errorID>
      <errorWord>)</errorWord>
      <group>L1_Format</group>
      <groupName>格式问题</groupName>
      <ability>L2_HalfPunc</ability>
      <abilityName>全半角检查</abilityName>
      <candidateList>
        <item>）</item>
      </candidateList>
      <explain>文本全半角错误。</explain>
      <paraID>7BA3D694</paraID>
      <start>138</start>
      <end>139</end>
      <status>unmodified</status>
      <modifiedWord/>
      <trackRevisions>false</trackRevisions>
    </reviewItem>
    <reviewItem>
      <errorID>eb92baf1-a54c-4ea3-9369-576bb426cad1</errorID>
      <errorWord>(</errorWord>
      <group>L1_Format</group>
      <groupName>格式问题</groupName>
      <ability>L2_HalfPunc</ability>
      <abilityName>全半角检查</abilityName>
      <candidateList>
        <item>（</item>
      </candidateList>
      <explain>文本全半角错误。</explain>
      <paraID>527AD481</paraID>
      <start>20</start>
      <end>21</end>
      <status>unmodified</status>
      <modifiedWord/>
      <trackRevisions>false</trackRevisions>
    </reviewItem>
    <reviewItem>
      <errorID>4682ca22-aa3d-42fe-9855-b74b0c31da53</errorID>
      <errorWord>)</errorWord>
      <group>L1_Format</group>
      <groupName>格式问题</groupName>
      <ability>L2_HalfPunc</ability>
      <abilityName>全半角检查</abilityName>
      <candidateList>
        <item>）</item>
      </candidateList>
      <explain>文本全半角错误。</explain>
      <paraID>527AD481</paraID>
      <start>27</start>
      <end>28</end>
      <status>unmodified</status>
      <modifiedWord/>
      <trackRevisions>false</trackRevisions>
    </reviewItem>
    <reviewItem>
      <errorID>a400dcbe-00a8-4c3c-a06a-ae0d98666e8f</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483EA79D</paraID>
      <start>74</start>
      <end>77</end>
      <status>modified</status>
      <modifiedWord>其他不</modifiedWord>
      <trackRevisions>false</trackRevisions>
    </reviewItem>
    <reviewItem>
      <errorID>b77c7fd3-4523-4162-88d8-db000bfb3e17</errorID>
      <errorWord>．</errorWord>
      <group>L1_Format</group>
      <groupName>格式问题</groupName>
      <ability>L2_HalfPunc</ability>
      <abilityName>全半角检查</abilityName>
      <candidateList>
        <item>。</item>
      </candidateList>
      <explain>文本全半角错误。</explain>
      <paraID>483EA79D</paraID>
      <start>113</start>
      <end>114</end>
      <status>unmodified</status>
      <modifiedWord/>
      <trackRevisions>false</trackRevisions>
    </reviewItem>
    <reviewItem>
      <errorID>6bbedf4e-248f-44cd-b2c2-6bd593799c00</errorID>
      <errorWord>里</errorWord>
      <group>L1_Word</group>
      <groupName>字词问题</groupName>
      <ability>L2_Typo</ability>
      <abilityName>字词错误</abilityName>
      <candidateList>
        <item>中</item>
      </candidateList>
      <explain>存在字形相近字词的误用。</explain>
      <paraID>7996D3CD</paraID>
      <start>2</start>
      <end>3</end>
      <status>unmodified</status>
      <modifiedWord/>
      <trackRevisions>false</trackRevisions>
    </reviewItem>
    <reviewItem>
      <errorID>8650c758-53b5-4931-9afb-835040f6b9b0</errorID>
      <errorWord>粘膜</errorWord>
      <group>L1_Word</group>
      <groupName>字词问题</groupName>
      <ability>L2_Alias</ability>
      <abilityName>也作/曾用词</abilityName>
      <candidateList>
        <item>黏膜</item>
      </candidateList>
      <explain>词汇[粘膜]为不规范表述或旧称，其规范书面表述为[黏膜]。</explain>
      <paraID>6102829B</paraID>
      <start>16</start>
      <end>18</end>
      <status>unmodified</status>
      <modifiedWord/>
      <trackRevisions>false</trackRevisions>
    </reviewItem>
    <reviewItem>
      <errorID>f77091f3-d57e-49a7-ab07-b5b3945517fe</errorID>
      <errorWord>具</errorWord>
      <group>L1_Word</group>
      <groupName>字词问题</groupName>
      <ability>L2_Typo</ability>
      <abilityName>字词错误</abilityName>
      <candidateList>
        <item>具有</item>
      </candidateList>
      <explain>〈动〉有（多用于抽象事物）：～信心｜～伟大的意义。</explain>
      <paraID>33FBB830</paraID>
      <start>5</start>
      <end>6</end>
      <status>unmodified</status>
      <modifiedWord/>
      <trackRevisions>false</trackRevisions>
    </reviewItem>
    <reviewItem>
      <errorID>8a59b82f-bea8-4b50-8d90-f788df035365</errorID>
      <errorWord>(</errorWord>
      <group>L1_Format</group>
      <groupName>格式问题</groupName>
      <ability>L2_HalfPunc</ability>
      <abilityName>全半角检查</abilityName>
      <candidateList>
        <item>（</item>
      </candidateList>
      <explain>文本全半角错误。</explain>
      <paraID>40148284</paraID>
      <start>47</start>
      <end>48</end>
      <status>unmodified</status>
      <modifiedWord/>
      <trackRevisions>false</trackRevisions>
    </reviewItem>
    <reviewItem>
      <errorID>0e670916-cf13-4cea-8b3d-8fc566b7b476</errorID>
      <errorWord>面置</errorWord>
      <group>L1_Word</group>
      <groupName>字词问题</groupName>
      <ability>L2_Typo</ability>
      <abilityName>字词错误</abilityName>
      <candidateList>
        <item>面罩</item>
      </candidateList>
      <explain/>
      <paraID>40148284</paraID>
      <start>49</start>
      <end>51</end>
      <status>unmodified</status>
      <modifiedWord/>
      <trackRevisions>false</trackRevisions>
    </reviewItem>
    <reviewItem>
      <errorID>6be89ee6-b45f-488d-8c8e-32287b93f708</errorID>
      <errorWord>)</errorWord>
      <group>L1_Format</group>
      <groupName>格式问题</groupName>
      <ability>L2_HalfPunc</ability>
      <abilityName>全半角检查</abilityName>
      <candidateList>
        <item>）</item>
      </candidateList>
      <explain>文本全半角错误。</explain>
      <paraID>40148284</paraID>
      <start>51</start>
      <end>52</end>
      <status>unmodified</status>
      <modifiedWord/>
      <trackRevisions>false</trackRevisions>
    </reviewItem>
    <reviewItem>
      <errorID>746790e6-b19f-452a-b5c7-77d12bede6c1</errorID>
      <errorWord>:</errorWord>
      <group>L1_Format</group>
      <groupName>格式问题</groupName>
      <ability>L2_HalfPunc</ability>
      <abilityName>全半角检查</abilityName>
      <candidateList>
        <item>：</item>
      </candidateList>
      <explain>文本全半角错误。</explain>
      <paraID>  BC99DE</paraID>
      <start>101</start>
      <end>102</end>
      <status>unmodified</status>
      <modifiedWord/>
      <trackRevisions>false</trackRevisions>
    </reviewItem>
    <reviewItem>
      <errorID>0465d241-4f03-4dcc-8f5b-a0a14dcd7f33</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  BC99DE</paraID>
      <start>106</start>
      <end>109</end>
      <status>modified</status>
      <modifiedWord>其他不</modifiedWord>
      <trackRevisions>false</trackRevisions>
    </reviewItem>
    <reviewItem>
      <errorID>60c88e96-9ab6-4439-8dcd-8edb677694e3</errorID>
      <errorWord>:</errorWord>
      <group>L1_Format</group>
      <groupName>格式问题</groupName>
      <ability>L2_HalfPunc</ability>
      <abilityName>全半角检查</abilityName>
      <candidateList>
        <item>：</item>
      </candidateList>
      <explain>文本全半角错误。</explain>
      <paraID>  BC99DE</paraID>
      <start>144</start>
      <end>145</end>
      <status>unmodified</status>
      <modifiedWord/>
      <trackRevisions>false</trackRevisions>
    </reviewItem>
    <reviewItem>
      <errorID>3c4d208e-00fd-407d-85ec-d38dfc411773</errorID>
      <errorWord>粘膜</errorWord>
      <group>L1_Word</group>
      <groupName>字词问题</groupName>
      <ability>L2_Alias</ability>
      <abilityName>也作/曾用词</abilityName>
      <candidateList>
        <item>黏膜</item>
      </candidateList>
      <explain>词汇[粘膜]为不规范表述或旧称，其规范书面表述为[黏膜]。</explain>
      <paraID>6D98B36F</paraID>
      <start>31</start>
      <end>33</end>
      <status>unmodified</status>
      <modifiedWord/>
      <trackRevisions>false</trackRevisions>
    </reviewItem>
    <reviewItem>
      <errorID>cb35fa88-233a-43f6-94a5-612ba8ab832c</errorID>
      <errorWord>具</errorWord>
      <group>L1_Word</group>
      <groupName>字词问题</groupName>
      <ability>L2_Typo</ability>
      <abilityName>字词错误</abilityName>
      <candidateList>
        <item>具有</item>
      </candidateList>
      <explain>〈动〉有（多用于抽象事物）：～信心｜～伟大的意义。</explain>
      <paraID>2BB5FB01</paraID>
      <start>5</start>
      <end>6</end>
      <status>unmodified</status>
      <modifiedWord/>
      <trackRevisions>false</trackRevisions>
    </reviewItem>
    <reviewItem>
      <errorID>d7d999bd-6d6c-48b5-9ae5-d1033e2d73af</errorID>
      <errorWord>(</errorWord>
      <group>L1_Format</group>
      <groupName>格式问题</groupName>
      <ability>L2_HalfPunc</ability>
      <abilityName>全半角检查</abilityName>
      <candidateList>
        <item>（</item>
      </candidateList>
      <explain>文本全半角错误。</explain>
      <paraID>60789690</paraID>
      <start>49</start>
      <end>50</end>
      <status>unmodified</status>
      <modifiedWord/>
      <trackRevisions>false</trackRevisions>
    </reviewItem>
    <reviewItem>
      <errorID>0e46e225-a930-4d7f-a24c-090cd7d11f12</errorID>
      <errorWord>全面置</errorWord>
      <group>L1_Word</group>
      <groupName>字词问题</groupName>
      <ability>L2_Typo</ability>
      <abilityName>字词错误</abilityName>
      <candidateList>
        <item>全面罩</item>
      </candidateList>
      <explain/>
      <paraID>60789690</paraID>
      <start>50</start>
      <end>53</end>
      <status>unmodified</status>
      <modifiedWord/>
      <trackRevisions>false</trackRevisions>
    </reviewItem>
    <reviewItem>
      <errorID>7398e45c-f204-48bf-bc1e-03fec29e89eb</errorID>
      <errorWord>)</errorWord>
      <group>L1_Format</group>
      <groupName>格式问题</groupName>
      <ability>L2_HalfPunc</ability>
      <abilityName>全半角检查</abilityName>
      <candidateList>
        <item>）</item>
      </candidateList>
      <explain>文本全半角错误。</explain>
      <paraID>60789690</paraID>
      <start>53</start>
      <end>54</end>
      <status>unmodified</status>
      <modifiedWord/>
      <trackRevisions>false</trackRevisions>
    </reviewItem>
    <reviewItem>
      <errorID>3a707f5a-987e-42ff-86dc-4b46a6190540</errorID>
      <errorWord>:</errorWord>
      <group>L1_Format</group>
      <groupName>格式问题</groupName>
      <ability>L2_HalfPunc</ability>
      <abilityName>全半角检查</abilityName>
      <candidateList>
        <item>：</item>
      </candidateList>
      <explain>文本全半角错误。</explain>
      <paraID>4AEF0565</paraID>
      <start>88</start>
      <end>89</end>
      <status>unmodified</status>
      <modifiedWord/>
      <trackRevisions>false</trackRevisions>
    </reviewItem>
    <reviewItem>
      <errorID>f1b88824-eba2-44ff-aa93-f7ab1280a8a8</errorID>
      <errorWord>水释</errorWord>
      <group>L1_Word</group>
      <groupName>字词问题</groupName>
      <ability>L2_Typo</ability>
      <abilityName>字词错误</abilityName>
      <candidateList>
        <item>水</item>
      </candidateList>
      <explain/>
      <paraID>4AEF0565</paraID>
      <start>115</start>
      <end>117</end>
      <status>unmodified</status>
      <modifiedWord/>
      <trackRevisions>false</trackRevisions>
    </reviewItem>
    <reviewItem>
      <errorID>64285aa6-c33d-45f2-9c11-2d293c4ce641</errorID>
      <errorWord>:</errorWord>
      <group>L1_Format</group>
      <groupName>格式问题</groupName>
      <ability>L2_HalfPunc</ability>
      <abilityName>全半角检查</abilityName>
      <candidateList>
        <item>：</item>
      </candidateList>
      <explain>文本全半角错误。</explain>
      <paraID>4AEF0565</paraID>
      <start>129</start>
      <end>130</end>
      <status>unmodified</status>
      <modifiedWord/>
      <trackRevisions>false</trackRevisions>
    </reviewItem>
    <reviewItem>
      <errorID>444eb227-b6f7-45c7-8921-950b21a7b41d</errorID>
      <errorWord>III</errorWord>
      <group>L1_Word</group>
      <groupName>字词问题</groupName>
      <ability>L2_Typo</ability>
      <abilityName>字词错误</abilityName>
      <candidateList>
        <item>Ⅲ</item>
      </candidateList>
      <explain/>
      <paraID> 39DCFBC</paraID>
      <start>0</start>
      <end>3</end>
      <status>unmodified</status>
      <modifiedWord/>
      <trackRevisions>false</trackRevisions>
    </reviewItem>
    <reviewItem>
      <errorID>446505c1-41b0-4097-9f81-d495f9eacd70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2350D2B9</paraID>
      <start>0</start>
      <end>2</end>
      <status>unmodified</status>
      <modifiedWord/>
      <trackRevisions>false</trackRevisions>
    </reviewItem>
    <reviewItem>
      <errorID>3f126829-cb28-47ae-ac3b-6ab650196bfa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65D9D305</paraID>
      <start>0</start>
      <end>2</end>
      <status>unmodified</status>
      <modifiedWord/>
      <trackRevisions>false</trackRevisions>
    </reviewItem>
    <reviewItem>
      <errorID>16d0f748-ec13-4a01-9152-21afb38282a7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3E4FB69D</paraID>
      <start>0</start>
      <end>2</end>
      <status>unmodified</status>
      <modifiedWord/>
      <trackRevisions>false</trackRevisions>
    </reviewItem>
    <reviewItem>
      <errorID>4b8b7b3a-6a4c-4793-93f5-9577d7828ead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25572F50</paraID>
      <start>0</start>
      <end>2</end>
      <status>unmodified</status>
      <modifiedWord/>
      <trackRevisions>false</trackRevisions>
    </reviewItem>
    <reviewItem>
      <errorID>54bfcdfb-d78d-463a-9a35-91a07007069b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2823E99</paraID>
      <start>0</start>
      <end>2</end>
      <status>unmodified</status>
      <modifiedWord/>
      <trackRevisions>false</trackRevisions>
    </reviewItem>
    <reviewItem>
      <errorID>1df2ae88-8990-4e56-9c6c-6e1f39ef995b</errorID>
      <errorWord>：</errorWord>
      <group>L1_Format</group>
      <groupName>格式问题</groupName>
      <ability>L2_HalfPunc</ability>
      <abilityName>全半角检查</abilityName>
      <candidateList>
        <item>: </item>
      </candidateList>
      <explain>文本全半角错误。</explain>
      <paraID>53FC91CB</paraID>
      <start>2</start>
      <end>3</end>
      <status>unmodified</status>
      <modifiedWord/>
      <trackRevisions>false</trackRevisions>
    </reviewItem>
    <reviewItem>
      <errorID>f6741c2d-a6b6-4d52-b6da-5848eea4ae17</errorID>
      <errorWord>；</errorWord>
      <group>L1_Format</group>
      <groupName>格式问题</groupName>
      <ability>L2_HalfPunc</ability>
      <abilityName>全半角检查</abilityName>
      <candidateList>
        <item>; </item>
      </candidateList>
      <explain>文本全半角错误。</explain>
      <paraID>53FC91CB</paraID>
      <start>7</start>
      <end>8</end>
      <status>unmodified</status>
      <modifiedWord/>
      <trackRevisions>false</trackRevisions>
    </reviewItem>
    <reviewItem>
      <errorID>3308ea5f-583e-44c4-8af0-7b9bb8730e2c</errorID>
      <errorWord>：</errorWord>
      <group>L1_Format</group>
      <groupName>格式问题</groupName>
      <ability>L2_HalfPunc</ability>
      <abilityName>全半角检查</abilityName>
      <candidateList>
        <item>:</item>
      </candidateList>
      <explain>文本全半角错误。</explain>
      <paraID>53FC91CB</paraID>
      <start>10</start>
      <end>11</end>
      <status>unmodified</status>
      <modifiedWord/>
      <trackRevisions>false</trackRevisions>
    </reviewItem>
    <reviewItem>
      <errorID>3317c429-f2ae-423e-8b1f-1a83c0caaacc</errorID>
      <errorWord>；</errorWord>
      <group>L1_Format</group>
      <groupName>格式问题</groupName>
      <ability>L2_HalfPunc</ability>
      <abilityName>全半角检查</abilityName>
      <candidateList>
        <item>; </item>
      </candidateList>
      <explain>文本全半角错误。</explain>
      <paraID>53FC91CB</paraID>
      <start>18</start>
      <end>19</end>
      <status>unmodified</status>
      <modifiedWord/>
      <trackRevisions>false</trackRevisions>
    </reviewItem>
    <reviewItem>
      <errorID>4abcf548-efa7-47aa-8b57-4b6a589ac338</errorID>
      <errorWord>：</errorWord>
      <group>L1_Format</group>
      <groupName>格式问题</groupName>
      <ability>L2_HalfPunc</ability>
      <abilityName>全半角检查</abilityName>
      <candidateList>
        <item>:</item>
      </candidateList>
      <explain>文本全半角错误。</explain>
      <paraID>53FC91CB</paraID>
      <start>21</start>
      <end>22</end>
      <status>unmodified</status>
      <modifiedWord/>
      <trackRevisions>false</trackRevisions>
    </reviewItem>
    <reviewItem>
      <errorID>266b716e-6e93-4ad0-b1b9-fe83c560e948</errorID>
      <errorWord>；</errorWord>
      <group>L1_Format</group>
      <groupName>格式问题</groupName>
      <ability>L2_HalfPunc</ability>
      <abilityName>全半角检查</abilityName>
      <candidateList>
        <item>; </item>
      </candidateList>
      <explain>文本全半角错误。</explain>
      <paraID>53FC91CB</paraID>
      <start>28</start>
      <end>29</end>
      <status>unmodified</status>
      <modifiedWord/>
      <trackRevisions>false</trackRevisions>
    </reviewItem>
    <reviewItem>
      <errorID>956a1909-b5b8-4105-9037-b420e328e8bf</errorID>
      <errorWord>：</errorWord>
      <group>L1_Format</group>
      <groupName>格式问题</groupName>
      <ability>L2_HalfPunc</ability>
      <abilityName>全半角检查</abilityName>
      <candidateList>
        <item>: </item>
      </candidateList>
      <explain>文本全半角错误。</explain>
      <paraID>53FC91CB</paraID>
      <start>31</start>
      <end>32</end>
      <status>unmodified</status>
      <modifiedWord/>
      <trackRevisions>false</trackRevisions>
    </reviewItem>
    <reviewItem>
      <errorID>a781e5d4-c00b-4be4-856a-3db88fe27df5</errorID>
      <errorWord>。</errorWord>
      <group>L1_Format</group>
      <groupName>格式问题</groupName>
      <ability>L2_HalfPunc</ability>
      <abilityName>全半角检查</abilityName>
      <candidateList>
        <item>.</item>
      </candidateList>
      <explain>文本全半角错误。</explain>
      <paraID>53FC91CB</paraID>
      <start>35</start>
      <end>36</end>
      <status>unmodified</status>
      <modifiedWord/>
      <trackRevisions>false</trackRevisions>
    </reviewItem>
    <reviewItem>
      <errorID>420e39ae-9492-4cfe-8ce6-73d723c56e9f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5EE3D994</paraID>
      <start>0</start>
      <end>2</end>
      <status>unmodified</status>
      <modifiedWord/>
      <trackRevisions>false</trackRevisions>
    </reviewItem>
    <reviewItem>
      <errorID>889f85fa-917c-4840-9737-18acd0f660f8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4B9CB82D</paraID>
      <start>0</start>
      <end>2</end>
      <status>unmodified</status>
      <modifiedWord/>
      <trackRevisions>false</trackRevisions>
    </reviewItem>
    <reviewItem>
      <errorID>ff95ad8d-2bb9-459e-afac-70c9f1d5553c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6E853881</paraID>
      <start>0</start>
      <end>2</end>
      <status>unmodified</status>
      <modifiedWord/>
      <trackRevisions>false</trackRevisions>
    </reviewItem>
    <reviewItem>
      <errorID>c48a7de3-cedb-4703-b992-b3b268c0881c</errorID>
      <errorWord>；或</errorWord>
      <group>L1_Word</group>
      <groupName>字词问题</groupName>
      <ability>L2_Typo</ability>
      <abilityName>字词错误</abilityName>
      <candidateList>
        <item>；</item>
      </candidateList>
      <explain/>
      <paraID> F92F899</paraID>
      <start>230</start>
      <end>232</end>
      <status>unmodified</status>
      <modifiedWord/>
      <trackRevisions>false</trackRevisions>
    </reviewItem>
    <reviewItem>
      <errorID>4c6225a6-5259-4c5a-9727-32d47f5099ef</errorID>
      <errorWord>污水厂</errorWord>
      <group>L1_Word</group>
      <groupName>字词问题</groupName>
      <ability>L2_Typo</ability>
      <abilityName>字词错误</abilityName>
      <candidateList>
        <item>污水处理厂</item>
      </candidateList>
      <explain/>
      <paraID>63533D6F</paraID>
      <start>66</start>
      <end>71</end>
      <status>modified</status>
      <modifiedWord>污水处理厂</modifiedWord>
      <trackRevisions>false</trackRevisions>
    </reviewItem>
    <reviewItem>
      <errorID>888576d8-1268-4d04-b1e2-012c1cc5226f</errorID>
      <errorWord>污水厂</errorWord>
      <group>L1_Word</group>
      <groupName>字词问题</groupName>
      <ability>L2_Typo</ability>
      <abilityName>字词错误</abilityName>
      <candidateList>
        <item>污水处理厂</item>
      </candidateList>
      <explain/>
      <paraID>63533D6F</paraID>
      <start>197</start>
      <end>202</end>
      <status>modified</status>
      <modifiedWord>污水处理厂</modifiedWord>
      <trackRevisions>false</trackRevisions>
    </reviewItem>
    <reviewItem>
      <errorID>b5dc83cf-c0b9-456f-b396-20af8e79d258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10A022EA</paraID>
      <start>0</start>
      <end>2</end>
      <status>unmodified</status>
      <modifiedWord/>
      <trackRevisions>false</trackRevisions>
    </reviewItem>
    <reviewItem>
      <errorID>c8c80ac7-dcf5-45b9-9647-4c47c74d24fe</errorID>
      <errorWord>属</errorWord>
      <group>L1_Word</group>
      <groupName>字词问题</groupName>
      <ability>L2_Typo</ability>
      <abilityName>字词错误</abilityName>
      <candidateList>
        <item>属于</item>
      </candidateList>
      <explain/>
      <paraID>42FF9121</paraID>
      <start>19</start>
      <end>20</end>
      <status>unmodified</status>
      <modifiedWord/>
      <trackRevisions>false</trackRevisions>
    </reviewItem>
    <reviewItem>
      <errorID>c9198123-da5a-4b98-be96-f1a3f353985f</errorID>
      <errorWord>则</errorWord>
      <group>L1_Word</group>
      <groupName>字词问题</groupName>
      <ability>L2_Typo</ability>
      <abilityName>字词错误</abilityName>
      <candidateList>
        <item>对</item>
      </candidateList>
      <explain>存在字形相近字词的误用。</explain>
      <paraID>42FF9121</paraID>
      <start>23</start>
      <end>24</end>
      <status>unmodified</status>
      <modifiedWord/>
      <trackRevisions>false</trackRevisions>
    </reviewItem>
    <reviewItem>
      <errorID>f66dbabe-03e9-4806-a9c7-fd223a0bd916</errorID>
      <errorWord>。。</errorWord>
      <group>L1_Punc</group>
      <groupName>标点问题</groupName>
      <ability>L2_Punc</ability>
      <abilityName>标点符号检查</abilityName>
      <candidateList>
        <item>。</item>
      </candidateList>
      <explain/>
      <paraID>42FF9121</paraID>
      <start>37</start>
      <end>39</end>
      <status>unmodified</status>
      <modifiedWord/>
      <trackRevisions>false</trackRevisions>
    </reviewItem>
    <reviewItem>
      <errorID>578a8531-3a17-4cdc-a9be-cade03ef935d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3B3B2E05</paraID>
      <start>0</start>
      <end>2</end>
      <status>unmodified</status>
      <modifiedWord/>
      <trackRevisions>false</trackRevisions>
    </reviewItem>
    <reviewItem>
      <errorID>3d7dbb29-9398-4a3d-b466-f4ae827ba925</errorID>
      <errorWord>表表</errorWord>
      <group>L1_Word</group>
      <groupName>字词问题</groupName>
      <ability>L2_Typo</ability>
      <abilityName>字词错误</abilityName>
      <candidateList>
        <item>表</item>
      </candidateList>
      <explain/>
      <paraID>48B9976C</paraID>
      <start>31</start>
      <end>33</end>
      <status>unmodified</status>
      <modifiedWord/>
      <trackRevisions>false</trackRevisions>
    </reviewItem>
    <reviewItem>
      <errorID>af5322ac-0ada-4e8b-88b9-9236ce16098c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37F2DD26</paraID>
      <start>0</start>
      <end>2</end>
      <status>unmodified</status>
      <modifiedWord/>
      <trackRevisions>false</trackRevisions>
    </reviewItem>
    <reviewItem>
      <errorID>8db724e2-a534-4990-8447-418cde759d7c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29DD0E0B</paraID>
      <start>0</start>
      <end>2</end>
      <status>unmodified</status>
      <modifiedWord/>
      <trackRevisions>false</trackRevisions>
    </reviewItem>
    <reviewItem>
      <errorID>b21de172-a304-4d3a-a6d0-5741dec2bc82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78570CFC</paraID>
      <start>0</start>
      <end>2</end>
      <status>unmodified</status>
      <modifiedWord/>
      <trackRevisions>false</trackRevisions>
    </reviewItem>
    <reviewItem>
      <errorID>c96ae5cf-52d4-4752-80b1-3e61729c87b0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6F18EE3E</paraID>
      <start>0</start>
      <end>2</end>
      <status>unmodified</status>
      <modifiedWord/>
      <trackRevisions>false</trackRevisions>
    </reviewItem>
    <reviewItem>
      <errorID>857e212a-fa15-4e51-8c17-e7d7dd22a1be</errorID>
      <errorWord>风险源辨识</errorWord>
      <group>L1_Knowledge</group>
      <groupName>知识性问题</groupName>
      <ability>L2_Term</ability>
      <abilityName>专业术语</abilityName>
      <candidateList>
        <item>危险源辨识</item>
      </candidateList>
      <explain/>
      <paraID> 471CA1D</paraID>
      <start>2</start>
      <end>7</end>
      <status>unmodified</status>
      <modifiedWord/>
      <trackRevisions>false</trackRevisions>
    </reviewItem>
    <reviewItem>
      <errorID>1a0b1ff4-6101-4e49-96a7-5e87b3779919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4229D6B</paraID>
      <start>0</start>
      <end>2</end>
      <status>unmodified</status>
      <modifiedWord/>
      <trackRevisions>false</trackRevisions>
    </reviewItem>
    <reviewItem>
      <errorID>d5ddfcd5-3151-48fc-85af-829aedec769f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6ACD8AF8</paraID>
      <start>0</start>
      <end>2</end>
      <status>unmodified</status>
      <modifiedWord/>
      <trackRevisions>false</trackRevisions>
    </reviewItem>
    <reviewItem>
      <errorID>d35f9028-387b-4201-969b-031c2cc577ac</errorID>
      <errorWord>气</errorWord>
      <group>L1_Word</group>
      <groupName>字词问题</groupName>
      <ability>L2_Typo</ability>
      <abilityName>字词错误</abilityName>
      <candidateList>
        <item>气中</item>
      </candidateList>
      <explain/>
      <paraID>6ACD8AF8</paraID>
      <start>39</start>
      <end>40</end>
      <status>unmodified</status>
      <modifiedWord/>
      <trackRevisions>false</trackRevisions>
    </reviewItem>
    <reviewItem>
      <errorID>150efd43-a61e-4667-bbe5-bc2167000e20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926923</paraID>
      <start>0</start>
      <end>2</end>
      <status>unmodified</status>
      <modifiedWord/>
      <trackRevisions>false</trackRevisions>
    </reviewItem>
    <reviewItem>
      <errorID>62ee5f90-bd4e-4fea-a7af-c110b0cc2627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2F4D178F</paraID>
      <start>0</start>
      <end>2</end>
      <status>unmodified</status>
      <modifiedWord/>
      <trackRevisions>false</trackRevisions>
    </reviewItem>
    <reviewItem>
      <errorID>ac703526-b03e-4f73-ab50-47c4fcf09514</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2F4D178F</paraID>
      <start>73</start>
      <end>74</end>
      <status>unmodified</status>
      <modifiedWord/>
      <trackRevisions>false</trackRevisions>
    </reviewItem>
    <reviewItem>
      <errorID>67b11db7-e139-4743-9198-de0a66ac2312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6D972BF5</paraID>
      <start>0</start>
      <end>2</end>
      <status>unmodified</status>
      <modifiedWord/>
      <trackRevisions>false</trackRevisions>
    </reviewItem>
    <reviewItem>
      <errorID>b2ddbd41-35ab-45c4-a5fb-44f8294f52dd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4790DDF8</paraID>
      <start>0</start>
      <end>2</end>
      <status>unmodified</status>
      <modifiedWord/>
      <trackRevisions>false</trackRevisions>
    </reviewItem>
    <reviewItem>
      <errorID>55e37adc-1584-4c99-a986-7b7ba2cd77b1</errorID>
      <errorWord>蒸气压</errorWord>
      <group>L1_Word</group>
      <groupName>字词问题</groupName>
      <ability>L2_Typo</ability>
      <abilityName>字词错误</abilityName>
      <candidateList>
        <item>蒸汽压</item>
      </candidateList>
      <explain/>
      <paraID>696B4544</paraID>
      <start>6</start>
      <end>9</end>
      <status>unmodified</status>
      <modifiedWord/>
      <trackRevisions>false</trackRevisions>
    </reviewItem>
    <reviewItem>
      <errorID>5aef9186-af13-4d0c-a267-a18089370376</errorID>
      <errorWord>计算见公式</errorWord>
      <group>L1_Word</group>
      <groupName>字词问题</groupName>
      <ability>L2_Typo</ability>
      <abilityName>字词错误</abilityName>
      <candidateList>
        <item>计算公式</item>
      </candidateList>
      <explain/>
      <paraID> 2D76A9E</paraID>
      <start>15</start>
      <end>20</end>
      <status>unmodified</status>
      <modifiedWord/>
      <trackRevisions>false</trackRevisions>
    </reviewItem>
    <reviewItem>
      <errorID>410872bd-1da7-418c-80f4-f5020ec59737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1D8890E5</paraID>
      <start>0</start>
      <end>2</end>
      <status>unmodified</status>
      <modifiedWord/>
      <trackRevisions>false</trackRevisions>
    </reviewItem>
    <reviewItem>
      <errorID>564edef2-0868-47f2-8cc0-04d6f4ea33b4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2F82904F</paraID>
      <start>0</start>
      <end>2</end>
      <status>unmodified</status>
      <modifiedWord/>
      <trackRevisions>false</trackRevisions>
    </reviewItem>
    <reviewItem>
      <errorID>7465aeb5-2552-47a4-9f52-48d2c74f8fc2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CB9BD87</paraID>
      <start>0</start>
      <end>2</end>
      <status>unmodified</status>
      <modifiedWord/>
      <trackRevisions>false</trackRevisions>
    </reviewItem>
    <reviewItem>
      <errorID>3fad7b55-2717-4ae2-a87f-c2f200816025</errorID>
      <errorWord>是</errorWord>
      <group>L1_Word</group>
      <groupName>字词问题</groupName>
      <ability>L2_Typo</ability>
      <abilityName>字词错误</abilityName>
      <candidateList>
        <item>是一</item>
      </candidateList>
      <explain/>
      <paraID>3EA8639E</paraID>
      <start>2</start>
      <end>3</end>
      <status>unmodified</status>
      <modifiedWord/>
      <trackRevisions>false</trackRevisions>
    </reviewItem>
    <reviewItem>
      <errorID>3e48129a-38e8-4739-adf6-97949780d97b</errorID>
      <errorWord>分</errorWord>
      <group>L1_Word</group>
      <groupName>字词问题</groupName>
      <ability>L2_Typo</ability>
      <abilityName>字词错误</abilityName>
      <candidateList>
        <item>分为</item>
      </candidateList>
      <explain/>
      <paraID>3EA8639E</paraID>
      <start>54</start>
      <end>55</end>
      <status>unmodified</status>
      <modifiedWord/>
      <trackRevisions>false</trackRevisions>
    </reviewItem>
    <reviewItem>
      <errorID>2ba65f90-cbe4-4285-b463-065755300082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1CBA0A66</paraID>
      <start>0</start>
      <end>2</end>
      <status>unmodified</status>
      <modifiedWord/>
      <trackRevisions>false</trackRevisions>
    </reviewItem>
    <reviewItem>
      <errorID>74aa38d6-3437-4bfa-b37d-7b7ced6258f6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37BDC228</paraID>
      <start>0</start>
      <end>2</end>
      <status>unmodified</status>
      <modifiedWord/>
      <trackRevisions>false</trackRevisions>
    </reviewItem>
    <reviewItem>
      <errorID>13533570-f159-476c-901f-5abe152f1f33</errorID>
      <errorWord>将随</errorWord>
      <group>L1_Word</group>
      <groupName>字词问题</groupName>
      <ability>L2_Typo</ability>
      <abilityName>字词错误</abilityName>
      <candidateList>
        <item>将</item>
      </candidateList>
      <explain>（jiāng）将要；（jiàng）勇将、上将、游泳健将；（qiāng）请求，将子无怒。</explain>
      <paraID>16A937E3</paraID>
      <start>66</start>
      <end>68</end>
      <status>unmodified</status>
      <modifiedWord/>
      <trackRevisions>false</trackRevisions>
    </reviewItem>
    <reviewItem>
      <errorID>4f6128d9-a933-4e21-845e-ab0b285a4dd3</errorID>
      <errorWord>雨水管线</errorWord>
      <group>L1_Knowledge</group>
      <groupName>知识性问题</groupName>
      <ability>L2_Term</ability>
      <abilityName>专业术语</abilityName>
      <candidateList>
        <item>雨水管道</item>
      </candidateList>
      <explain/>
      <paraID>16A937E3</paraID>
      <start>121</start>
      <end>125</end>
      <status>unmodified</status>
      <modifiedWord/>
      <trackRevisions>false</trackRevisions>
    </reviewItem>
    <reviewItem>
      <errorID>eaf91fda-deeb-408e-a148-fcf5fa44f273</errorID>
      <errorWord>废水系统</errorWord>
      <group>L1_Knowledge</group>
      <groupName>知识性问题</groupName>
      <ability>L2_Term</ability>
      <abilityName>专业术语</abilityName>
      <candidateList>
        <item>泄水系统</item>
      </candidateList>
      <explain/>
      <paraID>1744AE41</paraID>
      <start>28</start>
      <end>32</end>
      <status>unmodified</status>
      <modifiedWord/>
      <trackRevisions>false</trackRevisions>
    </reviewItem>
    <reviewItem>
      <errorID>39e0fe3a-d6ea-43bd-9290-40120433802d</errorID>
      <errorWord>废水系统</errorWord>
      <group>L1_Knowledge</group>
      <groupName>知识性问题</groupName>
      <ability>L2_Term</ability>
      <abilityName>专业术语</abilityName>
      <candidateList>
        <item>泄水系统</item>
      </candidateList>
      <explain/>
      <paraID>1A7D80A9</paraID>
      <start>28</start>
      <end>32</end>
      <status>unmodified</status>
      <modifiedWord/>
      <trackRevisions>false</trackRevisions>
    </reviewItem>
    <reviewItem>
      <errorID>1888ea96-f488-479a-bfe2-6df3d341c1a4</errorID>
      <errorWord>消防水量</errorWord>
      <group>L1_Knowledge</group>
      <groupName>知识性问题</groupName>
      <ability>L2_Term</ability>
      <abilityName>专业术语</abilityName>
      <candidateList>
        <item>消防水源</item>
      </candidateList>
      <explain/>
      <paraID>303C21D1</paraID>
      <start>5</start>
      <end>9</end>
      <status>unmodified</status>
      <modifiedWord/>
      <trackRevisions>false</trackRevisions>
    </reviewItem>
    <reviewItem>
      <errorID>3c90ac21-44de-4f82-888e-0418a8dee738</errorID>
      <errorWord>与</errorWord>
      <group>L1_Word</group>
      <groupName>字词问题</groupName>
      <ability>L2_Typo</ability>
      <abilityName>字词错误</abilityName>
      <candidateList>
        <item>的</item>
      </candidateList>
      <explain>存在字形相近字词的误用。</explain>
      <paraID>2221D0C5</paraID>
      <start>136</start>
      <end>137</end>
      <status>unmodified</status>
      <modifiedWord/>
      <trackRevisions>false</trackRevisions>
    </reviewItem>
    <reviewItem>
      <errorID>4cfaeb61-9bbf-438e-9e60-8ead97aacd67</errorID>
      <errorWord>而且是</errorWord>
      <group>L1_Word</group>
      <groupName>字词问题</groupName>
      <ability>L2_Typo</ability>
      <abilityName>字词错误</abilityName>
      <candidateList>
        <item>而且</item>
      </candidateList>
      <explain/>
      <paraID>601F2694</paraID>
      <start>72</start>
      <end>74</end>
      <status>modified</status>
      <modifiedWord>而且</modifiedWord>
      <trackRevisions>false</trackRevisions>
    </reviewItem>
    <reviewItem>
      <errorID>8349555c-ddcb-4bb9-8a17-9fbaa79642bb</errorID>
      <errorWord>程</errorWord>
      <group>L1_Word</group>
      <groupName>字词问题</groupName>
      <ability>L2_Typo</ability>
      <abilityName>字词错误</abilityName>
      <candidateList>
        <item>程中</item>
      </candidateList>
      <explain/>
      <paraID>5F61E367</paraID>
      <start>44</start>
      <end>45</end>
      <status>unmodified</status>
      <modifiedWord/>
      <trackRevisions>false</trackRevisions>
    </reviewItem>
    <reviewItem>
      <errorID>c8d45f53-8e71-4d5e-90a0-7c90a3bc87fb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58A08339</paraID>
      <start>0</start>
      <end>2</end>
      <status>unmodified</status>
      <modifiedWord/>
      <trackRevisions>false</trackRevisions>
    </reviewItem>
    <reviewItem>
      <errorID>11236f01-db95-4218-aa57-640f867896c6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625AD097</paraID>
      <start>77</start>
      <end>78</end>
      <status>modified</status>
      <modifiedWord>地</modifiedWord>
      <trackRevisions>false</trackRevisions>
    </reviewItem>
    <reviewItem>
      <errorID>76a504a2-5f53-4376-b61f-2446cc99b9f7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113E718C</paraID>
      <start>0</start>
      <end>2</end>
      <status>unmodified</status>
      <modifiedWord/>
      <trackRevisions>false</trackRevisions>
    </reviewItem>
    <reviewItem>
      <errorID>71ecb342-277a-4d3f-998e-ff7d4b94d568</errorID>
      <errorWord>与</errorWord>
      <group>L1_Word</group>
      <groupName>字词问题</groupName>
      <ability>L2_Typo</ability>
      <abilityName>字词错误</abilityName>
      <candidateList>
        <item>的</item>
      </candidateList>
      <explain>存在字形相近字词的误用。</explain>
      <paraID>15FE9D86</paraID>
      <start>167</start>
      <end>168</end>
      <status>unmodified</status>
      <modifiedWord/>
      <trackRevisions>false</trackRevisions>
    </reviewItem>
    <reviewItem>
      <errorID>20aeb233-5115-4c02-a86c-1424f83a2080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6A4DBED6</paraID>
      <start>0</start>
      <end>2</end>
      <status>unmodified</status>
      <modifiedWord/>
      <trackRevisions>false</trackRevisions>
    </reviewItem>
    <reviewItem>
      <errorID>4823bcb6-3c40-416f-bb5d-f4e98ca91cb7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78B7A3B2</paraID>
      <start>0</start>
      <end>2</end>
      <status>unmodified</status>
      <modifiedWord/>
      <trackRevisions>false</trackRevisions>
    </reviewItem>
    <reviewItem>
      <errorID>052c687c-7fd0-47b9-8fc2-b15038c0791f</errorID>
      <errorWord>均均</errorWord>
      <group>L1_Word</group>
      <groupName>字词问题</groupName>
      <ability>L2_Typo</ability>
      <abilityName>字词错误</abilityName>
      <candidateList>
        <item>均</item>
      </candidateList>
      <explain/>
      <paraID>5DC5E911</paraID>
      <start>49</start>
      <end>50</end>
      <status>modified</status>
      <modifiedWord>均</modifiedWord>
      <trackRevisions>false</trackRevisions>
    </reviewItem>
    <reviewItem>
      <errorID>a1450ab4-f650-40d8-90d8-fe95fae12aff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3AD08382</paraID>
      <start>0</start>
      <end>2</end>
      <status>unmodified</status>
      <modifiedWord/>
      <trackRevisions>false</trackRevisions>
    </reviewItem>
    <reviewItem>
      <errorID>ed142b5e-2861-4537-9238-b1e3fdb22631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7CB3A620</paraID>
      <start>0</start>
      <end>2</end>
      <status>unmodified</status>
      <modifiedWord/>
      <trackRevisions>false</trackRevisions>
    </reviewItem>
    <reviewItem>
      <errorID>02e17fd4-907f-4aa0-b869-dd41a0d10524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3646AB24</paraID>
      <start>0</start>
      <end>2</end>
      <status>unmodified</status>
      <modifiedWord/>
      <trackRevisions>false</trackRevisions>
    </reviewItem>
    <reviewItem>
      <errorID>7f897aa8-6782-4dd1-9a6d-8f0f8a24a9dd</errorID>
      <errorWord>III</errorWord>
      <group>L1_Knowledge</group>
      <groupName>知识性问题</groupName>
      <ability>L2_Knowledge</ability>
      <abilityName>其他知识</abilityName>
      <candidateList>
        <item>Ⅲ</item>
      </candidateList>
      <explain/>
      <paraID> 76C47BB</paraID>
      <start>54</start>
      <end>57</end>
      <status>unmodified</status>
      <modifiedWord/>
      <trackRevisions>false</trackRevisions>
    </reviewItem>
    <reviewItem>
      <errorID>b0c6e59a-68f5-4448-9ef0-a9e99b089a4b</errorID>
      <errorWord>III</errorWord>
      <group>L1_Knowledge</group>
      <groupName>知识性问题</groupName>
      <ability>L2_Knowledge</ability>
      <abilityName>其他知识</abilityName>
      <candidateList>
        <item>Ⅲ</item>
      </candidateList>
      <explain/>
      <paraID> 76C47BB</paraID>
      <start>58</start>
      <end>61</end>
      <status>unmodified</status>
      <modifiedWord/>
      <trackRevisions>false</trackRevisions>
    </reviewItem>
    <reviewItem>
      <errorID>1a2270ec-8b7e-4701-9df8-354c0a4f56c7</errorID>
      <errorWord>III</errorWord>
      <group>L1_Knowledge</group>
      <groupName>知识性问题</groupName>
      <ability>L2_Knowledge</ability>
      <abilityName>其他知识</abilityName>
      <candidateList>
        <item>Ⅲ</item>
      </candidateList>
      <explain/>
      <paraID> 76C47BB</paraID>
      <start>62</start>
      <end>65</end>
      <status>unmodified</status>
      <modifiedWord/>
      <trackRevisions>false</trackRevisions>
    </reviewItem>
    <reviewItem>
      <errorID>f9168fb4-30bd-419c-bb73-741a96d2c8dc</errorID>
      <errorWord>III</errorWord>
      <group>L1_Knowledge</group>
      <groupName>知识性问题</groupName>
      <ability>L2_Knowledge</ability>
      <abilityName>其他知识</abilityName>
      <candidateList>
        <item>Ⅲ</item>
      </candidateList>
      <explain/>
      <paraID> 76C47BB</paraID>
      <start>80</start>
      <end>83</end>
      <status>unmodified</status>
      <modifiedWord/>
      <trackRevisions>false</trackRevisions>
    </reviewItem>
    <reviewItem>
      <errorID>8209e789-a016-42d5-b2a9-98044d31e671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76C45589</paraID>
      <start>0</start>
      <end>2</end>
      <status>unmodified</status>
      <modifiedWord/>
      <trackRevisions>false</trackRevisions>
    </reviewItem>
    <reviewItem>
      <errorID>47a44c96-a548-48dd-b7e1-6eda4b26df2c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3F82B08D</paraID>
      <start>0</start>
      <end>2</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bc8d-8f72-4e40-bdb2-65964bbcad28}">
  <ds:schemaRefs/>
</ds:datastoreItem>
</file>

<file path=customXml/itemProps2.xml><?xml version="1.0" encoding="utf-8"?>
<ds:datastoreItem xmlns:ds="http://schemas.openxmlformats.org/officeDocument/2006/customXml" ds:itemID="{FCC7ABC2-2ADA-446B-909B-267D2445F4E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140</Pages>
  <Words>13365</Words>
  <Characters>13822</Characters>
  <Lines>276</Lines>
  <Paragraphs>77</Paragraphs>
  <TotalTime>14</TotalTime>
  <ScaleCrop>false</ScaleCrop>
  <LinksUpToDate>false</LinksUpToDate>
  <CharactersWithSpaces>13933</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2022-08-15T02:28:00Z</dcterms:created>
  <dc:creator>lhj</dc:creator>
  <cp:lastModifiedBy>20314</cp:lastModifiedBy>
  <cp:lastPrinted>2024-10-11T08:55:00Z</cp:lastPrinted>
  <dcterms:modified xsi:type="dcterms:W3CDTF">2025-12-25T08:31:04Z</dcterms:modified>
  <dc:title>附件2</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7D7ECA394C0B41BB850B3F3C17F5F7D0_12</vt:lpwstr>
  </property>
  <property fmtid="{D5CDD505-2E9C-101B-9397-08002B2CF9AE}" pid="4" name="KSOTemplateDocerSaveRecord">
    <vt:lpwstr>eyJoZGlkIjoiNWYwYjdkYjZlZGM2NWFlNjkyM2U1MWM0ZTNmZWEwZTIiLCJ1c2VySWQiOiIxMDM3NjMxMjY0In0=</vt:lpwstr>
  </property>
</Properties>
</file>